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42" w:line="274" w:lineRule="exact"/>
        <w:ind w:left="48"/>
        <w:rPr>
          <w:spacing w:val="1"/>
          <w:position w:val="1"/>
          <w:sz w:val="20"/>
          <w:szCs w:val="20"/>
          <w:highlight w:val="none"/>
        </w:rPr>
      </w:pPr>
      <w:bookmarkStart w:id="126" w:name="_GoBack"/>
      <w:bookmarkEnd w:id="126"/>
    </w:p>
    <w:p>
      <w:pPr>
        <w:pStyle w:val="5"/>
        <w:spacing w:before="409" w:line="226" w:lineRule="auto"/>
        <w:ind w:left="593"/>
        <w:rPr>
          <w:sz w:val="71"/>
          <w:szCs w:val="71"/>
        </w:rPr>
      </w:pPr>
      <w:r>
        <w:rPr>
          <w:spacing w:val="-21"/>
          <w:sz w:val="71"/>
          <w:szCs w:val="71"/>
        </w:rPr>
        <w:t>团</w:t>
      </w:r>
      <w:r>
        <w:rPr>
          <w:spacing w:val="19"/>
          <w:sz w:val="71"/>
          <w:szCs w:val="71"/>
        </w:rPr>
        <w:t xml:space="preserve">  </w:t>
      </w:r>
      <w:r>
        <w:rPr>
          <w:spacing w:val="-21"/>
          <w:sz w:val="71"/>
          <w:szCs w:val="71"/>
        </w:rPr>
        <w:t>体</w:t>
      </w:r>
      <w:r>
        <w:rPr>
          <w:spacing w:val="12"/>
          <w:sz w:val="71"/>
          <w:szCs w:val="71"/>
        </w:rPr>
        <w:t xml:space="preserve">  </w:t>
      </w:r>
      <w:r>
        <w:rPr>
          <w:spacing w:val="-21"/>
          <w:sz w:val="71"/>
          <w:szCs w:val="71"/>
        </w:rPr>
        <w:t>标</w:t>
      </w:r>
      <w:r>
        <w:rPr>
          <w:spacing w:val="20"/>
          <w:sz w:val="71"/>
          <w:szCs w:val="71"/>
        </w:rPr>
        <w:t xml:space="preserve">  </w:t>
      </w:r>
      <w:r>
        <w:rPr>
          <w:spacing w:val="-21"/>
          <w:sz w:val="71"/>
          <w:szCs w:val="71"/>
        </w:rPr>
        <w:t>准</w:t>
      </w:r>
    </w:p>
    <w:p>
      <w:pPr>
        <w:spacing w:line="351" w:lineRule="auto"/>
        <w:rPr>
          <w:rFonts w:ascii="Arial"/>
          <w:sz w:val="21"/>
        </w:rPr>
      </w:pPr>
    </w:p>
    <w:p>
      <w:pPr>
        <w:pStyle w:val="5"/>
        <w:spacing w:before="91" w:line="237" w:lineRule="auto"/>
        <w:ind w:right="31"/>
        <w:jc w:val="right"/>
        <w:rPr>
          <w:rFonts w:hint="eastAsia" w:eastAsia="黑体"/>
          <w:lang w:eastAsia="zh-CN"/>
        </w:rPr>
      </w:pPr>
      <w:r>
        <w:rPr>
          <w:spacing w:val="-8"/>
        </w:rPr>
        <w:t>T/SDUW</w:t>
      </w:r>
      <w:r>
        <w:rPr>
          <w:spacing w:val="-8"/>
          <w:highlight w:val="none"/>
        </w:rPr>
        <w:t>A</w:t>
      </w:r>
      <w:r>
        <w:rPr>
          <w:spacing w:val="61"/>
          <w:highlight w:val="none"/>
        </w:rPr>
        <w:t xml:space="preserve"> </w:t>
      </w:r>
      <w:r>
        <w:rPr>
          <w:rFonts w:hint="eastAsia"/>
          <w:spacing w:val="-8"/>
          <w:highlight w:val="none"/>
          <w:lang w:val="en-US" w:eastAsia="zh-CN"/>
        </w:rPr>
        <w:t>XXXX</w:t>
      </w:r>
      <w:r>
        <w:rPr>
          <w:spacing w:val="-8"/>
          <w:highlight w:val="none"/>
        </w:rPr>
        <w:t>-</w:t>
      </w:r>
      <w:r>
        <w:rPr>
          <w:rFonts w:hint="eastAsia"/>
          <w:spacing w:val="-8"/>
          <w:highlight w:val="none"/>
          <w:lang w:val="en-US" w:eastAsia="zh-CN"/>
        </w:rPr>
        <w:t>XXXX</w:t>
      </w:r>
    </w:p>
    <w:p>
      <w:pPr>
        <w:spacing w:line="334" w:lineRule="auto"/>
        <w:rPr>
          <w:rFonts w:ascii="Arial"/>
          <w:sz w:val="21"/>
        </w:rPr>
      </w:pPr>
      <w:r>
        <w:drawing>
          <wp:anchor distT="0" distB="0" distL="0" distR="0" simplePos="0" relativeHeight="251660288" behindDoc="0" locked="0" layoutInCell="1" allowOverlap="1">
            <wp:simplePos x="0" y="0"/>
            <wp:positionH relativeFrom="column">
              <wp:posOffset>0</wp:posOffset>
            </wp:positionH>
            <wp:positionV relativeFrom="paragraph">
              <wp:posOffset>57785</wp:posOffset>
            </wp:positionV>
            <wp:extent cx="3869690"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6"/>
                    <a:stretch>
                      <a:fillRect/>
                    </a:stretch>
                  </pic:blipFill>
                  <pic:spPr>
                    <a:xfrm>
                      <a:off x="0" y="0"/>
                      <a:ext cx="3869690" cy="9525"/>
                    </a:xfrm>
                    <a:prstGeom prst="rect">
                      <a:avLst/>
                    </a:prstGeom>
                  </pic:spPr>
                </pic:pic>
              </a:graphicData>
            </a:graphic>
          </wp:anchor>
        </w:drawing>
      </w:r>
    </w:p>
    <w:p>
      <w:pPr>
        <w:spacing w:line="334" w:lineRule="auto"/>
        <w:rPr>
          <w:rFonts w:ascii="Arial"/>
          <w:sz w:val="21"/>
        </w:rPr>
      </w:pPr>
    </w:p>
    <w:p>
      <w:pPr>
        <w:pStyle w:val="2"/>
        <w:keepNext/>
        <w:keepLines/>
        <w:pageBreakBefore w:val="0"/>
        <w:widowControl w:val="0"/>
        <w:kinsoku/>
        <w:wordWrap/>
        <w:overflowPunct/>
        <w:topLinePunct w:val="0"/>
        <w:autoSpaceDE/>
        <w:autoSpaceDN/>
        <w:bidi w:val="0"/>
        <w:adjustRightInd/>
        <w:snapToGrid/>
        <w:spacing w:line="276" w:lineRule="auto"/>
        <w:ind w:left="0" w:leftChars="0" w:firstLine="0" w:firstLineChars="0"/>
        <w:jc w:val="center"/>
        <w:textAlignment w:val="auto"/>
        <w:rPr>
          <w:b w:val="0"/>
        </w:rPr>
      </w:pPr>
      <w:bookmarkStart w:id="0" w:name="_Toc25564"/>
      <w:bookmarkStart w:id="1" w:name="_Toc9833"/>
      <w:bookmarkStart w:id="2" w:name="_Toc18622"/>
      <w:bookmarkStart w:id="3" w:name="_Toc1060"/>
      <w:bookmarkStart w:id="4" w:name="_Toc23293"/>
      <w:bookmarkStart w:id="5" w:name="_Toc20664"/>
      <w:bookmarkStart w:id="6" w:name="_Toc3350"/>
      <w:bookmarkStart w:id="7" w:name="_Toc29714"/>
      <w:bookmarkStart w:id="8" w:name="_Toc19055"/>
      <w:bookmarkStart w:id="9" w:name="_Toc4165"/>
      <w:r>
        <w:rPr>
          <w:rFonts w:ascii="黑体" w:hAnsi="黑体" w:eastAsia="黑体" w:cs="黑体"/>
          <w:b w:val="0"/>
          <w:snapToGrid w:val="0"/>
          <w:color w:val="000000"/>
          <w:spacing w:val="7"/>
          <w:kern w:val="0"/>
          <w:sz w:val="43"/>
          <w:szCs w:val="43"/>
          <w:lang w:val="en-US" w:eastAsia="en-US" w:bidi="ar-SA"/>
        </w:rPr>
        <w:t>高品质再生水厂工程建设及运输管道标准</w:t>
      </w:r>
      <w:bookmarkEnd w:id="0"/>
      <w:bookmarkEnd w:id="1"/>
      <w:bookmarkEnd w:id="2"/>
      <w:bookmarkEnd w:id="3"/>
      <w:bookmarkEnd w:id="4"/>
      <w:bookmarkEnd w:id="5"/>
      <w:bookmarkEnd w:id="6"/>
      <w:bookmarkEnd w:id="7"/>
      <w:bookmarkEnd w:id="8"/>
      <w:bookmarkEnd w:id="9"/>
    </w:p>
    <w:p>
      <w:pPr>
        <w:pStyle w:val="2"/>
        <w:keepNext/>
        <w:keepLines/>
        <w:pageBreakBefore w:val="0"/>
        <w:widowControl w:val="0"/>
        <w:kinsoku/>
        <w:wordWrap/>
        <w:overflowPunct/>
        <w:topLinePunct w:val="0"/>
        <w:autoSpaceDE/>
        <w:autoSpaceDN/>
        <w:bidi w:val="0"/>
        <w:adjustRightInd/>
        <w:snapToGrid/>
        <w:spacing w:line="276" w:lineRule="auto"/>
        <w:ind w:left="0" w:leftChars="0" w:firstLine="0" w:firstLineChars="0"/>
        <w:jc w:val="center"/>
        <w:textAlignment w:val="auto"/>
        <w:rPr>
          <w:rFonts w:ascii="Arial"/>
          <w:sz w:val="21"/>
        </w:rPr>
      </w:pPr>
      <w:bookmarkStart w:id="10" w:name="_Toc12126"/>
      <w:bookmarkStart w:id="11" w:name="_Toc24580"/>
      <w:bookmarkStart w:id="12" w:name="_Toc5553"/>
      <w:bookmarkStart w:id="13" w:name="_Toc4894"/>
      <w:bookmarkStart w:id="14" w:name="_Toc24114"/>
      <w:bookmarkStart w:id="15" w:name="_Toc19098"/>
      <w:bookmarkStart w:id="16" w:name="_Toc30297"/>
      <w:bookmarkStart w:id="17" w:name="_Toc14542"/>
      <w:bookmarkStart w:id="18" w:name="_Toc16689"/>
      <w:bookmarkStart w:id="19" w:name="_Toc31297"/>
      <w:r>
        <w:rPr>
          <w:rFonts w:hint="eastAsia" w:ascii="Times New Roman" w:hAnsi="Times New Roman" w:eastAsia="Times New Roman" w:cs="Times New Roman"/>
          <w:b w:val="0"/>
          <w:snapToGrid w:val="0"/>
          <w:color w:val="000000"/>
          <w:spacing w:val="4"/>
          <w:kern w:val="0"/>
          <w:sz w:val="28"/>
          <w:szCs w:val="28"/>
          <w:lang w:val="en-US" w:eastAsia="en-US" w:bidi="ar-SA"/>
        </w:rPr>
        <w:t>Standard for Engineering Construction of High-Quality Reclaimed Water Treatment Plants and Transmission Pipelines</w:t>
      </w:r>
      <w:bookmarkEnd w:id="10"/>
      <w:bookmarkEnd w:id="11"/>
      <w:bookmarkEnd w:id="12"/>
      <w:bookmarkEnd w:id="13"/>
      <w:bookmarkEnd w:id="14"/>
      <w:bookmarkEnd w:id="15"/>
      <w:bookmarkEnd w:id="16"/>
      <w:bookmarkEnd w:id="17"/>
      <w:bookmarkEnd w:id="18"/>
      <w:bookmarkEnd w:id="19"/>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pStyle w:val="5"/>
        <w:spacing w:before="92" w:line="222" w:lineRule="auto"/>
        <w:ind w:left="46"/>
        <w:rPr>
          <w:highlight w:val="none"/>
        </w:rPr>
      </w:pPr>
      <w:r>
        <w:rPr>
          <w:rFonts w:hint="eastAsia"/>
          <w:spacing w:val="-8"/>
          <w:highlight w:val="none"/>
          <w:lang w:val="en-US" w:eastAsia="zh-CN"/>
        </w:rPr>
        <w:t>XXXX</w:t>
      </w:r>
      <w:r>
        <w:rPr>
          <w:highlight w:val="none"/>
        </w:rPr>
        <w:t>-</w:t>
      </w:r>
      <w:r>
        <w:rPr>
          <w:rFonts w:hint="eastAsia"/>
          <w:highlight w:val="none"/>
          <w:lang w:val="en-US" w:eastAsia="zh-CN"/>
        </w:rPr>
        <w:t>XX</w:t>
      </w:r>
      <w:r>
        <w:rPr>
          <w:highlight w:val="none"/>
        </w:rPr>
        <w:t>-</w:t>
      </w:r>
      <w:r>
        <w:rPr>
          <w:rFonts w:hint="eastAsia"/>
          <w:highlight w:val="none"/>
          <w:lang w:val="en-US" w:eastAsia="zh-CN"/>
        </w:rPr>
        <w:t>XX</w:t>
      </w:r>
      <w:r>
        <w:rPr>
          <w:highlight w:val="none"/>
        </w:rPr>
        <w:t xml:space="preserve">发布               </w:t>
      </w:r>
      <w:r>
        <w:rPr>
          <w:rFonts w:hint="eastAsia"/>
          <w:spacing w:val="-8"/>
          <w:highlight w:val="none"/>
          <w:lang w:val="en-US" w:eastAsia="zh-CN"/>
        </w:rPr>
        <w:t>XXXX</w:t>
      </w:r>
      <w:r>
        <w:rPr>
          <w:highlight w:val="none"/>
        </w:rPr>
        <w:t>-</w:t>
      </w:r>
      <w:r>
        <w:rPr>
          <w:rFonts w:hint="eastAsia"/>
          <w:highlight w:val="none"/>
          <w:lang w:val="en-US" w:eastAsia="zh-CN"/>
        </w:rPr>
        <w:t>XX</w:t>
      </w:r>
      <w:r>
        <w:rPr>
          <w:highlight w:val="none"/>
        </w:rPr>
        <w:t>-</w:t>
      </w:r>
      <w:r>
        <w:rPr>
          <w:rFonts w:hint="eastAsia"/>
          <w:highlight w:val="none"/>
          <w:lang w:val="en-US" w:eastAsia="zh-CN"/>
        </w:rPr>
        <w:t>XX</w:t>
      </w:r>
      <w:r>
        <w:rPr>
          <w:highlight w:val="none"/>
        </w:rPr>
        <w:t>实施</w:t>
      </w:r>
    </w:p>
    <w:p>
      <w:pPr>
        <w:spacing w:line="252" w:lineRule="auto"/>
        <w:rPr>
          <w:rFonts w:ascii="Arial"/>
          <w:sz w:val="21"/>
        </w:rPr>
      </w:pPr>
    </w:p>
    <w:p>
      <w:pPr>
        <w:spacing w:line="253" w:lineRule="auto"/>
        <w:rPr>
          <w:rFonts w:ascii="Arial"/>
          <w:sz w:val="21"/>
        </w:rPr>
      </w:pPr>
      <w:r>
        <w:drawing>
          <wp:anchor distT="0" distB="0" distL="0" distR="0" simplePos="0" relativeHeight="251661312" behindDoc="0" locked="0" layoutInCell="1" allowOverlap="1">
            <wp:simplePos x="0" y="0"/>
            <wp:positionH relativeFrom="column">
              <wp:posOffset>6350</wp:posOffset>
            </wp:positionH>
            <wp:positionV relativeFrom="paragraph">
              <wp:posOffset>8255</wp:posOffset>
            </wp:positionV>
            <wp:extent cx="386969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7"/>
                    <a:stretch>
                      <a:fillRect/>
                    </a:stretch>
                  </pic:blipFill>
                  <pic:spPr>
                    <a:xfrm>
                      <a:off x="0" y="0"/>
                      <a:ext cx="3869690" cy="9525"/>
                    </a:xfrm>
                    <a:prstGeom prst="rect">
                      <a:avLst/>
                    </a:prstGeom>
                  </pic:spPr>
                </pic:pic>
              </a:graphicData>
            </a:graphic>
          </wp:anchor>
        </w:drawing>
      </w:r>
    </w:p>
    <w:p>
      <w:pPr>
        <w:pStyle w:val="5"/>
        <w:spacing w:before="91" w:line="222" w:lineRule="auto"/>
        <w:ind w:left="1321"/>
      </w:pPr>
      <w:r>
        <w:rPr>
          <w:spacing w:val="-3"/>
        </w:rPr>
        <w:t>山东省城镇供排水协会 发布</w:t>
      </w:r>
    </w:p>
    <w:p>
      <w:pPr>
        <w:spacing w:line="222" w:lineRule="auto"/>
        <w:sectPr>
          <w:pgSz w:w="7938" w:h="11510"/>
          <w:pgMar w:top="971" w:right="906" w:bottom="0" w:left="926" w:header="0" w:footer="0" w:gutter="0"/>
          <w:cols w:space="720" w:num="1"/>
        </w:sectPr>
      </w:pPr>
    </w:p>
    <w:p>
      <w:pPr>
        <w:spacing w:before="140" w:line="226" w:lineRule="auto"/>
        <w:ind w:left="2452"/>
        <w:rPr>
          <w:rFonts w:ascii="宋体" w:hAnsi="宋体" w:eastAsia="宋体" w:cs="宋体"/>
          <w:spacing w:val="6"/>
          <w:sz w:val="20"/>
          <w:szCs w:val="20"/>
        </w:rPr>
      </w:pPr>
      <w:r>
        <w:rPr>
          <w:rFonts w:ascii="宋体" w:hAnsi="宋体" w:eastAsia="宋体" w:cs="宋体"/>
          <w:b/>
          <w:bCs/>
          <w:spacing w:val="-8"/>
          <w:sz w:val="31"/>
          <w:szCs w:val="31"/>
        </w:rPr>
        <w:t>前</w:t>
      </w:r>
      <w:r>
        <w:rPr>
          <w:rFonts w:ascii="宋体" w:hAnsi="宋体" w:eastAsia="宋体" w:cs="宋体"/>
          <w:spacing w:val="13"/>
          <w:sz w:val="31"/>
          <w:szCs w:val="31"/>
        </w:rPr>
        <w:t xml:space="preserve">   </w:t>
      </w:r>
      <w:r>
        <w:rPr>
          <w:rFonts w:ascii="宋体" w:hAnsi="宋体" w:eastAsia="宋体" w:cs="宋体"/>
          <w:b/>
          <w:bCs/>
          <w:spacing w:val="-8"/>
          <w:sz w:val="31"/>
          <w:szCs w:val="31"/>
        </w:rPr>
        <w:t>言</w:t>
      </w:r>
    </w:p>
    <w:p>
      <w:pPr>
        <w:spacing w:line="391" w:lineRule="auto"/>
        <w:rPr>
          <w:rFonts w:ascii="Arial"/>
          <w:sz w:val="21"/>
          <w:lang w:val="en-US" w:eastAsia="zh-CN"/>
        </w:rPr>
      </w:pPr>
    </w:p>
    <w:p>
      <w:pPr>
        <w:spacing w:before="0" w:line="360" w:lineRule="auto"/>
        <w:ind w:right="0" w:firstLine="436" w:firstLineChars="200"/>
        <w:jc w:val="both"/>
        <w:rPr>
          <w:rFonts w:ascii="宋体" w:hAnsi="宋体" w:eastAsia="宋体" w:cs="宋体"/>
          <w:spacing w:val="9"/>
          <w:sz w:val="20"/>
          <w:szCs w:val="20"/>
          <w:lang w:val="en-US" w:eastAsia="zh-CN"/>
        </w:rPr>
      </w:pPr>
      <w:r>
        <w:rPr>
          <w:rFonts w:ascii="宋体" w:hAnsi="宋体" w:eastAsia="宋体" w:cs="宋体"/>
          <w:spacing w:val="9"/>
          <w:sz w:val="20"/>
          <w:szCs w:val="20"/>
          <w:lang w:val="en-US" w:eastAsia="zh-CN"/>
        </w:rPr>
        <w:t>根据</w:t>
      </w:r>
      <w:r>
        <w:rPr>
          <w:rFonts w:hint="eastAsia" w:ascii="宋体" w:hAnsi="宋体" w:eastAsia="宋体" w:cs="宋体"/>
          <w:spacing w:val="9"/>
          <w:sz w:val="20"/>
          <w:szCs w:val="20"/>
          <w:lang w:val="en-US" w:eastAsia="zh-CN"/>
        </w:rPr>
        <w:t>山东省城镇供排水协会关于《城镇排水设施运维技术标准》等7项团体标准立项的通知（</w:t>
      </w:r>
      <w:r>
        <w:rPr>
          <w:rFonts w:hint="eastAsia" w:ascii="宋体" w:hAnsi="宋体" w:eastAsia="宋体" w:cs="宋体"/>
          <w:spacing w:val="9"/>
          <w:sz w:val="20"/>
          <w:szCs w:val="20"/>
          <w:lang w:eastAsia="zh-CN"/>
        </w:rPr>
        <w:t>鲁水协字〔202</w:t>
      </w:r>
      <w:r>
        <w:rPr>
          <w:rFonts w:hint="eastAsia" w:ascii="宋体" w:hAnsi="宋体" w:eastAsia="宋体" w:cs="宋体"/>
          <w:spacing w:val="9"/>
          <w:sz w:val="20"/>
          <w:szCs w:val="20"/>
          <w:lang w:val="en-US" w:eastAsia="zh-CN"/>
        </w:rPr>
        <w:t>6</w:t>
      </w:r>
      <w:r>
        <w:rPr>
          <w:rFonts w:hint="eastAsia" w:ascii="宋体" w:hAnsi="宋体" w:eastAsia="宋体" w:cs="宋体"/>
          <w:spacing w:val="9"/>
          <w:sz w:val="20"/>
          <w:szCs w:val="20"/>
          <w:lang w:eastAsia="zh-CN"/>
        </w:rPr>
        <w:t>〕</w:t>
      </w:r>
      <w:r>
        <w:rPr>
          <w:rFonts w:hint="eastAsia" w:ascii="宋体" w:hAnsi="宋体" w:eastAsia="宋体" w:cs="宋体"/>
          <w:spacing w:val="9"/>
          <w:sz w:val="20"/>
          <w:szCs w:val="20"/>
          <w:lang w:val="en-US" w:eastAsia="zh-CN"/>
        </w:rPr>
        <w:t>13</w:t>
      </w:r>
      <w:r>
        <w:rPr>
          <w:rFonts w:hint="eastAsia" w:ascii="宋体" w:hAnsi="宋体" w:eastAsia="宋体" w:cs="宋体"/>
          <w:spacing w:val="9"/>
          <w:sz w:val="20"/>
          <w:szCs w:val="20"/>
          <w:lang w:eastAsia="zh-CN"/>
        </w:rPr>
        <w:t>号</w:t>
      </w:r>
      <w:r>
        <w:rPr>
          <w:rFonts w:hint="eastAsia" w:ascii="宋体" w:hAnsi="宋体" w:eastAsia="宋体" w:cs="宋体"/>
          <w:spacing w:val="9"/>
          <w:sz w:val="20"/>
          <w:szCs w:val="20"/>
          <w:lang w:val="en-US" w:eastAsia="zh-CN"/>
        </w:rPr>
        <w:t>）的要求</w:t>
      </w:r>
      <w:r>
        <w:rPr>
          <w:rFonts w:ascii="宋体" w:hAnsi="宋体" w:eastAsia="宋体" w:cs="宋体"/>
          <w:spacing w:val="9"/>
          <w:sz w:val="20"/>
          <w:szCs w:val="20"/>
          <w:lang w:val="en-US" w:eastAsia="zh-CN"/>
        </w:rPr>
        <w:t>，标准编制组经广泛调查研究，系统梳理高品质再生水厂工程建设及运输管道领域的技术需求与实践经验，严格遵循现行国家法律法规及行业标准，认真总结</w:t>
      </w:r>
      <w:r>
        <w:rPr>
          <w:rFonts w:hint="eastAsia" w:ascii="宋体" w:hAnsi="宋体" w:eastAsia="宋体" w:cs="宋体"/>
          <w:spacing w:val="9"/>
          <w:sz w:val="20"/>
          <w:szCs w:val="20"/>
          <w:lang w:val="en-US" w:eastAsia="zh-CN"/>
        </w:rPr>
        <w:t>高品质</w:t>
      </w:r>
      <w:r>
        <w:rPr>
          <w:rFonts w:ascii="宋体" w:hAnsi="宋体" w:eastAsia="宋体" w:cs="宋体"/>
          <w:spacing w:val="9"/>
          <w:sz w:val="20"/>
          <w:szCs w:val="20"/>
          <w:lang w:val="en-US" w:eastAsia="zh-CN"/>
        </w:rPr>
        <w:t>再生水厂建设运营实践经验，参考国内相关标准及先进技术资料，结合山东省气候、地理、环境等特点及双膜法（超滤</w:t>
      </w:r>
      <w:r>
        <w:rPr>
          <w:rFonts w:hint="eastAsia" w:ascii="宋体" w:hAnsi="宋体" w:eastAsia="宋体" w:cs="宋体"/>
          <w:spacing w:val="9"/>
          <w:sz w:val="20"/>
          <w:szCs w:val="20"/>
          <w:lang w:val="en-US" w:eastAsia="zh-CN"/>
        </w:rPr>
        <w:t>+</w:t>
      </w:r>
      <w:r>
        <w:rPr>
          <w:rFonts w:ascii="宋体" w:hAnsi="宋体" w:eastAsia="宋体" w:cs="宋体"/>
          <w:spacing w:val="9"/>
          <w:sz w:val="20"/>
          <w:szCs w:val="20"/>
          <w:lang w:val="en-US" w:eastAsia="zh-CN"/>
        </w:rPr>
        <w:t>反渗透）工艺应用现状，在广泛征求意见的基础上，编制本标准。</w:t>
      </w:r>
    </w:p>
    <w:p>
      <w:pPr>
        <w:spacing w:before="0" w:line="360" w:lineRule="auto"/>
        <w:ind w:right="0" w:firstLine="436" w:firstLineChars="200"/>
        <w:jc w:val="both"/>
        <w:rPr>
          <w:rFonts w:ascii="宋体" w:hAnsi="宋体" w:eastAsia="宋体" w:cs="宋体"/>
          <w:spacing w:val="9"/>
          <w:sz w:val="20"/>
          <w:szCs w:val="20"/>
          <w:lang w:val="en-US" w:eastAsia="zh-CN"/>
        </w:rPr>
      </w:pPr>
      <w:r>
        <w:rPr>
          <w:rFonts w:ascii="宋体" w:hAnsi="宋体" w:eastAsia="宋体" w:cs="宋体"/>
          <w:spacing w:val="9"/>
          <w:sz w:val="20"/>
          <w:szCs w:val="20"/>
          <w:lang w:val="en-US" w:eastAsia="zh-CN"/>
        </w:rPr>
        <w:t>本标准主要内容：总则</w:t>
      </w:r>
      <w:r>
        <w:rPr>
          <w:rFonts w:hint="eastAsia" w:ascii="宋体" w:hAnsi="宋体" w:eastAsia="宋体" w:cs="宋体"/>
          <w:spacing w:val="9"/>
          <w:sz w:val="20"/>
          <w:szCs w:val="20"/>
          <w:lang w:val="en-US" w:eastAsia="zh-CN"/>
        </w:rPr>
        <w:t>，</w:t>
      </w:r>
      <w:r>
        <w:rPr>
          <w:rFonts w:ascii="宋体" w:hAnsi="宋体" w:eastAsia="宋体" w:cs="宋体"/>
          <w:spacing w:val="9"/>
          <w:sz w:val="20"/>
          <w:szCs w:val="20"/>
          <w:lang w:val="en-US" w:eastAsia="zh-CN"/>
        </w:rPr>
        <w:t>术语</w:t>
      </w:r>
      <w:r>
        <w:rPr>
          <w:rFonts w:hint="eastAsia" w:ascii="宋体" w:hAnsi="宋体" w:eastAsia="宋体" w:cs="宋体"/>
          <w:spacing w:val="9"/>
          <w:sz w:val="20"/>
          <w:szCs w:val="20"/>
          <w:lang w:val="en-US" w:eastAsia="zh-CN"/>
        </w:rPr>
        <w:t>，</w:t>
      </w:r>
      <w:r>
        <w:rPr>
          <w:rFonts w:ascii="宋体" w:hAnsi="宋体" w:eastAsia="宋体" w:cs="宋体"/>
          <w:spacing w:val="9"/>
          <w:sz w:val="20"/>
          <w:szCs w:val="20"/>
          <w:lang w:val="en-US" w:eastAsia="zh-CN"/>
        </w:rPr>
        <w:t>基本规定</w:t>
      </w:r>
      <w:r>
        <w:rPr>
          <w:rFonts w:hint="eastAsia" w:ascii="宋体" w:hAnsi="宋体" w:eastAsia="宋体" w:cs="宋体"/>
          <w:spacing w:val="9"/>
          <w:sz w:val="20"/>
          <w:szCs w:val="20"/>
          <w:lang w:val="en-US" w:eastAsia="zh-CN"/>
        </w:rPr>
        <w:t>，</w:t>
      </w:r>
      <w:r>
        <w:rPr>
          <w:rFonts w:ascii="宋体" w:hAnsi="宋体" w:eastAsia="宋体" w:cs="宋体"/>
          <w:spacing w:val="9"/>
          <w:sz w:val="20"/>
          <w:szCs w:val="20"/>
          <w:lang w:val="en-US" w:eastAsia="zh-CN"/>
        </w:rPr>
        <w:t>土建工程</w:t>
      </w:r>
      <w:r>
        <w:rPr>
          <w:rFonts w:hint="eastAsia" w:ascii="宋体" w:hAnsi="宋体" w:eastAsia="宋体" w:cs="宋体"/>
          <w:spacing w:val="9"/>
          <w:sz w:val="20"/>
          <w:szCs w:val="20"/>
          <w:lang w:val="en-US" w:eastAsia="zh-CN"/>
        </w:rPr>
        <w:t>，</w:t>
      </w:r>
      <w:r>
        <w:rPr>
          <w:rFonts w:ascii="宋体" w:hAnsi="宋体" w:eastAsia="宋体" w:cs="宋体"/>
          <w:spacing w:val="9"/>
          <w:sz w:val="20"/>
          <w:szCs w:val="20"/>
          <w:lang w:val="en-US" w:eastAsia="zh-CN"/>
        </w:rPr>
        <w:t>工艺管道工程</w:t>
      </w:r>
      <w:r>
        <w:rPr>
          <w:rFonts w:hint="eastAsia" w:ascii="宋体" w:hAnsi="宋体" w:eastAsia="宋体" w:cs="宋体"/>
          <w:spacing w:val="9"/>
          <w:sz w:val="20"/>
          <w:szCs w:val="20"/>
          <w:lang w:val="en-US" w:eastAsia="zh-CN"/>
        </w:rPr>
        <w:t>，</w:t>
      </w:r>
      <w:r>
        <w:rPr>
          <w:rFonts w:ascii="宋体" w:hAnsi="宋体" w:eastAsia="宋体" w:cs="宋体"/>
          <w:spacing w:val="9"/>
          <w:sz w:val="20"/>
          <w:szCs w:val="20"/>
          <w:lang w:val="en-US" w:eastAsia="zh-CN"/>
        </w:rPr>
        <w:t>核心工艺系统设计参数</w:t>
      </w:r>
      <w:r>
        <w:rPr>
          <w:rFonts w:hint="eastAsia" w:ascii="宋体" w:hAnsi="宋体" w:eastAsia="宋体" w:cs="宋体"/>
          <w:spacing w:val="9"/>
          <w:sz w:val="20"/>
          <w:szCs w:val="20"/>
          <w:lang w:val="en-US" w:eastAsia="zh-CN"/>
        </w:rPr>
        <w:t>，</w:t>
      </w:r>
      <w:r>
        <w:rPr>
          <w:rFonts w:ascii="宋体" w:hAnsi="宋体" w:eastAsia="宋体" w:cs="宋体"/>
          <w:spacing w:val="9"/>
          <w:sz w:val="20"/>
          <w:szCs w:val="20"/>
          <w:lang w:val="en-US" w:eastAsia="zh-CN"/>
        </w:rPr>
        <w:t>设备选型安装</w:t>
      </w:r>
      <w:r>
        <w:rPr>
          <w:rFonts w:hint="eastAsia" w:ascii="宋体" w:hAnsi="宋体" w:eastAsia="宋体" w:cs="宋体"/>
          <w:spacing w:val="9"/>
          <w:sz w:val="20"/>
          <w:szCs w:val="20"/>
          <w:lang w:val="en-US" w:eastAsia="zh-CN"/>
        </w:rPr>
        <w:t>，</w:t>
      </w:r>
      <w:r>
        <w:rPr>
          <w:rFonts w:ascii="宋体" w:hAnsi="宋体" w:eastAsia="宋体" w:cs="宋体"/>
          <w:spacing w:val="9"/>
          <w:sz w:val="20"/>
          <w:szCs w:val="20"/>
          <w:lang w:val="en-US" w:eastAsia="zh-CN"/>
        </w:rPr>
        <w:t>运输管道标准</w:t>
      </w:r>
      <w:r>
        <w:rPr>
          <w:rFonts w:hint="eastAsia" w:ascii="宋体" w:hAnsi="宋体" w:eastAsia="宋体" w:cs="宋体"/>
          <w:spacing w:val="9"/>
          <w:sz w:val="20"/>
          <w:szCs w:val="20"/>
          <w:lang w:val="en-US" w:eastAsia="zh-CN"/>
        </w:rPr>
        <w:t>，</w:t>
      </w:r>
      <w:r>
        <w:rPr>
          <w:rFonts w:ascii="宋体" w:hAnsi="宋体" w:eastAsia="宋体" w:cs="宋体"/>
          <w:spacing w:val="9"/>
          <w:sz w:val="20"/>
          <w:szCs w:val="20"/>
          <w:lang w:val="en-US" w:eastAsia="zh-CN"/>
        </w:rPr>
        <w:t>验收标准</w:t>
      </w:r>
      <w:r>
        <w:rPr>
          <w:rFonts w:hint="eastAsia" w:ascii="宋体" w:hAnsi="宋体" w:eastAsia="宋体" w:cs="宋体"/>
          <w:spacing w:val="9"/>
          <w:sz w:val="20"/>
          <w:szCs w:val="20"/>
          <w:lang w:val="en-US" w:eastAsia="zh-CN"/>
        </w:rPr>
        <w:t>，安全与运行保障</w:t>
      </w:r>
      <w:r>
        <w:rPr>
          <w:rFonts w:ascii="宋体" w:hAnsi="宋体" w:eastAsia="宋体" w:cs="宋体"/>
          <w:spacing w:val="9"/>
          <w:sz w:val="20"/>
          <w:szCs w:val="20"/>
          <w:lang w:val="en-US" w:eastAsia="zh-CN"/>
        </w:rPr>
        <w:t>。</w:t>
      </w:r>
    </w:p>
    <w:p>
      <w:pPr>
        <w:spacing w:before="0" w:line="360" w:lineRule="auto"/>
        <w:ind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lang w:val="en-US" w:eastAsia="zh-CN"/>
        </w:rPr>
        <w:t>本标准由山东省城镇供排水协会负责归口管理，由</w:t>
      </w:r>
      <w:r>
        <w:rPr>
          <w:rFonts w:hint="eastAsia" w:ascii="宋体" w:hAnsi="宋体" w:eastAsia="宋体" w:cs="宋体"/>
          <w:spacing w:val="9"/>
          <w:sz w:val="20"/>
          <w:szCs w:val="20"/>
          <w:highlight w:val="none"/>
          <w:lang w:val="en-US" w:eastAsia="zh-CN"/>
        </w:rPr>
        <w:t>烟台市再生水有限责任公司</w:t>
      </w:r>
      <w:r>
        <w:rPr>
          <w:rFonts w:ascii="宋体" w:hAnsi="宋体" w:eastAsia="宋体" w:cs="宋体"/>
          <w:spacing w:val="9"/>
          <w:sz w:val="20"/>
          <w:szCs w:val="20"/>
          <w:highlight w:val="none"/>
        </w:rPr>
        <w:t>负责具体内容的解释。</w:t>
      </w:r>
    </w:p>
    <w:p>
      <w:pPr>
        <w:spacing w:before="0" w:line="360" w:lineRule="auto"/>
        <w:ind w:right="0" w:firstLine="436" w:firstLineChars="200"/>
        <w:jc w:val="both"/>
        <w:rPr>
          <w:rFonts w:ascii="宋体" w:hAnsi="宋体" w:eastAsia="宋体" w:cs="宋体"/>
          <w:spacing w:val="9"/>
          <w:sz w:val="20"/>
          <w:szCs w:val="20"/>
        </w:rPr>
      </w:pPr>
      <w:r>
        <w:rPr>
          <w:rFonts w:ascii="宋体" w:hAnsi="宋体" w:eastAsia="宋体" w:cs="宋体"/>
          <w:spacing w:val="9"/>
          <w:sz w:val="20"/>
          <w:szCs w:val="20"/>
          <w:highlight w:val="none"/>
        </w:rPr>
        <w:t>本标准在执行过程中，若有意见和建议，请及时反馈至</w:t>
      </w:r>
      <w:r>
        <w:rPr>
          <w:rFonts w:hint="eastAsia" w:ascii="宋体" w:hAnsi="宋体" w:eastAsia="宋体" w:cs="宋体"/>
          <w:spacing w:val="9"/>
          <w:sz w:val="20"/>
          <w:szCs w:val="20"/>
          <w:highlight w:val="none"/>
          <w:lang w:val="en-US" w:eastAsia="zh-CN"/>
        </w:rPr>
        <w:t>烟台市再生水有限责任公司</w:t>
      </w:r>
      <w:r>
        <w:rPr>
          <w:rFonts w:ascii="宋体" w:hAnsi="宋体" w:eastAsia="宋体" w:cs="宋体"/>
          <w:spacing w:val="9"/>
          <w:sz w:val="20"/>
          <w:szCs w:val="20"/>
          <w:highlight w:val="none"/>
        </w:rPr>
        <w:t>（地址：山东省</w:t>
      </w:r>
      <w:r>
        <w:rPr>
          <w:rFonts w:hint="eastAsia" w:ascii="宋体" w:hAnsi="宋体" w:eastAsia="宋体" w:cs="宋体"/>
          <w:spacing w:val="9"/>
          <w:sz w:val="20"/>
          <w:szCs w:val="20"/>
          <w:highlight w:val="none"/>
          <w:lang w:val="en-US" w:eastAsia="zh-CN"/>
        </w:rPr>
        <w:t>烟台市芝罘区幸福路3号</w:t>
      </w:r>
      <w:r>
        <w:rPr>
          <w:rFonts w:ascii="宋体" w:hAnsi="宋体" w:eastAsia="宋体" w:cs="宋体"/>
          <w:spacing w:val="9"/>
          <w:sz w:val="20"/>
          <w:szCs w:val="20"/>
          <w:highlight w:val="none"/>
        </w:rPr>
        <w:t>，邮编：2</w:t>
      </w:r>
      <w:r>
        <w:rPr>
          <w:rFonts w:hint="eastAsia" w:ascii="宋体" w:hAnsi="宋体" w:eastAsia="宋体" w:cs="宋体"/>
          <w:spacing w:val="9"/>
          <w:sz w:val="20"/>
          <w:szCs w:val="20"/>
          <w:highlight w:val="none"/>
          <w:lang w:val="en-US" w:eastAsia="zh-CN"/>
        </w:rPr>
        <w:t>64001</w:t>
      </w:r>
      <w:r>
        <w:rPr>
          <w:rFonts w:ascii="宋体" w:hAnsi="宋体" w:eastAsia="宋体" w:cs="宋体"/>
          <w:spacing w:val="9"/>
          <w:sz w:val="20"/>
          <w:szCs w:val="20"/>
          <w:highlight w:val="none"/>
        </w:rPr>
        <w:t>，电话：</w:t>
      </w:r>
      <w:r>
        <w:rPr>
          <w:rFonts w:hint="eastAsia" w:ascii="宋体" w:hAnsi="宋体" w:eastAsia="宋体" w:cs="宋体"/>
          <w:spacing w:val="9"/>
          <w:sz w:val="20"/>
          <w:szCs w:val="20"/>
          <w:highlight w:val="none"/>
          <w:lang w:val="en-US" w:eastAsia="zh-CN"/>
        </w:rPr>
        <w:t>0535-6819015</w:t>
      </w:r>
      <w:r>
        <w:rPr>
          <w:rFonts w:ascii="宋体" w:hAnsi="宋体" w:eastAsia="宋体" w:cs="宋体"/>
          <w:spacing w:val="9"/>
          <w:sz w:val="20"/>
          <w:szCs w:val="20"/>
          <w:highlight w:val="none"/>
        </w:rPr>
        <w:t>，邮箱：</w:t>
      </w:r>
      <w:r>
        <w:rPr>
          <w:rFonts w:hint="eastAsia" w:ascii="宋体" w:hAnsi="宋体" w:eastAsia="宋体" w:cs="宋体"/>
          <w:spacing w:val="9"/>
          <w:sz w:val="20"/>
          <w:szCs w:val="20"/>
          <w:highlight w:val="none"/>
          <w:lang w:val="en-US" w:eastAsia="zh-CN"/>
        </w:rPr>
        <w:t>zeshang1983@163.com</w:t>
      </w:r>
      <w:r>
        <w:rPr>
          <w:rFonts w:ascii="宋体" w:hAnsi="宋体" w:eastAsia="宋体" w:cs="宋体"/>
          <w:spacing w:val="9"/>
          <w:sz w:val="20"/>
          <w:szCs w:val="20"/>
          <w:highlight w:val="none"/>
        </w:rPr>
        <w:fldChar w:fldCharType="begin"/>
      </w:r>
      <w:r>
        <w:rPr>
          <w:rFonts w:ascii="宋体" w:hAnsi="宋体" w:eastAsia="宋体" w:cs="宋体"/>
          <w:spacing w:val="9"/>
          <w:sz w:val="20"/>
          <w:szCs w:val="20"/>
          <w:highlight w:val="none"/>
        </w:rPr>
        <w:instrText xml:space="preserve"> HYPERLINK "mailto:shizheng@sdad.cn）。" </w:instrText>
      </w:r>
      <w:r>
        <w:rPr>
          <w:rFonts w:ascii="宋体" w:hAnsi="宋体" w:eastAsia="宋体" w:cs="宋体"/>
          <w:spacing w:val="9"/>
          <w:sz w:val="20"/>
          <w:szCs w:val="20"/>
          <w:highlight w:val="none"/>
        </w:rPr>
        <w:fldChar w:fldCharType="separate"/>
      </w:r>
      <w:r>
        <w:rPr>
          <w:rFonts w:ascii="宋体" w:hAnsi="宋体" w:eastAsia="宋体" w:cs="宋体"/>
          <w:spacing w:val="9"/>
          <w:sz w:val="20"/>
          <w:szCs w:val="20"/>
          <w:highlight w:val="none"/>
        </w:rPr>
        <w:t>）</w:t>
      </w:r>
      <w:r>
        <w:rPr>
          <w:rFonts w:ascii="宋体" w:hAnsi="宋体" w:eastAsia="宋体" w:cs="宋体"/>
          <w:spacing w:val="9"/>
          <w:sz w:val="20"/>
          <w:szCs w:val="20"/>
          <w:highlight w:val="none"/>
        </w:rPr>
        <w:fldChar w:fldCharType="end"/>
      </w:r>
      <w:r>
        <w:rPr>
          <w:rFonts w:ascii="宋体" w:hAnsi="宋体" w:eastAsia="宋体" w:cs="宋体"/>
          <w:spacing w:val="9"/>
          <w:sz w:val="20"/>
          <w:szCs w:val="20"/>
        </w:rPr>
        <w:t>。</w:t>
      </w:r>
    </w:p>
    <w:p>
      <w:pPr>
        <w:spacing w:before="0" w:line="360" w:lineRule="auto"/>
        <w:ind w:right="0" w:firstLine="436" w:firstLineChars="200"/>
        <w:jc w:val="both"/>
        <w:rPr>
          <w:rFonts w:ascii="宋体" w:hAnsi="宋体" w:eastAsia="宋体" w:cs="宋体"/>
          <w:spacing w:val="9"/>
          <w:sz w:val="20"/>
          <w:szCs w:val="20"/>
          <w:highlight w:val="none"/>
          <w:lang w:val="en-US" w:eastAsia="zh-CN"/>
        </w:rPr>
      </w:pPr>
      <w:r>
        <w:rPr>
          <w:rFonts w:ascii="宋体" w:hAnsi="宋体" w:eastAsia="宋体" w:cs="宋体"/>
          <w:spacing w:val="9"/>
          <w:sz w:val="20"/>
          <w:szCs w:val="20"/>
          <w:highlight w:val="none"/>
          <w:lang w:val="en-US" w:eastAsia="zh-CN"/>
        </w:rPr>
        <w:t>主编单位：</w:t>
      </w:r>
    </w:p>
    <w:p>
      <w:pPr>
        <w:spacing w:before="0" w:line="360" w:lineRule="auto"/>
        <w:ind w:right="0" w:firstLine="436" w:firstLineChars="200"/>
        <w:jc w:val="both"/>
        <w:rPr>
          <w:rFonts w:hint="eastAsia" w:ascii="宋体" w:hAnsi="宋体" w:eastAsia="宋体" w:cs="宋体"/>
          <w:spacing w:val="9"/>
          <w:sz w:val="20"/>
          <w:szCs w:val="20"/>
          <w:highlight w:val="none"/>
          <w:lang w:val="en-US" w:eastAsia="zh-CN"/>
        </w:rPr>
      </w:pPr>
      <w:r>
        <w:rPr>
          <w:rFonts w:ascii="宋体" w:hAnsi="宋体" w:eastAsia="宋体" w:cs="宋体"/>
          <w:spacing w:val="9"/>
          <w:sz w:val="20"/>
          <w:szCs w:val="20"/>
          <w:highlight w:val="none"/>
          <w:lang w:val="en-US" w:eastAsia="zh-CN"/>
        </w:rPr>
        <w:t>参编单位</w:t>
      </w:r>
      <w:r>
        <w:rPr>
          <w:rFonts w:hint="eastAsia" w:ascii="宋体" w:hAnsi="宋体" w:eastAsia="宋体" w:cs="宋体"/>
          <w:spacing w:val="9"/>
          <w:sz w:val="20"/>
          <w:szCs w:val="20"/>
          <w:highlight w:val="none"/>
          <w:lang w:val="en-US" w:eastAsia="zh-CN"/>
        </w:rPr>
        <w:t>：</w:t>
      </w:r>
    </w:p>
    <w:p>
      <w:pPr>
        <w:spacing w:before="0" w:line="360" w:lineRule="auto"/>
        <w:ind w:left="0" w:leftChars="0" w:right="0" w:firstLine="436" w:firstLineChars="200"/>
        <w:jc w:val="both"/>
        <w:rPr>
          <w:rFonts w:ascii="宋体" w:hAnsi="宋体" w:eastAsia="宋体" w:cs="宋体"/>
          <w:spacing w:val="9"/>
          <w:sz w:val="20"/>
          <w:szCs w:val="20"/>
          <w:highlight w:val="none"/>
        </w:rPr>
      </w:pPr>
      <w:r>
        <w:rPr>
          <w:rFonts w:ascii="宋体" w:hAnsi="宋体" w:eastAsia="宋体" w:cs="宋体"/>
          <w:spacing w:val="9"/>
          <w:sz w:val="20"/>
          <w:szCs w:val="20"/>
          <w:highlight w:val="none"/>
        </w:rPr>
        <w:t>编制人员：</w:t>
      </w:r>
    </w:p>
    <w:p>
      <w:pPr>
        <w:spacing w:before="0" w:line="360" w:lineRule="auto"/>
        <w:ind w:right="0" w:firstLine="436" w:firstLineChars="200"/>
        <w:jc w:val="both"/>
        <w:rPr>
          <w:rFonts w:ascii="宋体" w:hAnsi="宋体" w:eastAsia="宋体" w:cs="宋体"/>
          <w:spacing w:val="9"/>
          <w:sz w:val="20"/>
          <w:szCs w:val="20"/>
        </w:rPr>
      </w:pPr>
      <w:r>
        <w:rPr>
          <w:rFonts w:ascii="宋体" w:hAnsi="宋体" w:eastAsia="宋体" w:cs="宋体"/>
          <w:spacing w:val="9"/>
          <w:sz w:val="20"/>
          <w:szCs w:val="20"/>
        </w:rPr>
        <w:t>审查人员：</w:t>
      </w:r>
    </w:p>
    <w:p>
      <w:pPr>
        <w:spacing w:before="65" w:line="432" w:lineRule="auto"/>
        <w:ind w:right="107" w:firstLine="419"/>
        <w:jc w:val="both"/>
        <w:rPr>
          <w:rFonts w:ascii="宋体" w:hAnsi="宋体" w:eastAsia="宋体" w:cs="宋体"/>
          <w:spacing w:val="9"/>
          <w:sz w:val="20"/>
          <w:szCs w:val="20"/>
        </w:rPr>
      </w:pPr>
    </w:p>
    <w:p>
      <w:pPr>
        <w:spacing w:before="65" w:line="432" w:lineRule="auto"/>
        <w:ind w:right="107" w:firstLine="419"/>
        <w:jc w:val="both"/>
        <w:rPr>
          <w:rFonts w:ascii="宋体" w:hAnsi="宋体" w:eastAsia="宋体" w:cs="宋体"/>
          <w:spacing w:val="9"/>
          <w:sz w:val="20"/>
          <w:szCs w:val="20"/>
        </w:rPr>
        <w:sectPr>
          <w:pgSz w:w="7938" w:h="11510"/>
          <w:pgMar w:top="978" w:right="1095" w:bottom="0" w:left="1190" w:header="0" w:footer="0" w:gutter="0"/>
          <w:cols w:space="720" w:num="1"/>
        </w:sectPr>
      </w:pPr>
    </w:p>
    <w:sdt>
      <w:sdtPr>
        <w:rPr>
          <w:rFonts w:ascii="宋体" w:hAnsi="宋体" w:eastAsia="宋体" w:cs="Arial"/>
          <w:b/>
          <w:bCs/>
          <w:snapToGrid w:val="0"/>
          <w:color w:val="000000"/>
          <w:kern w:val="0"/>
          <w:sz w:val="28"/>
          <w:szCs w:val="28"/>
          <w:lang w:val="en-US" w:eastAsia="en-US" w:bidi="ar-SA"/>
        </w:rPr>
        <w:id w:val="147478745"/>
        <w15:color w:val="DBDBDB"/>
        <w:docPartObj>
          <w:docPartGallery w:val="Table of Contents"/>
          <w:docPartUnique/>
        </w:docPartObj>
      </w:sdtPr>
      <w:sdtEndPr>
        <w:rPr>
          <w:rFonts w:ascii="Times New Roman" w:hAnsi="Times New Roman" w:eastAsia="Times New Roman" w:cs="Times New Roman"/>
          <w:b/>
          <w:bCs/>
          <w:snapToGrid w:val="0"/>
          <w:color w:val="000000"/>
          <w:kern w:val="0"/>
          <w:sz w:val="21"/>
          <w:szCs w:val="20"/>
          <w:lang w:val="en-US" w:eastAsia="en-US" w:bidi="ar-SA"/>
        </w:rPr>
      </w:sdtEndPr>
      <w:sdtContent>
        <w:p>
          <w:pPr>
            <w:spacing w:before="0" w:beforeLines="0" w:after="0" w:afterLines="0" w:line="240" w:lineRule="auto"/>
            <w:ind w:left="0" w:leftChars="0" w:right="0" w:rightChars="0" w:firstLine="0" w:firstLineChars="0"/>
            <w:jc w:val="center"/>
            <w:rPr>
              <w:rFonts w:hint="eastAsia" w:eastAsia="宋体"/>
              <w:b/>
              <w:bCs/>
              <w:sz w:val="28"/>
              <w:szCs w:val="28"/>
              <w:lang w:val="en-US" w:eastAsia="zh-CN"/>
            </w:rPr>
          </w:pPr>
          <w:r>
            <w:rPr>
              <w:rFonts w:ascii="宋体" w:hAnsi="宋体" w:eastAsia="宋体"/>
              <w:b/>
              <w:bCs/>
              <w:sz w:val="28"/>
              <w:szCs w:val="28"/>
            </w:rPr>
            <w:t>目</w:t>
          </w:r>
          <w:r>
            <w:rPr>
              <w:rFonts w:hint="eastAsia" w:ascii="宋体" w:hAnsi="宋体" w:eastAsia="宋体"/>
              <w:b/>
              <w:bCs/>
              <w:sz w:val="28"/>
              <w:szCs w:val="28"/>
              <w:lang w:val="en-US" w:eastAsia="zh-CN"/>
            </w:rPr>
            <w:t xml:space="preserve">    次</w:t>
          </w:r>
        </w:p>
        <w:p>
          <w:pPr>
            <w:tabs>
              <w:tab w:val="right" w:leader="dot" w:pos="5990"/>
            </w:tabs>
            <w:spacing w:before="248" w:line="193" w:lineRule="auto"/>
            <w:ind w:left="16"/>
          </w:pPr>
          <w:r>
            <w:rPr>
              <w:rFonts w:ascii="Times New Roman" w:hAnsi="Times New Roman" w:eastAsia="Times New Roman" w:cs="Times New Roman"/>
              <w:snapToGrid w:val="0"/>
              <w:color w:val="000000"/>
              <w:kern w:val="0"/>
              <w:sz w:val="21"/>
              <w:szCs w:val="20"/>
              <w:lang w:val="en-US" w:eastAsia="en-US" w:bidi="ar-SA"/>
            </w:rPr>
            <w:fldChar w:fldCharType="begin"/>
          </w:r>
          <w:r>
            <w:rPr>
              <w:rFonts w:ascii="Times New Roman" w:hAnsi="Times New Roman" w:eastAsia="Times New Roman" w:cs="Times New Roman"/>
              <w:snapToGrid w:val="0"/>
              <w:color w:val="000000"/>
              <w:kern w:val="0"/>
              <w:sz w:val="21"/>
              <w:szCs w:val="20"/>
              <w:lang w:val="en-US" w:eastAsia="en-US" w:bidi="ar-SA"/>
            </w:rPr>
            <w:instrText xml:space="preserve">TOC \o "1-2" \h \u </w:instrText>
          </w:r>
          <w:r>
            <w:rPr>
              <w:rFonts w:ascii="Times New Roman" w:hAnsi="Times New Roman" w:eastAsia="Times New Roman" w:cs="Times New Roman"/>
              <w:snapToGrid w:val="0"/>
              <w:color w:val="000000"/>
              <w:kern w:val="0"/>
              <w:sz w:val="21"/>
              <w:szCs w:val="20"/>
              <w:lang w:val="en-US" w:eastAsia="en-US" w:bidi="ar-SA"/>
            </w:rPr>
            <w:fldChar w:fldCharType="separate"/>
          </w:r>
          <w:r>
            <w:rPr>
              <w:lang w:val="en-US" w:eastAsia="en-US"/>
            </w:rPr>
            <w:fldChar w:fldCharType="begin"/>
          </w:r>
          <w:r>
            <w:rPr>
              <w:lang w:val="en-US" w:eastAsia="en-US"/>
            </w:rPr>
            <w:instrText xml:space="preserve"> HYPERLINK \l _Toc24648 </w:instrText>
          </w:r>
          <w:r>
            <w:rPr>
              <w:lang w:val="en-US" w:eastAsia="en-US"/>
            </w:rPr>
            <w:fldChar w:fldCharType="separate"/>
          </w:r>
          <w:r>
            <w:t>1  总  则</w:t>
          </w:r>
          <w:r>
            <w:tab/>
          </w:r>
          <w:r>
            <w:fldChar w:fldCharType="begin"/>
          </w:r>
          <w:r>
            <w:instrText xml:space="preserve"> PAGEREF _Toc24648 \h </w:instrText>
          </w:r>
          <w:r>
            <w:fldChar w:fldCharType="separate"/>
          </w:r>
          <w:r>
            <w:t>1</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_Toc17657 </w:instrText>
          </w:r>
          <w:r>
            <w:rPr>
              <w:lang w:val="en-US" w:eastAsia="en-US"/>
            </w:rPr>
            <w:fldChar w:fldCharType="separate"/>
          </w:r>
          <w:r>
            <w:t>2  术  语</w:t>
          </w:r>
          <w:r>
            <w:tab/>
          </w:r>
          <w:r>
            <w:fldChar w:fldCharType="begin"/>
          </w:r>
          <w:r>
            <w:instrText xml:space="preserve"> PAGEREF _Toc17657 \h </w:instrText>
          </w:r>
          <w:r>
            <w:fldChar w:fldCharType="separate"/>
          </w:r>
          <w:r>
            <w:t>2</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_Toc22166 </w:instrText>
          </w:r>
          <w:r>
            <w:rPr>
              <w:lang w:val="en-US" w:eastAsia="en-US"/>
            </w:rPr>
            <w:fldChar w:fldCharType="separate"/>
          </w:r>
          <w:r>
            <w:t>3  基本规定</w:t>
          </w:r>
          <w:r>
            <w:tab/>
          </w:r>
          <w:r>
            <w:fldChar w:fldCharType="begin"/>
          </w:r>
          <w:r>
            <w:instrText xml:space="preserve"> PAGEREF _Toc22166 \h </w:instrText>
          </w:r>
          <w:r>
            <w:fldChar w:fldCharType="separate"/>
          </w:r>
          <w:r>
            <w:t>6</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_Toc11552 </w:instrText>
          </w:r>
          <w:r>
            <w:rPr>
              <w:lang w:val="en-US" w:eastAsia="en-US"/>
            </w:rPr>
            <w:fldChar w:fldCharType="separate"/>
          </w:r>
          <w:r>
            <w:t xml:space="preserve">4  </w:t>
          </w:r>
          <w:r>
            <w:rPr>
              <w:rFonts w:hint="eastAsia"/>
              <w:lang w:val="en-US" w:eastAsia="zh-CN"/>
            </w:rPr>
            <w:t>土建工程</w:t>
          </w:r>
          <w:r>
            <w:tab/>
          </w:r>
          <w:r>
            <w:fldChar w:fldCharType="begin"/>
          </w:r>
          <w:r>
            <w:instrText xml:space="preserve"> PAGEREF _Toc11552 \h </w:instrText>
          </w:r>
          <w:r>
            <w:fldChar w:fldCharType="separate"/>
          </w:r>
          <w:r>
            <w:t>8</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_Toc26640 </w:instrText>
          </w:r>
          <w:r>
            <w:rPr>
              <w:lang w:val="en-US" w:eastAsia="en-US"/>
            </w:rPr>
            <w:fldChar w:fldCharType="separate"/>
          </w:r>
          <w:r>
            <w:t xml:space="preserve">4.1 </w:t>
          </w:r>
          <w:r>
            <w:rPr>
              <w:rFonts w:hint="default"/>
              <w:lang w:val="en-US" w:eastAsia="en-US"/>
            </w:rPr>
            <w:t>核心构筑物设计</w:t>
          </w:r>
          <w:r>
            <w:tab/>
          </w:r>
          <w:r>
            <w:fldChar w:fldCharType="begin"/>
          </w:r>
          <w:r>
            <w:instrText xml:space="preserve"> PAGEREF _Toc26640 \h </w:instrText>
          </w:r>
          <w:r>
            <w:fldChar w:fldCharType="separate"/>
          </w:r>
          <w:r>
            <w:t>8</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_Toc6534 </w:instrText>
          </w:r>
          <w:r>
            <w:rPr>
              <w:lang w:val="en-US" w:eastAsia="en-US"/>
            </w:rPr>
            <w:fldChar w:fldCharType="separate"/>
          </w:r>
          <w:r>
            <w:t xml:space="preserve">4.2 </w:t>
          </w:r>
          <w:r>
            <w:rPr>
              <w:rFonts w:hint="default"/>
              <w:lang w:val="en-US" w:eastAsia="en-US"/>
            </w:rPr>
            <w:t>加药间设计与防腐</w:t>
          </w:r>
          <w:r>
            <w:tab/>
          </w:r>
          <w:r>
            <w:fldChar w:fldCharType="begin"/>
          </w:r>
          <w:r>
            <w:instrText xml:space="preserve"> PAGEREF _Toc6534 \h </w:instrText>
          </w:r>
          <w:r>
            <w:fldChar w:fldCharType="separate"/>
          </w:r>
          <w:r>
            <w:t>9</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_Toc17544 </w:instrText>
          </w:r>
          <w:r>
            <w:rPr>
              <w:lang w:val="en-US" w:eastAsia="en-US"/>
            </w:rPr>
            <w:fldChar w:fldCharType="separate"/>
          </w:r>
          <w:r>
            <w:t>4.</w:t>
          </w:r>
          <w:r>
            <w:rPr>
              <w:rFonts w:hint="eastAsia"/>
              <w:lang w:val="en-US" w:eastAsia="zh-CN"/>
            </w:rPr>
            <w:t>3</w:t>
          </w:r>
          <w:r>
            <w:t xml:space="preserve"> </w:t>
          </w:r>
          <w:r>
            <w:rPr>
              <w:rFonts w:hint="default"/>
              <w:lang w:val="en-US" w:eastAsia="en-US"/>
            </w:rPr>
            <w:t>土建水池与防腐模块</w:t>
          </w:r>
          <w:r>
            <w:tab/>
          </w:r>
          <w:r>
            <w:fldChar w:fldCharType="begin"/>
          </w:r>
          <w:r>
            <w:instrText xml:space="preserve"> PAGEREF _Toc17544 \h </w:instrText>
          </w:r>
          <w:r>
            <w:fldChar w:fldCharType="separate"/>
          </w:r>
          <w:r>
            <w:t>9</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_Toc4802 </w:instrText>
          </w:r>
          <w:r>
            <w:rPr>
              <w:lang w:val="en-US" w:eastAsia="en-US"/>
            </w:rPr>
            <w:fldChar w:fldCharType="separate"/>
          </w:r>
          <w:r>
            <w:t>4.</w:t>
          </w:r>
          <w:r>
            <w:rPr>
              <w:rFonts w:hint="eastAsia"/>
              <w:lang w:val="en-US" w:eastAsia="zh-CN"/>
            </w:rPr>
            <w:t>4</w:t>
          </w:r>
          <w:r>
            <w:t xml:space="preserve"> </w:t>
          </w:r>
          <w:r>
            <w:rPr>
              <w:rFonts w:hint="eastAsia"/>
              <w:lang w:val="en-US" w:eastAsia="zh-CN"/>
            </w:rPr>
            <w:t>其他要求</w:t>
          </w:r>
          <w:r>
            <w:tab/>
          </w:r>
          <w:r>
            <w:fldChar w:fldCharType="begin"/>
          </w:r>
          <w:r>
            <w:instrText xml:space="preserve"> PAGEREF _Toc4802 \h </w:instrText>
          </w:r>
          <w:r>
            <w:fldChar w:fldCharType="separate"/>
          </w:r>
          <w:r>
            <w:t>10</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_Toc20990 </w:instrText>
          </w:r>
          <w:r>
            <w:rPr>
              <w:lang w:val="en-US" w:eastAsia="en-US"/>
            </w:rPr>
            <w:fldChar w:fldCharType="separate"/>
          </w:r>
          <w:r>
            <w:t xml:space="preserve">5  </w:t>
          </w:r>
          <w:r>
            <w:rPr>
              <w:rFonts w:hint="default"/>
              <w:lang w:val="en-US" w:eastAsia="en-US"/>
            </w:rPr>
            <w:t>工艺管道工程</w:t>
          </w:r>
          <w:r>
            <w:tab/>
          </w:r>
          <w:r>
            <w:fldChar w:fldCharType="begin"/>
          </w:r>
          <w:r>
            <w:instrText xml:space="preserve"> PAGEREF _Toc20990 \h </w:instrText>
          </w:r>
          <w:r>
            <w:fldChar w:fldCharType="separate"/>
          </w:r>
          <w:r>
            <w:t>11</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_Toc3967 </w:instrText>
          </w:r>
          <w:r>
            <w:rPr>
              <w:lang w:val="en-US" w:eastAsia="en-US"/>
            </w:rPr>
            <w:fldChar w:fldCharType="separate"/>
          </w:r>
          <w:r>
            <w:t xml:space="preserve">5.1 </w:t>
          </w:r>
          <w:r>
            <w:rPr>
              <w:rFonts w:hint="default"/>
              <w:lang w:val="en-US" w:eastAsia="en-US"/>
            </w:rPr>
            <w:t>管材选型与连接</w:t>
          </w:r>
          <w:r>
            <w:tab/>
          </w:r>
          <w:r>
            <w:fldChar w:fldCharType="begin"/>
          </w:r>
          <w:r>
            <w:instrText xml:space="preserve"> PAGEREF _Toc3967 \h </w:instrText>
          </w:r>
          <w:r>
            <w:fldChar w:fldCharType="separate"/>
          </w:r>
          <w:r>
            <w:t>11</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_Toc14991 </w:instrText>
          </w:r>
          <w:r>
            <w:rPr>
              <w:lang w:val="en-US" w:eastAsia="en-US"/>
            </w:rPr>
            <w:fldChar w:fldCharType="separate"/>
          </w:r>
          <w:r>
            <w:t xml:space="preserve">5.2 </w:t>
          </w:r>
          <w:r>
            <w:rPr>
              <w:rFonts w:hint="default"/>
              <w:lang w:val="en-US" w:eastAsia="en-US"/>
            </w:rPr>
            <w:t>管道安装与试验</w:t>
          </w:r>
          <w:r>
            <w:tab/>
          </w:r>
          <w:r>
            <w:fldChar w:fldCharType="begin"/>
          </w:r>
          <w:r>
            <w:instrText xml:space="preserve"> PAGEREF _Toc14991 \h </w:instrText>
          </w:r>
          <w:r>
            <w:fldChar w:fldCharType="separate"/>
          </w:r>
          <w:r>
            <w:t>12</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_Toc20239 </w:instrText>
          </w:r>
          <w:r>
            <w:rPr>
              <w:lang w:val="en-US" w:eastAsia="en-US"/>
            </w:rPr>
            <w:fldChar w:fldCharType="separate"/>
          </w:r>
          <w:r>
            <w:rPr>
              <w:rFonts w:hint="eastAsia"/>
              <w:lang w:val="en-US" w:eastAsia="zh-CN"/>
            </w:rPr>
            <w:t>6</w:t>
          </w:r>
          <w:r>
            <w:t xml:space="preserve">  </w:t>
          </w:r>
          <w:r>
            <w:rPr>
              <w:rFonts w:hint="default"/>
              <w:lang w:val="en-US" w:eastAsia="en-US"/>
            </w:rPr>
            <w:t>核心工艺系统设计参数</w:t>
          </w:r>
          <w:r>
            <w:tab/>
          </w:r>
          <w:r>
            <w:fldChar w:fldCharType="begin"/>
          </w:r>
          <w:r>
            <w:instrText xml:space="preserve"> PAGEREF _Toc20239 \h </w:instrText>
          </w:r>
          <w:r>
            <w:fldChar w:fldCharType="separate"/>
          </w:r>
          <w:r>
            <w:t>14</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_Toc20272 </w:instrText>
          </w:r>
          <w:r>
            <w:rPr>
              <w:lang w:val="en-US" w:eastAsia="en-US"/>
            </w:rPr>
            <w:fldChar w:fldCharType="separate"/>
          </w:r>
          <w:r>
            <w:rPr>
              <w:rFonts w:hint="eastAsia"/>
              <w:lang w:val="en-US" w:eastAsia="zh-CN"/>
            </w:rPr>
            <w:t>6</w:t>
          </w:r>
          <w:r>
            <w:t xml:space="preserve">.1  </w:t>
          </w:r>
          <w:r>
            <w:rPr>
              <w:rFonts w:hint="default"/>
              <w:lang w:val="en-US" w:eastAsia="en-US"/>
            </w:rPr>
            <w:t>总工艺流程</w:t>
          </w:r>
          <w:r>
            <w:tab/>
          </w:r>
          <w:r>
            <w:fldChar w:fldCharType="begin"/>
          </w:r>
          <w:r>
            <w:instrText xml:space="preserve"> PAGEREF _Toc20272 \h </w:instrText>
          </w:r>
          <w:r>
            <w:fldChar w:fldCharType="separate"/>
          </w:r>
          <w:r>
            <w:t>14</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_Toc23007 </w:instrText>
          </w:r>
          <w:r>
            <w:rPr>
              <w:lang w:val="en-US" w:eastAsia="en-US"/>
            </w:rPr>
            <w:fldChar w:fldCharType="separate"/>
          </w:r>
          <w:r>
            <w:rPr>
              <w:rFonts w:hint="eastAsia"/>
              <w:lang w:val="en-US" w:eastAsia="zh-CN"/>
            </w:rPr>
            <w:t xml:space="preserve">6.2 </w:t>
          </w:r>
          <w:r>
            <w:rPr>
              <w:rFonts w:hint="default"/>
              <w:lang w:val="en-US" w:eastAsia="en-US"/>
            </w:rPr>
            <w:t>预处理系统</w:t>
          </w:r>
          <w:r>
            <w:tab/>
          </w:r>
          <w:r>
            <w:fldChar w:fldCharType="begin"/>
          </w:r>
          <w:r>
            <w:instrText xml:space="preserve"> PAGEREF _Toc23007 \h </w:instrText>
          </w:r>
          <w:r>
            <w:fldChar w:fldCharType="separate"/>
          </w:r>
          <w:r>
            <w:t>14</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_Toc3283 </w:instrText>
          </w:r>
          <w:r>
            <w:rPr>
              <w:lang w:val="en-US" w:eastAsia="en-US"/>
            </w:rPr>
            <w:fldChar w:fldCharType="separate"/>
          </w:r>
          <w:r>
            <w:rPr>
              <w:rFonts w:hint="eastAsia"/>
              <w:lang w:val="en-US" w:eastAsia="zh-CN"/>
            </w:rPr>
            <w:t>6.3 进水水质要求</w:t>
          </w:r>
          <w:r>
            <w:tab/>
          </w:r>
          <w:r>
            <w:fldChar w:fldCharType="begin"/>
          </w:r>
          <w:r>
            <w:instrText xml:space="preserve"> PAGEREF _Toc3283 \h </w:instrText>
          </w:r>
          <w:r>
            <w:fldChar w:fldCharType="separate"/>
          </w:r>
          <w:r>
            <w:t>14</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_Toc24160 </w:instrText>
          </w:r>
          <w:r>
            <w:rPr>
              <w:lang w:val="en-US" w:eastAsia="en-US"/>
            </w:rPr>
            <w:fldChar w:fldCharType="separate"/>
          </w:r>
          <w:r>
            <w:rPr>
              <w:rFonts w:hint="eastAsia"/>
              <w:lang w:val="en-US" w:eastAsia="zh-CN"/>
            </w:rPr>
            <w:t>6.4 超滤</w:t>
          </w:r>
          <w:r>
            <w:rPr>
              <w:rFonts w:hint="default"/>
              <w:lang w:val="en-US" w:eastAsia="en-US"/>
            </w:rPr>
            <w:t>系统</w:t>
          </w:r>
          <w:r>
            <w:tab/>
          </w:r>
          <w:r>
            <w:fldChar w:fldCharType="begin"/>
          </w:r>
          <w:r>
            <w:instrText xml:space="preserve"> PAGEREF _Toc24160 \h </w:instrText>
          </w:r>
          <w:r>
            <w:fldChar w:fldCharType="separate"/>
          </w:r>
          <w:r>
            <w:t>15</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_Toc16429 </w:instrText>
          </w:r>
          <w:r>
            <w:rPr>
              <w:lang w:val="en-US" w:eastAsia="en-US"/>
            </w:rPr>
            <w:fldChar w:fldCharType="separate"/>
          </w:r>
          <w:r>
            <w:rPr>
              <w:rFonts w:hint="eastAsia"/>
              <w:lang w:val="en-US" w:eastAsia="zh-CN"/>
            </w:rPr>
            <w:t>6.5 反渗透</w:t>
          </w:r>
          <w:r>
            <w:rPr>
              <w:rFonts w:hint="default"/>
              <w:lang w:val="en-US" w:eastAsia="en-US"/>
            </w:rPr>
            <w:t>系统</w:t>
          </w:r>
          <w:r>
            <w:tab/>
          </w:r>
          <w:r>
            <w:fldChar w:fldCharType="begin"/>
          </w:r>
          <w:r>
            <w:instrText xml:space="preserve"> PAGEREF _Toc16429 \h </w:instrText>
          </w:r>
          <w:r>
            <w:fldChar w:fldCharType="separate"/>
          </w:r>
          <w:r>
            <w:t>20</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_Toc5725 </w:instrText>
          </w:r>
          <w:r>
            <w:rPr>
              <w:lang w:val="en-US" w:eastAsia="en-US"/>
            </w:rPr>
            <w:fldChar w:fldCharType="separate"/>
          </w:r>
          <w:r>
            <w:rPr>
              <w:rFonts w:hint="eastAsia"/>
              <w:lang w:val="en-US" w:eastAsia="zh-CN"/>
            </w:rPr>
            <w:t>6.6 加药</w:t>
          </w:r>
          <w:r>
            <w:rPr>
              <w:rFonts w:hint="default"/>
              <w:lang w:val="en-US" w:eastAsia="en-US"/>
            </w:rPr>
            <w:t>系统</w:t>
          </w:r>
          <w:r>
            <w:tab/>
          </w:r>
          <w:r>
            <w:fldChar w:fldCharType="begin"/>
          </w:r>
          <w:r>
            <w:instrText xml:space="preserve"> PAGEREF _Toc5725 \h </w:instrText>
          </w:r>
          <w:r>
            <w:fldChar w:fldCharType="separate"/>
          </w:r>
          <w:r>
            <w:t>24</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_Toc25656 </w:instrText>
          </w:r>
          <w:r>
            <w:rPr>
              <w:lang w:val="en-US" w:eastAsia="en-US"/>
            </w:rPr>
            <w:fldChar w:fldCharType="separate"/>
          </w:r>
          <w:r>
            <w:rPr>
              <w:rFonts w:hint="eastAsia"/>
              <w:lang w:val="en-US" w:eastAsia="zh-CN"/>
            </w:rPr>
            <w:t>6.7 产水水质要求</w:t>
          </w:r>
          <w:r>
            <w:tab/>
          </w:r>
          <w:r>
            <w:fldChar w:fldCharType="begin"/>
          </w:r>
          <w:r>
            <w:instrText xml:space="preserve"> PAGEREF _Toc25656 \h </w:instrText>
          </w:r>
          <w:r>
            <w:fldChar w:fldCharType="separate"/>
          </w:r>
          <w:r>
            <w:t>26</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_Toc32727 </w:instrText>
          </w:r>
          <w:r>
            <w:rPr>
              <w:lang w:val="en-US" w:eastAsia="en-US"/>
            </w:rPr>
            <w:fldChar w:fldCharType="separate"/>
          </w:r>
          <w:r>
            <w:rPr>
              <w:rFonts w:hint="eastAsia"/>
              <w:lang w:val="en-US" w:eastAsia="zh-CN"/>
            </w:rPr>
            <w:t>7</w:t>
          </w:r>
          <w:r>
            <w:t xml:space="preserve">  </w:t>
          </w:r>
          <w:r>
            <w:rPr>
              <w:rFonts w:hint="eastAsia"/>
              <w:lang w:val="en-US" w:eastAsia="zh-CN"/>
            </w:rPr>
            <w:t>设备选型安装</w:t>
          </w:r>
          <w:r>
            <w:tab/>
          </w:r>
          <w:r>
            <w:fldChar w:fldCharType="begin"/>
          </w:r>
          <w:r>
            <w:instrText xml:space="preserve"> PAGEREF _Toc32727 \h </w:instrText>
          </w:r>
          <w:r>
            <w:fldChar w:fldCharType="separate"/>
          </w:r>
          <w:r>
            <w:t>28</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_Toc31259 </w:instrText>
          </w:r>
          <w:r>
            <w:rPr>
              <w:lang w:val="en-US" w:eastAsia="en-US"/>
            </w:rPr>
            <w:fldChar w:fldCharType="separate"/>
          </w:r>
          <w:r>
            <w:rPr>
              <w:rFonts w:hint="eastAsia"/>
              <w:lang w:val="en-US" w:eastAsia="zh-CN"/>
            </w:rPr>
            <w:t>7.1  一般规定</w:t>
          </w:r>
          <w:r>
            <w:tab/>
          </w:r>
          <w:r>
            <w:fldChar w:fldCharType="begin"/>
          </w:r>
          <w:r>
            <w:instrText xml:space="preserve"> PAGEREF _Toc31259 \h </w:instrText>
          </w:r>
          <w:r>
            <w:fldChar w:fldCharType="separate"/>
          </w:r>
          <w:r>
            <w:t>28</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_Toc19928 </w:instrText>
          </w:r>
          <w:r>
            <w:rPr>
              <w:lang w:val="en-US" w:eastAsia="en-US"/>
            </w:rPr>
            <w:fldChar w:fldCharType="separate"/>
          </w:r>
          <w:r>
            <w:rPr>
              <w:rFonts w:hint="eastAsia"/>
              <w:lang w:val="en-US" w:eastAsia="zh-CN"/>
            </w:rPr>
            <w:t>7.2  通用机电设备</w:t>
          </w:r>
          <w:r>
            <w:tab/>
          </w:r>
          <w:r>
            <w:fldChar w:fldCharType="begin"/>
          </w:r>
          <w:r>
            <w:instrText xml:space="preserve"> PAGEREF _Toc19928 \h </w:instrText>
          </w:r>
          <w:r>
            <w:fldChar w:fldCharType="separate"/>
          </w:r>
          <w:r>
            <w:t>29</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_Toc19761 </w:instrText>
          </w:r>
          <w:r>
            <w:rPr>
              <w:lang w:val="en-US" w:eastAsia="en-US"/>
            </w:rPr>
            <w:fldChar w:fldCharType="separate"/>
          </w:r>
          <w:r>
            <w:rPr>
              <w:rFonts w:hint="eastAsia"/>
              <w:lang w:val="en-US" w:eastAsia="zh-CN"/>
            </w:rPr>
            <w:t>7.3  设备选型安装</w:t>
          </w:r>
          <w:r>
            <w:tab/>
          </w:r>
          <w:r>
            <w:fldChar w:fldCharType="begin"/>
          </w:r>
          <w:r>
            <w:instrText xml:space="preserve"> PAGEREF _Toc19761 \h </w:instrText>
          </w:r>
          <w:r>
            <w:fldChar w:fldCharType="separate"/>
          </w:r>
          <w:r>
            <w:t>29</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_Toc27699 </w:instrText>
          </w:r>
          <w:r>
            <w:rPr>
              <w:lang w:val="en-US" w:eastAsia="en-US"/>
            </w:rPr>
            <w:fldChar w:fldCharType="separate"/>
          </w:r>
          <w:r>
            <w:rPr>
              <w:rFonts w:hint="eastAsia"/>
              <w:lang w:val="en-US" w:eastAsia="zh-CN"/>
            </w:rPr>
            <w:t>7.4 电气系统</w:t>
          </w:r>
          <w:r>
            <w:tab/>
          </w:r>
          <w:r>
            <w:fldChar w:fldCharType="begin"/>
          </w:r>
          <w:r>
            <w:instrText xml:space="preserve"> PAGEREF _Toc27699 \h </w:instrText>
          </w:r>
          <w:r>
            <w:fldChar w:fldCharType="separate"/>
          </w:r>
          <w:r>
            <w:t>31</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_Toc21496 </w:instrText>
          </w:r>
          <w:r>
            <w:rPr>
              <w:lang w:val="en-US" w:eastAsia="en-US"/>
            </w:rPr>
            <w:fldChar w:fldCharType="separate"/>
          </w:r>
          <w:r>
            <w:rPr>
              <w:rFonts w:hint="eastAsia"/>
              <w:lang w:val="en-US" w:eastAsia="zh-CN"/>
            </w:rPr>
            <w:t>7.5 自控仪表设备选型安装</w:t>
          </w:r>
          <w:r>
            <w:tab/>
          </w:r>
          <w:r>
            <w:fldChar w:fldCharType="begin"/>
          </w:r>
          <w:r>
            <w:instrText xml:space="preserve"> PAGEREF _Toc21496 \h </w:instrText>
          </w:r>
          <w:r>
            <w:fldChar w:fldCharType="separate"/>
          </w:r>
          <w:r>
            <w:t>32</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_Toc18963 </w:instrText>
          </w:r>
          <w:r>
            <w:rPr>
              <w:lang w:val="en-US" w:eastAsia="en-US"/>
            </w:rPr>
            <w:fldChar w:fldCharType="separate"/>
          </w:r>
          <w:r>
            <w:rPr>
              <w:rFonts w:hint="eastAsia"/>
              <w:lang w:val="en-US" w:eastAsia="zh-CN"/>
            </w:rPr>
            <w:t>8</w:t>
          </w:r>
          <w:r>
            <w:t xml:space="preserve">  </w:t>
          </w:r>
          <w:r>
            <w:rPr>
              <w:rFonts w:hint="eastAsia"/>
              <w:lang w:val="en-US" w:eastAsia="zh-CN"/>
            </w:rPr>
            <w:t>运输管道标准</w:t>
          </w:r>
          <w:r>
            <w:tab/>
          </w:r>
          <w:r>
            <w:fldChar w:fldCharType="begin"/>
          </w:r>
          <w:r>
            <w:instrText xml:space="preserve"> PAGEREF _Toc18963 \h </w:instrText>
          </w:r>
          <w:r>
            <w:fldChar w:fldCharType="separate"/>
          </w:r>
          <w:r>
            <w:t>35</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_Toc13376 </w:instrText>
          </w:r>
          <w:r>
            <w:rPr>
              <w:lang w:val="en-US" w:eastAsia="en-US"/>
            </w:rPr>
            <w:fldChar w:fldCharType="separate"/>
          </w:r>
          <w:r>
            <w:rPr>
              <w:rFonts w:hint="eastAsia"/>
              <w:lang w:val="en-US" w:eastAsia="zh-CN"/>
            </w:rPr>
            <w:t>8.1  管道设计</w:t>
          </w:r>
          <w:r>
            <w:tab/>
          </w:r>
          <w:r>
            <w:fldChar w:fldCharType="begin"/>
          </w:r>
          <w:r>
            <w:instrText xml:space="preserve"> PAGEREF _Toc13376 \h </w:instrText>
          </w:r>
          <w:r>
            <w:fldChar w:fldCharType="separate"/>
          </w:r>
          <w:r>
            <w:t>35</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_Toc28929 </w:instrText>
          </w:r>
          <w:r>
            <w:rPr>
              <w:lang w:val="en-US" w:eastAsia="en-US"/>
            </w:rPr>
            <w:fldChar w:fldCharType="separate"/>
          </w:r>
          <w:r>
            <w:rPr>
              <w:rFonts w:hint="eastAsia"/>
              <w:lang w:val="en-US" w:eastAsia="zh-CN"/>
            </w:rPr>
            <w:t>8.2  敷设与防护</w:t>
          </w:r>
          <w:r>
            <w:tab/>
          </w:r>
          <w:r>
            <w:fldChar w:fldCharType="begin"/>
          </w:r>
          <w:r>
            <w:instrText xml:space="preserve"> PAGEREF _Toc28929 \h </w:instrText>
          </w:r>
          <w:r>
            <w:fldChar w:fldCharType="separate"/>
          </w:r>
          <w:r>
            <w:t>35</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_Toc6802 </w:instrText>
          </w:r>
          <w:r>
            <w:rPr>
              <w:lang w:val="en-US" w:eastAsia="en-US"/>
            </w:rPr>
            <w:fldChar w:fldCharType="separate"/>
          </w:r>
          <w:r>
            <w:rPr>
              <w:rFonts w:hint="eastAsia"/>
              <w:lang w:val="en-US" w:eastAsia="zh-CN"/>
            </w:rPr>
            <w:t>8.3  运行与维护</w:t>
          </w:r>
          <w:r>
            <w:tab/>
          </w:r>
          <w:r>
            <w:fldChar w:fldCharType="begin"/>
          </w:r>
          <w:r>
            <w:instrText xml:space="preserve"> PAGEREF _Toc6802 \h </w:instrText>
          </w:r>
          <w:r>
            <w:fldChar w:fldCharType="separate"/>
          </w:r>
          <w:r>
            <w:t>36</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_Toc18765 </w:instrText>
          </w:r>
          <w:r>
            <w:rPr>
              <w:lang w:val="en-US" w:eastAsia="en-US"/>
            </w:rPr>
            <w:fldChar w:fldCharType="separate"/>
          </w:r>
          <w:r>
            <w:rPr>
              <w:rFonts w:hint="eastAsia"/>
              <w:lang w:val="en-US" w:eastAsia="zh-CN"/>
            </w:rPr>
            <w:t>9</w:t>
          </w:r>
          <w:r>
            <w:t xml:space="preserve">  </w:t>
          </w:r>
          <w:r>
            <w:rPr>
              <w:rFonts w:hint="eastAsia"/>
              <w:lang w:val="en-US" w:eastAsia="zh-CN"/>
            </w:rPr>
            <w:t>验收标准</w:t>
          </w:r>
          <w:r>
            <w:tab/>
          </w:r>
          <w:r>
            <w:fldChar w:fldCharType="begin"/>
          </w:r>
          <w:r>
            <w:instrText xml:space="preserve"> PAGEREF _Toc18765 \h </w:instrText>
          </w:r>
          <w:r>
            <w:fldChar w:fldCharType="separate"/>
          </w:r>
          <w:r>
            <w:t>37</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_Toc6658 </w:instrText>
          </w:r>
          <w:r>
            <w:rPr>
              <w:lang w:val="en-US" w:eastAsia="en-US"/>
            </w:rPr>
            <w:fldChar w:fldCharType="separate"/>
          </w:r>
          <w:r>
            <w:rPr>
              <w:rFonts w:hint="eastAsia"/>
              <w:lang w:val="en-US" w:eastAsia="zh-CN"/>
            </w:rPr>
            <w:t>10</w:t>
          </w:r>
          <w:r>
            <w:t xml:space="preserve">  </w:t>
          </w:r>
          <w:r>
            <w:rPr>
              <w:rFonts w:hint="eastAsia"/>
              <w:lang w:val="en-US" w:eastAsia="zh-CN"/>
            </w:rPr>
            <w:t>运行维护</w:t>
          </w:r>
          <w:r>
            <w:tab/>
          </w:r>
          <w:r>
            <w:fldChar w:fldCharType="begin"/>
          </w:r>
          <w:r>
            <w:instrText xml:space="preserve"> PAGEREF _Toc6658 \h </w:instrText>
          </w:r>
          <w:r>
            <w:fldChar w:fldCharType="separate"/>
          </w:r>
          <w:r>
            <w:t>38</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_Toc13217 </w:instrText>
          </w:r>
          <w:r>
            <w:rPr>
              <w:lang w:val="en-US" w:eastAsia="en-US"/>
            </w:rPr>
            <w:fldChar w:fldCharType="separate"/>
          </w:r>
          <w:r>
            <w:rPr>
              <w:rFonts w:hint="eastAsia"/>
              <w:lang w:val="en-US" w:eastAsia="zh-CN"/>
            </w:rPr>
            <w:t>10.1  一般规定</w:t>
          </w:r>
          <w:r>
            <w:tab/>
          </w:r>
          <w:r>
            <w:fldChar w:fldCharType="begin"/>
          </w:r>
          <w:r>
            <w:instrText xml:space="preserve"> PAGEREF _Toc13217 \h </w:instrText>
          </w:r>
          <w:r>
            <w:fldChar w:fldCharType="separate"/>
          </w:r>
          <w:r>
            <w:t>38</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_Toc7225 </w:instrText>
          </w:r>
          <w:r>
            <w:rPr>
              <w:lang w:val="en-US" w:eastAsia="en-US"/>
            </w:rPr>
            <w:fldChar w:fldCharType="separate"/>
          </w:r>
          <w:r>
            <w:rPr>
              <w:rFonts w:hint="eastAsia"/>
              <w:lang w:val="en-US" w:eastAsia="zh-CN"/>
            </w:rPr>
            <w:t>10.2  工艺系统维护</w:t>
          </w:r>
          <w:r>
            <w:tab/>
          </w:r>
          <w:r>
            <w:fldChar w:fldCharType="begin"/>
          </w:r>
          <w:r>
            <w:instrText xml:space="preserve"> PAGEREF _Toc7225 \h </w:instrText>
          </w:r>
          <w:r>
            <w:fldChar w:fldCharType="separate"/>
          </w:r>
          <w:r>
            <w:t>38</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_Toc30724 </w:instrText>
          </w:r>
          <w:r>
            <w:rPr>
              <w:lang w:val="en-US" w:eastAsia="en-US"/>
            </w:rPr>
            <w:fldChar w:fldCharType="separate"/>
          </w:r>
          <w:r>
            <w:rPr>
              <w:rFonts w:hint="eastAsia"/>
              <w:lang w:val="en-US" w:eastAsia="zh-CN"/>
            </w:rPr>
            <w:t>10.3  设备维护</w:t>
          </w:r>
          <w:r>
            <w:tab/>
          </w:r>
          <w:r>
            <w:fldChar w:fldCharType="begin"/>
          </w:r>
          <w:r>
            <w:instrText xml:space="preserve"> PAGEREF _Toc30724 \h </w:instrText>
          </w:r>
          <w:r>
            <w:fldChar w:fldCharType="separate"/>
          </w:r>
          <w:r>
            <w:t>39</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_Toc16927 </w:instrText>
          </w:r>
          <w:r>
            <w:rPr>
              <w:lang w:val="en-US" w:eastAsia="en-US"/>
            </w:rPr>
            <w:fldChar w:fldCharType="separate"/>
          </w:r>
          <w:r>
            <w:rPr>
              <w:rFonts w:hint="eastAsia"/>
              <w:lang w:val="en-US" w:eastAsia="zh-CN"/>
            </w:rPr>
            <w:t>10.4  水质监测</w:t>
          </w:r>
          <w:r>
            <w:tab/>
          </w:r>
          <w:r>
            <w:fldChar w:fldCharType="begin"/>
          </w:r>
          <w:r>
            <w:instrText xml:space="preserve"> PAGEREF _Toc16927 \h </w:instrText>
          </w:r>
          <w:r>
            <w:fldChar w:fldCharType="separate"/>
          </w:r>
          <w:r>
            <w:t>39</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_Toc12494 </w:instrText>
          </w:r>
          <w:r>
            <w:rPr>
              <w:lang w:val="en-US" w:eastAsia="en-US"/>
            </w:rPr>
            <w:fldChar w:fldCharType="separate"/>
          </w:r>
          <w:r>
            <w:rPr>
              <w:rFonts w:hint="eastAsia"/>
              <w:lang w:val="en-US" w:eastAsia="zh-CN"/>
            </w:rPr>
            <w:t>11</w:t>
          </w:r>
          <w:r>
            <w:t xml:space="preserve">  </w:t>
          </w:r>
          <w:r>
            <w:rPr>
              <w:rFonts w:hint="eastAsia"/>
              <w:lang w:val="en-US" w:eastAsia="zh-CN"/>
            </w:rPr>
            <w:t>安全保障</w:t>
          </w:r>
          <w:r>
            <w:tab/>
          </w:r>
          <w:r>
            <w:fldChar w:fldCharType="begin"/>
          </w:r>
          <w:r>
            <w:instrText xml:space="preserve"> PAGEREF _Toc12494 \h </w:instrText>
          </w:r>
          <w:r>
            <w:fldChar w:fldCharType="separate"/>
          </w:r>
          <w:r>
            <w:t>40</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_Toc3440 </w:instrText>
          </w:r>
          <w:r>
            <w:rPr>
              <w:lang w:val="en-US" w:eastAsia="en-US"/>
            </w:rPr>
            <w:fldChar w:fldCharType="separate"/>
          </w:r>
          <w:r>
            <w:rPr>
              <w:rFonts w:hint="eastAsia"/>
              <w:lang w:val="en-US" w:eastAsia="zh-CN"/>
            </w:rPr>
            <w:t>11.1  作业安全</w:t>
          </w:r>
          <w:r>
            <w:tab/>
          </w:r>
          <w:r>
            <w:fldChar w:fldCharType="begin"/>
          </w:r>
          <w:r>
            <w:instrText xml:space="preserve"> PAGEREF _Toc3440 \h </w:instrText>
          </w:r>
          <w:r>
            <w:fldChar w:fldCharType="separate"/>
          </w:r>
          <w:r>
            <w:t>40</w:t>
          </w:r>
          <w:r>
            <w:fldChar w:fldCharType="end"/>
          </w:r>
          <w:r>
            <w:rPr>
              <w:lang w:val="en-US" w:eastAsia="en-US"/>
            </w:rPr>
            <w:fldChar w:fldCharType="end"/>
          </w:r>
        </w:p>
        <w:p>
          <w:pPr>
            <w:tabs>
              <w:tab w:val="right" w:leader="dot" w:pos="5990"/>
            </w:tabs>
            <w:spacing w:before="248" w:line="193" w:lineRule="auto"/>
            <w:ind w:left="16" w:firstLine="420" w:firstLineChars="200"/>
          </w:pPr>
          <w:r>
            <w:rPr>
              <w:lang w:val="en-US" w:eastAsia="en-US"/>
            </w:rPr>
            <w:fldChar w:fldCharType="begin"/>
          </w:r>
          <w:r>
            <w:rPr>
              <w:lang w:val="en-US" w:eastAsia="en-US"/>
            </w:rPr>
            <w:instrText xml:space="preserve"> HYPERLINK \l _Toc3691 </w:instrText>
          </w:r>
          <w:r>
            <w:rPr>
              <w:lang w:val="en-US" w:eastAsia="en-US"/>
            </w:rPr>
            <w:fldChar w:fldCharType="separate"/>
          </w:r>
          <w:r>
            <w:rPr>
              <w:rFonts w:hint="eastAsia"/>
              <w:lang w:val="en-US" w:eastAsia="zh-CN"/>
            </w:rPr>
            <w:t>11.2  应急预案</w:t>
          </w:r>
          <w:r>
            <w:tab/>
          </w:r>
          <w:r>
            <w:fldChar w:fldCharType="begin"/>
          </w:r>
          <w:r>
            <w:instrText xml:space="preserve"> PAGEREF _Toc3691 \h </w:instrText>
          </w:r>
          <w:r>
            <w:fldChar w:fldCharType="separate"/>
          </w:r>
          <w:r>
            <w:t>40</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_Toc21510 </w:instrText>
          </w:r>
          <w:r>
            <w:rPr>
              <w:lang w:val="en-US" w:eastAsia="en-US"/>
            </w:rPr>
            <w:fldChar w:fldCharType="separate"/>
          </w:r>
          <w:r>
            <w:t>本标准用词说明</w:t>
          </w:r>
          <w:r>
            <w:tab/>
          </w:r>
          <w:r>
            <w:fldChar w:fldCharType="begin"/>
          </w:r>
          <w:r>
            <w:instrText xml:space="preserve"> PAGEREF _Toc21510 \h </w:instrText>
          </w:r>
          <w:r>
            <w:fldChar w:fldCharType="separate"/>
          </w:r>
          <w:r>
            <w:t>41</w:t>
          </w:r>
          <w:r>
            <w:fldChar w:fldCharType="end"/>
          </w:r>
          <w:r>
            <w:rPr>
              <w:lang w:val="en-US" w:eastAsia="en-US"/>
            </w:rPr>
            <w:fldChar w:fldCharType="end"/>
          </w:r>
        </w:p>
        <w:p>
          <w:pPr>
            <w:tabs>
              <w:tab w:val="right" w:leader="dot" w:pos="5990"/>
            </w:tabs>
            <w:spacing w:before="248" w:line="193" w:lineRule="auto"/>
            <w:ind w:left="16"/>
          </w:pPr>
          <w:r>
            <w:rPr>
              <w:lang w:val="en-US" w:eastAsia="en-US"/>
            </w:rPr>
            <w:fldChar w:fldCharType="begin"/>
          </w:r>
          <w:r>
            <w:rPr>
              <w:lang w:val="en-US" w:eastAsia="en-US"/>
            </w:rPr>
            <w:instrText xml:space="preserve"> HYPERLINK \l _Toc16897 </w:instrText>
          </w:r>
          <w:r>
            <w:rPr>
              <w:lang w:val="en-US" w:eastAsia="en-US"/>
            </w:rPr>
            <w:fldChar w:fldCharType="separate"/>
          </w:r>
          <w:r>
            <w:t>引用标准名录</w:t>
          </w:r>
          <w:r>
            <w:tab/>
          </w:r>
          <w:r>
            <w:fldChar w:fldCharType="begin"/>
          </w:r>
          <w:r>
            <w:instrText xml:space="preserve"> PAGEREF _Toc16897 \h </w:instrText>
          </w:r>
          <w:r>
            <w:fldChar w:fldCharType="separate"/>
          </w:r>
          <w:r>
            <w:t>42</w:t>
          </w:r>
          <w:r>
            <w:fldChar w:fldCharType="end"/>
          </w:r>
          <w:r>
            <w:rPr>
              <w:lang w:val="en-US" w:eastAsia="en-US"/>
            </w:rPr>
            <w:fldChar w:fldCharType="end"/>
          </w:r>
        </w:p>
        <w:p>
          <w:pPr>
            <w:spacing w:line="228" w:lineRule="auto"/>
            <w:rPr>
              <w:rFonts w:ascii="Times New Roman" w:hAnsi="Times New Roman" w:eastAsia="Times New Roman" w:cs="Times New Roman"/>
              <w:snapToGrid w:val="0"/>
              <w:color w:val="000000"/>
              <w:kern w:val="0"/>
              <w:sz w:val="21"/>
              <w:szCs w:val="20"/>
              <w:lang w:val="en-US" w:eastAsia="en-US" w:bidi="ar-SA"/>
            </w:rPr>
          </w:pPr>
          <w:r>
            <w:rPr>
              <w:rFonts w:ascii="Times New Roman" w:hAnsi="Times New Roman" w:eastAsia="Times New Roman" w:cs="Times New Roman"/>
              <w:snapToGrid w:val="0"/>
              <w:color w:val="000000"/>
              <w:kern w:val="0"/>
              <w:szCs w:val="20"/>
              <w:lang w:val="en-US" w:eastAsia="en-US" w:bidi="ar-SA"/>
            </w:rPr>
            <w:fldChar w:fldCharType="end"/>
          </w:r>
        </w:p>
      </w:sdtContent>
    </w:sdt>
    <w:p>
      <w:pPr>
        <w:spacing w:line="228" w:lineRule="auto"/>
        <w:rPr>
          <w:rFonts w:ascii="Times New Roman" w:hAnsi="Times New Roman" w:eastAsia="Times New Roman" w:cs="Times New Roman"/>
          <w:snapToGrid w:val="0"/>
          <w:color w:val="000000"/>
          <w:kern w:val="0"/>
          <w:sz w:val="21"/>
          <w:szCs w:val="20"/>
          <w:lang w:val="en-US" w:eastAsia="en-US" w:bidi="ar-SA"/>
        </w:rPr>
        <w:sectPr>
          <w:pgSz w:w="7938" w:h="11510"/>
          <w:pgMar w:top="978" w:right="964" w:bottom="0" w:left="972" w:header="0" w:footer="0" w:gutter="0"/>
          <w:cols w:space="720" w:num="1"/>
        </w:sectPr>
      </w:pPr>
    </w:p>
    <w:p>
      <w:pPr>
        <w:spacing w:before="204" w:line="189" w:lineRule="auto"/>
        <w:ind w:left="2475"/>
        <w:rPr>
          <w:rFonts w:ascii="Times New Roman" w:hAnsi="Times New Roman" w:eastAsia="Times New Roman" w:cs="Times New Roman"/>
          <w:sz w:val="28"/>
          <w:szCs w:val="28"/>
          <w:highlight w:val="none"/>
        </w:rPr>
      </w:pPr>
      <w:r>
        <w:rPr>
          <w:rFonts w:ascii="Times New Roman" w:hAnsi="Times New Roman" w:eastAsia="Times New Roman" w:cs="Times New Roman"/>
          <w:b/>
          <w:bCs/>
          <w:spacing w:val="-2"/>
          <w:sz w:val="28"/>
          <w:szCs w:val="28"/>
          <w:highlight w:val="none"/>
        </w:rPr>
        <w:t>Contents</w:t>
      </w:r>
    </w:p>
    <w:sdt>
      <w:sdtPr>
        <w:rPr>
          <w:rFonts w:ascii="Times New Roman" w:hAnsi="Times New Roman" w:eastAsia="Times New Roman" w:cs="Times New Roman"/>
          <w:sz w:val="28"/>
          <w:szCs w:val="28"/>
          <w:highlight w:val="yellow"/>
        </w:rPr>
        <w:id w:val="147467885"/>
        <w:docPartObj>
          <w:docPartGallery w:val="Table of Contents"/>
          <w:docPartUnique/>
        </w:docPartObj>
      </w:sdtPr>
      <w:sdtEndPr>
        <w:rPr>
          <w:rFonts w:ascii="Times New Roman" w:hAnsi="Times New Roman" w:eastAsia="Times New Roman" w:cs="Times New Roman"/>
          <w:sz w:val="28"/>
          <w:szCs w:val="28"/>
          <w:highlight w:val="yellow"/>
          <w:lang w:val="en-US" w:eastAsia="en-US"/>
        </w:rPr>
      </w:sdtEndPr>
      <w:sdtContent>
        <w:sdt>
          <w:sdtPr>
            <w:rPr>
              <w:rFonts w:ascii="宋体" w:hAnsi="宋体" w:eastAsia="宋体" w:cs="Arial"/>
              <w:b/>
              <w:bCs/>
              <w:snapToGrid w:val="0"/>
              <w:color w:val="000000"/>
              <w:kern w:val="0"/>
              <w:sz w:val="28"/>
              <w:szCs w:val="28"/>
              <w:lang w:val="en-US" w:eastAsia="en-US" w:bidi="ar-SA"/>
            </w:rPr>
            <w:id w:val="147483560"/>
            <w15:color w:val="DBDBDB"/>
            <w:docPartObj>
              <w:docPartGallery w:val="Table of Contents"/>
              <w:docPartUnique/>
            </w:docPartObj>
          </w:sdtPr>
          <w:sdtEndPr>
            <w:rPr>
              <w:rFonts w:ascii="宋体" w:hAnsi="宋体" w:eastAsia="宋体" w:cs="Arial"/>
              <w:b/>
              <w:bCs/>
              <w:snapToGrid w:val="0"/>
              <w:color w:val="000000"/>
              <w:kern w:val="0"/>
              <w:sz w:val="28"/>
              <w:szCs w:val="28"/>
              <w:lang w:val="en-US" w:eastAsia="en-US" w:bidi="ar-SA"/>
            </w:rPr>
          </w:sdtEndPr>
          <w:sdtContent>
            <w:p>
              <w:pPr>
                <w:spacing w:before="0" w:beforeLines="0" w:after="0" w:afterLines="0" w:line="240" w:lineRule="auto"/>
                <w:ind w:left="0" w:leftChars="0" w:right="0" w:rightChars="0" w:firstLine="0" w:firstLineChars="0"/>
                <w:jc w:val="center"/>
                <w:rPr>
                  <w:rFonts w:hint="eastAsia" w:eastAsia="宋体"/>
                  <w:b/>
                  <w:bCs/>
                  <w:sz w:val="28"/>
                  <w:szCs w:val="28"/>
                  <w:lang w:val="en-US" w:eastAsia="zh-CN"/>
                </w:rPr>
              </w:pP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TOC \o "1-2" \h \u </w:instrText>
              </w:r>
              <w:r>
                <w:rPr>
                  <w:lang w:val="en-US" w:eastAsia="en-US"/>
                </w:rPr>
                <w:fldChar w:fldCharType="separate"/>
              </w:r>
              <w:r>
                <w:rPr>
                  <w:lang w:val="en-US" w:eastAsia="en-US"/>
                </w:rPr>
                <w:fldChar w:fldCharType="begin"/>
              </w:r>
              <w:r>
                <w:rPr>
                  <w:lang w:val="en-US" w:eastAsia="en-US"/>
                </w:rPr>
                <w:instrText xml:space="preserve"> HYPERLINK \l _Toc5953 </w:instrText>
              </w:r>
              <w:r>
                <w:rPr>
                  <w:lang w:val="en-US" w:eastAsia="en-US"/>
                </w:rPr>
                <w:fldChar w:fldCharType="separate"/>
              </w:r>
              <w:r>
                <w:rPr>
                  <w:lang w:val="en-US" w:eastAsia="en-US"/>
                </w:rPr>
                <w:t xml:space="preserve">1  </w:t>
              </w:r>
              <w:r>
                <w:rPr>
                  <w:rFonts w:ascii="Times New Roman" w:hAnsi="Times New Roman" w:eastAsia="Times New Roman" w:cs="Times New Roman"/>
                  <w:sz w:val="20"/>
                  <w:szCs w:val="20"/>
                  <w:highlight w:val="none"/>
                </w:rPr>
                <w:t>General</w:t>
              </w:r>
              <w:r>
                <w:rPr>
                  <w:rFonts w:ascii="Times New Roman" w:hAnsi="Times New Roman" w:eastAsia="Times New Roman" w:cs="Times New Roman"/>
                  <w:spacing w:val="9"/>
                  <w:sz w:val="20"/>
                  <w:szCs w:val="20"/>
                  <w:highlight w:val="none"/>
                </w:rPr>
                <w:t xml:space="preserve"> </w:t>
              </w:r>
              <w:r>
                <w:rPr>
                  <w:rFonts w:ascii="Times New Roman" w:hAnsi="Times New Roman" w:eastAsia="Times New Roman" w:cs="Times New Roman"/>
                  <w:sz w:val="20"/>
                  <w:szCs w:val="20"/>
                  <w:highlight w:val="none"/>
                </w:rPr>
                <w:t>Provisions</w:t>
              </w:r>
              <w:r>
                <w:rPr>
                  <w:lang w:val="en-US" w:eastAsia="en-US"/>
                </w:rPr>
                <w:tab/>
              </w:r>
              <w:r>
                <w:rPr>
                  <w:lang w:val="en-US" w:eastAsia="en-US"/>
                </w:rPr>
                <w:fldChar w:fldCharType="begin"/>
              </w:r>
              <w:r>
                <w:rPr>
                  <w:lang w:val="en-US" w:eastAsia="en-US"/>
                </w:rPr>
                <w:instrText xml:space="preserve"> PAGEREF _Toc5953 \h </w:instrText>
              </w:r>
              <w:r>
                <w:rPr>
                  <w:lang w:val="en-US" w:eastAsia="en-US"/>
                </w:rPr>
                <w:fldChar w:fldCharType="separate"/>
              </w:r>
              <w:r>
                <w:rPr>
                  <w:lang w:val="en-US" w:eastAsia="en-US"/>
                </w:rPr>
                <w:t>1</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_Toc16033 </w:instrText>
              </w:r>
              <w:r>
                <w:rPr>
                  <w:lang w:val="en-US" w:eastAsia="en-US"/>
                </w:rPr>
                <w:fldChar w:fldCharType="separate"/>
              </w:r>
              <w:r>
                <w:rPr>
                  <w:lang w:val="en-US" w:eastAsia="en-US"/>
                </w:rPr>
                <w:t xml:space="preserve">2  </w:t>
              </w:r>
              <w:r>
                <w:rPr>
                  <w:rFonts w:ascii="Times New Roman" w:hAnsi="Times New Roman" w:eastAsia="Times New Roman" w:cs="Times New Roman"/>
                  <w:sz w:val="20"/>
                  <w:szCs w:val="20"/>
                  <w:highlight w:val="none"/>
                </w:rPr>
                <w:t>Terms</w:t>
              </w:r>
              <w:r>
                <w:rPr>
                  <w:lang w:val="en-US" w:eastAsia="en-US"/>
                </w:rPr>
                <w:tab/>
              </w:r>
              <w:r>
                <w:rPr>
                  <w:lang w:val="en-US" w:eastAsia="en-US"/>
                </w:rPr>
                <w:fldChar w:fldCharType="begin"/>
              </w:r>
              <w:r>
                <w:rPr>
                  <w:lang w:val="en-US" w:eastAsia="en-US"/>
                </w:rPr>
                <w:instrText xml:space="preserve"> PAGEREF _Toc16033 \h </w:instrText>
              </w:r>
              <w:r>
                <w:rPr>
                  <w:lang w:val="en-US" w:eastAsia="en-US"/>
                </w:rPr>
                <w:fldChar w:fldCharType="separate"/>
              </w:r>
              <w:r>
                <w:rPr>
                  <w:lang w:val="en-US" w:eastAsia="en-US"/>
                </w:rPr>
                <w:t>2</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_Toc16646 </w:instrText>
              </w:r>
              <w:r>
                <w:rPr>
                  <w:lang w:val="en-US" w:eastAsia="en-US"/>
                </w:rPr>
                <w:fldChar w:fldCharType="separate"/>
              </w:r>
              <w:r>
                <w:rPr>
                  <w:lang w:val="en-US" w:eastAsia="en-US"/>
                </w:rPr>
                <w:t xml:space="preserve">3  </w:t>
              </w:r>
              <w:r>
                <w:rPr>
                  <w:rFonts w:ascii="Times New Roman" w:hAnsi="Times New Roman" w:eastAsia="Times New Roman" w:cs="Times New Roman"/>
                  <w:sz w:val="20"/>
                  <w:szCs w:val="20"/>
                  <w:highlight w:val="none"/>
                </w:rPr>
                <w:t>Basic</w:t>
              </w:r>
              <w:r>
                <w:rPr>
                  <w:rFonts w:ascii="Times New Roman" w:hAnsi="Times New Roman" w:eastAsia="Times New Roman" w:cs="Times New Roman"/>
                  <w:spacing w:val="13"/>
                  <w:sz w:val="20"/>
                  <w:szCs w:val="20"/>
                  <w:highlight w:val="none"/>
                </w:rPr>
                <w:t xml:space="preserve"> </w:t>
              </w:r>
              <w:r>
                <w:rPr>
                  <w:rFonts w:ascii="Times New Roman" w:hAnsi="Times New Roman" w:eastAsia="Times New Roman" w:cs="Times New Roman"/>
                  <w:sz w:val="20"/>
                  <w:szCs w:val="20"/>
                  <w:highlight w:val="none"/>
                </w:rPr>
                <w:t>Requirements</w:t>
              </w:r>
              <w:r>
                <w:rPr>
                  <w:lang w:val="en-US" w:eastAsia="en-US"/>
                </w:rPr>
                <w:tab/>
              </w:r>
              <w:r>
                <w:rPr>
                  <w:lang w:val="en-US" w:eastAsia="en-US"/>
                </w:rPr>
                <w:fldChar w:fldCharType="begin"/>
              </w:r>
              <w:r>
                <w:rPr>
                  <w:lang w:val="en-US" w:eastAsia="en-US"/>
                </w:rPr>
                <w:instrText xml:space="preserve"> PAGEREF _Toc16646 \h </w:instrText>
              </w:r>
              <w:r>
                <w:rPr>
                  <w:lang w:val="en-US" w:eastAsia="en-US"/>
                </w:rPr>
                <w:fldChar w:fldCharType="separate"/>
              </w:r>
              <w:r>
                <w:rPr>
                  <w:lang w:val="en-US" w:eastAsia="en-US"/>
                </w:rPr>
                <w:t>6</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_Toc20019 </w:instrText>
              </w:r>
              <w:r>
                <w:rPr>
                  <w:lang w:val="en-US" w:eastAsia="en-US"/>
                </w:rPr>
                <w:fldChar w:fldCharType="separate"/>
              </w:r>
              <w:r>
                <w:rPr>
                  <w:lang w:val="en-US" w:eastAsia="en-US"/>
                </w:rPr>
                <w:t xml:space="preserve">4  </w:t>
              </w:r>
              <w:r>
                <w:rPr>
                  <w:rFonts w:ascii="Times New Roman" w:hAnsi="Times New Roman" w:eastAsia="Times New Roman" w:cs="Times New Roman"/>
                  <w:sz w:val="20"/>
                  <w:szCs w:val="20"/>
                  <w:highlight w:val="none"/>
                </w:rPr>
                <w:t>Civil Engineering</w:t>
              </w:r>
              <w:r>
                <w:rPr>
                  <w:lang w:val="en-US" w:eastAsia="en-US"/>
                </w:rPr>
                <w:tab/>
              </w:r>
              <w:r>
                <w:rPr>
                  <w:lang w:val="en-US" w:eastAsia="en-US"/>
                </w:rPr>
                <w:fldChar w:fldCharType="begin"/>
              </w:r>
              <w:r>
                <w:rPr>
                  <w:lang w:val="en-US" w:eastAsia="en-US"/>
                </w:rPr>
                <w:instrText xml:space="preserve"> PAGEREF _Toc20019 \h </w:instrText>
              </w:r>
              <w:r>
                <w:rPr>
                  <w:lang w:val="en-US" w:eastAsia="en-US"/>
                </w:rPr>
                <w:fldChar w:fldCharType="separate"/>
              </w:r>
              <w:r>
                <w:rPr>
                  <w:lang w:val="en-US" w:eastAsia="en-US"/>
                </w:rPr>
                <w:t>8</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_Toc12233 </w:instrText>
              </w:r>
              <w:r>
                <w:rPr>
                  <w:lang w:val="en-US" w:eastAsia="en-US"/>
                </w:rPr>
                <w:fldChar w:fldCharType="separate"/>
              </w:r>
              <w:r>
                <w:rPr>
                  <w:lang w:val="en-US" w:eastAsia="en-US"/>
                </w:rPr>
                <w:t xml:space="preserve">4.1 </w:t>
              </w:r>
              <w:r>
                <w:rPr>
                  <w:rFonts w:ascii="Times New Roman" w:hAnsi="Times New Roman" w:eastAsia="Times New Roman" w:cs="Times New Roman"/>
                  <w:sz w:val="20"/>
                  <w:szCs w:val="20"/>
                  <w:highlight w:val="none"/>
                </w:rPr>
                <w:t>Design of Core Structures</w:t>
              </w:r>
              <w:r>
                <w:rPr>
                  <w:lang w:val="en-US" w:eastAsia="en-US"/>
                </w:rPr>
                <w:tab/>
              </w:r>
              <w:r>
                <w:rPr>
                  <w:lang w:val="en-US" w:eastAsia="en-US"/>
                </w:rPr>
                <w:fldChar w:fldCharType="begin"/>
              </w:r>
              <w:r>
                <w:rPr>
                  <w:lang w:val="en-US" w:eastAsia="en-US"/>
                </w:rPr>
                <w:instrText xml:space="preserve"> PAGEREF _Toc12233 \h </w:instrText>
              </w:r>
              <w:r>
                <w:rPr>
                  <w:lang w:val="en-US" w:eastAsia="en-US"/>
                </w:rPr>
                <w:fldChar w:fldCharType="separate"/>
              </w:r>
              <w:r>
                <w:rPr>
                  <w:lang w:val="en-US" w:eastAsia="en-US"/>
                </w:rPr>
                <w:t>8</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_Toc23843 </w:instrText>
              </w:r>
              <w:r>
                <w:rPr>
                  <w:lang w:val="en-US" w:eastAsia="en-US"/>
                </w:rPr>
                <w:fldChar w:fldCharType="separate"/>
              </w:r>
              <w:r>
                <w:rPr>
                  <w:lang w:val="en-US" w:eastAsia="en-US"/>
                </w:rPr>
                <w:t xml:space="preserve">4.2 </w:t>
              </w:r>
              <w:r>
                <w:rPr>
                  <w:rFonts w:ascii="Times New Roman" w:hAnsi="Times New Roman" w:eastAsia="Times New Roman" w:cs="Times New Roman"/>
                  <w:sz w:val="20"/>
                  <w:szCs w:val="20"/>
                  <w:highlight w:val="none"/>
                </w:rPr>
                <w:t>Design and Anti-Corrosion of Chemical Dosing Room</w:t>
              </w:r>
              <w:r>
                <w:rPr>
                  <w:lang w:val="en-US" w:eastAsia="en-US"/>
                </w:rPr>
                <w:tab/>
              </w:r>
              <w:r>
                <w:rPr>
                  <w:lang w:val="en-US" w:eastAsia="en-US"/>
                </w:rPr>
                <w:fldChar w:fldCharType="begin"/>
              </w:r>
              <w:r>
                <w:rPr>
                  <w:lang w:val="en-US" w:eastAsia="en-US"/>
                </w:rPr>
                <w:instrText xml:space="preserve"> PAGEREF _Toc23843 \h </w:instrText>
              </w:r>
              <w:r>
                <w:rPr>
                  <w:lang w:val="en-US" w:eastAsia="en-US"/>
                </w:rPr>
                <w:fldChar w:fldCharType="separate"/>
              </w:r>
              <w:r>
                <w:rPr>
                  <w:lang w:val="en-US" w:eastAsia="en-US"/>
                </w:rPr>
                <w:t>9</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_Toc22135 </w:instrText>
              </w:r>
              <w:r>
                <w:rPr>
                  <w:lang w:val="en-US" w:eastAsia="en-US"/>
                </w:rPr>
                <w:fldChar w:fldCharType="separate"/>
              </w:r>
              <w:r>
                <w:rPr>
                  <w:lang w:val="en-US" w:eastAsia="en-US"/>
                </w:rPr>
                <w:t>4.</w:t>
              </w:r>
              <w:r>
                <w:rPr>
                  <w:rFonts w:hint="eastAsia"/>
                  <w:lang w:val="en-US" w:eastAsia="zh-CN"/>
                </w:rPr>
                <w:t>3</w:t>
              </w:r>
              <w:r>
                <w:rPr>
                  <w:lang w:val="en-US" w:eastAsia="en-US"/>
                </w:rPr>
                <w:t xml:space="preserve"> </w:t>
              </w:r>
              <w:r>
                <w:rPr>
                  <w:rFonts w:ascii="Times New Roman" w:hAnsi="Times New Roman" w:eastAsia="Times New Roman" w:cs="Times New Roman"/>
                  <w:sz w:val="20"/>
                  <w:szCs w:val="20"/>
                  <w:highlight w:val="none"/>
                </w:rPr>
                <w:t>Civil Water Tanks and Anti-Corrosion Modules</w:t>
              </w:r>
              <w:r>
                <w:rPr>
                  <w:lang w:val="en-US" w:eastAsia="en-US"/>
                </w:rPr>
                <w:tab/>
              </w:r>
              <w:r>
                <w:rPr>
                  <w:lang w:val="en-US" w:eastAsia="en-US"/>
                </w:rPr>
                <w:fldChar w:fldCharType="begin"/>
              </w:r>
              <w:r>
                <w:rPr>
                  <w:lang w:val="en-US" w:eastAsia="en-US"/>
                </w:rPr>
                <w:instrText xml:space="preserve"> PAGEREF _Toc22135 \h </w:instrText>
              </w:r>
              <w:r>
                <w:rPr>
                  <w:lang w:val="en-US" w:eastAsia="en-US"/>
                </w:rPr>
                <w:fldChar w:fldCharType="separate"/>
              </w:r>
              <w:r>
                <w:rPr>
                  <w:lang w:val="en-US" w:eastAsia="en-US"/>
                </w:rPr>
                <w:t>9</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_Toc16197 </w:instrText>
              </w:r>
              <w:r>
                <w:rPr>
                  <w:lang w:val="en-US" w:eastAsia="en-US"/>
                </w:rPr>
                <w:fldChar w:fldCharType="separate"/>
              </w:r>
              <w:r>
                <w:rPr>
                  <w:lang w:val="en-US" w:eastAsia="en-US"/>
                </w:rPr>
                <w:t>4.</w:t>
              </w:r>
              <w:r>
                <w:rPr>
                  <w:rFonts w:hint="eastAsia"/>
                  <w:lang w:val="en-US" w:eastAsia="zh-CN"/>
                </w:rPr>
                <w:t>4</w:t>
              </w:r>
              <w:r>
                <w:rPr>
                  <w:rFonts w:ascii="Times New Roman" w:hAnsi="Times New Roman" w:eastAsia="Times New Roman" w:cs="Times New Roman"/>
                  <w:sz w:val="20"/>
                  <w:szCs w:val="20"/>
                  <w:highlight w:val="none"/>
                  <w:lang w:val="en-US" w:eastAsia="en-US"/>
                </w:rPr>
                <w:t xml:space="preserve"> </w:t>
              </w:r>
              <w:r>
                <w:rPr>
                  <w:rFonts w:ascii="Times New Roman" w:hAnsi="Times New Roman" w:eastAsia="Times New Roman" w:cs="Times New Roman"/>
                  <w:sz w:val="20"/>
                  <w:szCs w:val="20"/>
                  <w:highlight w:val="none"/>
                </w:rPr>
                <w:t>Other Requirements</w:t>
              </w:r>
              <w:r>
                <w:rPr>
                  <w:lang w:val="en-US" w:eastAsia="en-US"/>
                </w:rPr>
                <w:tab/>
              </w:r>
              <w:r>
                <w:rPr>
                  <w:lang w:val="en-US" w:eastAsia="en-US"/>
                </w:rPr>
                <w:fldChar w:fldCharType="begin"/>
              </w:r>
              <w:r>
                <w:rPr>
                  <w:lang w:val="en-US" w:eastAsia="en-US"/>
                </w:rPr>
                <w:instrText xml:space="preserve"> PAGEREF _Toc16197 \h </w:instrText>
              </w:r>
              <w:r>
                <w:rPr>
                  <w:lang w:val="en-US" w:eastAsia="en-US"/>
                </w:rPr>
                <w:fldChar w:fldCharType="separate"/>
              </w:r>
              <w:r>
                <w:rPr>
                  <w:lang w:val="en-US" w:eastAsia="en-US"/>
                </w:rPr>
                <w:t>10</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_Toc15274 </w:instrText>
              </w:r>
              <w:r>
                <w:rPr>
                  <w:lang w:val="en-US" w:eastAsia="en-US"/>
                </w:rPr>
                <w:fldChar w:fldCharType="separate"/>
              </w:r>
              <w:r>
                <w:rPr>
                  <w:lang w:val="en-US" w:eastAsia="en-US"/>
                </w:rPr>
                <w:t xml:space="preserve">5  </w:t>
              </w:r>
              <w:r>
                <w:rPr>
                  <w:rFonts w:ascii="Times New Roman" w:hAnsi="Times New Roman" w:eastAsia="Times New Roman" w:cs="Times New Roman"/>
                  <w:sz w:val="20"/>
                  <w:szCs w:val="20"/>
                  <w:highlight w:val="none"/>
                  <w:lang w:val="en-US" w:eastAsia="en-US"/>
                </w:rPr>
                <w:t>Process Pipeline Engineering</w:t>
              </w:r>
              <w:r>
                <w:rPr>
                  <w:lang w:val="en-US" w:eastAsia="en-US"/>
                </w:rPr>
                <w:tab/>
              </w:r>
              <w:r>
                <w:rPr>
                  <w:lang w:val="en-US" w:eastAsia="en-US"/>
                </w:rPr>
                <w:fldChar w:fldCharType="begin"/>
              </w:r>
              <w:r>
                <w:rPr>
                  <w:lang w:val="en-US" w:eastAsia="en-US"/>
                </w:rPr>
                <w:instrText xml:space="preserve"> PAGEREF _Toc15274 \h </w:instrText>
              </w:r>
              <w:r>
                <w:rPr>
                  <w:lang w:val="en-US" w:eastAsia="en-US"/>
                </w:rPr>
                <w:fldChar w:fldCharType="separate"/>
              </w:r>
              <w:r>
                <w:rPr>
                  <w:lang w:val="en-US" w:eastAsia="en-US"/>
                </w:rPr>
                <w:t>11</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_Toc17025 </w:instrText>
              </w:r>
              <w:r>
                <w:rPr>
                  <w:lang w:val="en-US" w:eastAsia="en-US"/>
                </w:rPr>
                <w:fldChar w:fldCharType="separate"/>
              </w:r>
              <w:r>
                <w:rPr>
                  <w:lang w:val="en-US" w:eastAsia="en-US"/>
                </w:rPr>
                <w:t xml:space="preserve">5.1 </w:t>
              </w:r>
              <w:r>
                <w:rPr>
                  <w:rFonts w:ascii="Times New Roman" w:hAnsi="Times New Roman" w:eastAsia="Times New Roman" w:cs="Times New Roman"/>
                  <w:sz w:val="20"/>
                  <w:szCs w:val="20"/>
                  <w:highlight w:val="none"/>
                  <w:lang w:val="en-US" w:eastAsia="en-US"/>
                </w:rPr>
                <w:t>Pipe Material Selection and Connection</w:t>
              </w:r>
              <w:r>
                <w:rPr>
                  <w:lang w:val="en-US" w:eastAsia="en-US"/>
                </w:rPr>
                <w:tab/>
              </w:r>
              <w:r>
                <w:rPr>
                  <w:lang w:val="en-US" w:eastAsia="en-US"/>
                </w:rPr>
                <w:fldChar w:fldCharType="begin"/>
              </w:r>
              <w:r>
                <w:rPr>
                  <w:lang w:val="en-US" w:eastAsia="en-US"/>
                </w:rPr>
                <w:instrText xml:space="preserve"> PAGEREF _Toc17025 \h </w:instrText>
              </w:r>
              <w:r>
                <w:rPr>
                  <w:lang w:val="en-US" w:eastAsia="en-US"/>
                </w:rPr>
                <w:fldChar w:fldCharType="separate"/>
              </w:r>
              <w:r>
                <w:rPr>
                  <w:lang w:val="en-US" w:eastAsia="en-US"/>
                </w:rPr>
                <w:t>11</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_Toc6293 </w:instrText>
              </w:r>
              <w:r>
                <w:rPr>
                  <w:lang w:val="en-US" w:eastAsia="en-US"/>
                </w:rPr>
                <w:fldChar w:fldCharType="separate"/>
              </w:r>
              <w:r>
                <w:rPr>
                  <w:lang w:val="en-US" w:eastAsia="en-US"/>
                </w:rPr>
                <w:t xml:space="preserve">5.2 </w:t>
              </w:r>
              <w:r>
                <w:rPr>
                  <w:rFonts w:ascii="Times New Roman" w:hAnsi="Times New Roman" w:eastAsia="Times New Roman" w:cs="Times New Roman"/>
                  <w:sz w:val="20"/>
                  <w:szCs w:val="20"/>
                  <w:highlight w:val="none"/>
                  <w:lang w:val="en-US" w:eastAsia="en-US"/>
                </w:rPr>
                <w:t>Pipe Installation and Testing</w:t>
              </w:r>
              <w:r>
                <w:rPr>
                  <w:lang w:val="en-US" w:eastAsia="en-US"/>
                </w:rPr>
                <w:tab/>
              </w:r>
              <w:r>
                <w:rPr>
                  <w:lang w:val="en-US" w:eastAsia="en-US"/>
                </w:rPr>
                <w:fldChar w:fldCharType="begin"/>
              </w:r>
              <w:r>
                <w:rPr>
                  <w:lang w:val="en-US" w:eastAsia="en-US"/>
                </w:rPr>
                <w:instrText xml:space="preserve"> PAGEREF _Toc6293 \h </w:instrText>
              </w:r>
              <w:r>
                <w:rPr>
                  <w:lang w:val="en-US" w:eastAsia="en-US"/>
                </w:rPr>
                <w:fldChar w:fldCharType="separate"/>
              </w:r>
              <w:r>
                <w:rPr>
                  <w:lang w:val="en-US" w:eastAsia="en-US"/>
                </w:rPr>
                <w:t>12</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_Toc31362 </w:instrText>
              </w:r>
              <w:r>
                <w:rPr>
                  <w:lang w:val="en-US" w:eastAsia="en-US"/>
                </w:rPr>
                <w:fldChar w:fldCharType="separate"/>
              </w:r>
              <w:r>
                <w:rPr>
                  <w:rFonts w:hint="eastAsia"/>
                  <w:lang w:val="en-US" w:eastAsia="zh-CN"/>
                </w:rPr>
                <w:t>6</w:t>
              </w:r>
              <w:r>
                <w:rPr>
                  <w:lang w:val="en-US" w:eastAsia="en-US"/>
                </w:rPr>
                <w:t xml:space="preserve">  </w:t>
              </w:r>
              <w:r>
                <w:rPr>
                  <w:rFonts w:ascii="Times New Roman" w:hAnsi="Times New Roman" w:eastAsia="Times New Roman" w:cs="Times New Roman"/>
                  <w:sz w:val="20"/>
                  <w:szCs w:val="20"/>
                  <w:highlight w:val="none"/>
                  <w:lang w:val="en-US" w:eastAsia="en-US"/>
                </w:rPr>
                <w:t>Design Parameters of Core Process Systems</w:t>
              </w:r>
              <w:r>
                <w:rPr>
                  <w:lang w:val="en-US" w:eastAsia="en-US"/>
                </w:rPr>
                <w:tab/>
              </w:r>
              <w:r>
                <w:rPr>
                  <w:lang w:val="en-US" w:eastAsia="en-US"/>
                </w:rPr>
                <w:fldChar w:fldCharType="begin"/>
              </w:r>
              <w:r>
                <w:rPr>
                  <w:lang w:val="en-US" w:eastAsia="en-US"/>
                </w:rPr>
                <w:instrText xml:space="preserve"> PAGEREF _Toc31362 \h </w:instrText>
              </w:r>
              <w:r>
                <w:rPr>
                  <w:lang w:val="en-US" w:eastAsia="en-US"/>
                </w:rPr>
                <w:fldChar w:fldCharType="separate"/>
              </w:r>
              <w:r>
                <w:rPr>
                  <w:lang w:val="en-US" w:eastAsia="en-US"/>
                </w:rPr>
                <w:t>14</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_Toc31861 </w:instrText>
              </w:r>
              <w:r>
                <w:rPr>
                  <w:lang w:val="en-US" w:eastAsia="en-US"/>
                </w:rPr>
                <w:fldChar w:fldCharType="separate"/>
              </w:r>
              <w:r>
                <w:rPr>
                  <w:rFonts w:hint="eastAsia"/>
                  <w:lang w:val="en-US" w:eastAsia="zh-CN"/>
                </w:rPr>
                <w:t>6</w:t>
              </w:r>
              <w:r>
                <w:rPr>
                  <w:lang w:val="en-US" w:eastAsia="en-US"/>
                </w:rPr>
                <w:t xml:space="preserve">.1  </w:t>
              </w:r>
              <w:r>
                <w:rPr>
                  <w:rFonts w:ascii="Times New Roman" w:hAnsi="Times New Roman" w:eastAsia="Times New Roman" w:cs="Times New Roman"/>
                  <w:sz w:val="20"/>
                  <w:szCs w:val="20"/>
                  <w:highlight w:val="none"/>
                  <w:lang w:val="en-US" w:eastAsia="en-US"/>
                </w:rPr>
                <w:t>General Process Flow</w:t>
              </w:r>
              <w:r>
                <w:rPr>
                  <w:lang w:val="en-US" w:eastAsia="en-US"/>
                </w:rPr>
                <w:tab/>
              </w:r>
              <w:r>
                <w:rPr>
                  <w:lang w:val="en-US" w:eastAsia="en-US"/>
                </w:rPr>
                <w:fldChar w:fldCharType="begin"/>
              </w:r>
              <w:r>
                <w:rPr>
                  <w:lang w:val="en-US" w:eastAsia="en-US"/>
                </w:rPr>
                <w:instrText xml:space="preserve"> PAGEREF _Toc31861 \h </w:instrText>
              </w:r>
              <w:r>
                <w:rPr>
                  <w:lang w:val="en-US" w:eastAsia="en-US"/>
                </w:rPr>
                <w:fldChar w:fldCharType="separate"/>
              </w:r>
              <w:r>
                <w:rPr>
                  <w:lang w:val="en-US" w:eastAsia="en-US"/>
                </w:rPr>
                <w:t>14</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_Toc17117 </w:instrText>
              </w:r>
              <w:r>
                <w:rPr>
                  <w:lang w:val="en-US" w:eastAsia="en-US"/>
                </w:rPr>
                <w:fldChar w:fldCharType="separate"/>
              </w:r>
              <w:r>
                <w:rPr>
                  <w:rFonts w:hint="eastAsia"/>
                  <w:lang w:val="en-US" w:eastAsia="zh-CN"/>
                </w:rPr>
                <w:t xml:space="preserve">6.2 </w:t>
              </w:r>
              <w:r>
                <w:rPr>
                  <w:rFonts w:ascii="Times New Roman" w:hAnsi="Times New Roman" w:eastAsia="Times New Roman" w:cs="Times New Roman"/>
                  <w:sz w:val="20"/>
                  <w:szCs w:val="20"/>
                  <w:highlight w:val="none"/>
                  <w:lang w:val="en-US" w:eastAsia="en-US"/>
                </w:rPr>
                <w:t>Pretreatment System</w:t>
              </w:r>
              <w:r>
                <w:rPr>
                  <w:lang w:val="en-US" w:eastAsia="en-US"/>
                </w:rPr>
                <w:tab/>
              </w:r>
              <w:r>
                <w:rPr>
                  <w:lang w:val="en-US" w:eastAsia="en-US"/>
                </w:rPr>
                <w:fldChar w:fldCharType="begin"/>
              </w:r>
              <w:r>
                <w:rPr>
                  <w:lang w:val="en-US" w:eastAsia="en-US"/>
                </w:rPr>
                <w:instrText xml:space="preserve"> PAGEREF _Toc17117 \h </w:instrText>
              </w:r>
              <w:r>
                <w:rPr>
                  <w:lang w:val="en-US" w:eastAsia="en-US"/>
                </w:rPr>
                <w:fldChar w:fldCharType="separate"/>
              </w:r>
              <w:r>
                <w:rPr>
                  <w:lang w:val="en-US" w:eastAsia="en-US"/>
                </w:rPr>
                <w:t>14</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_Toc142 </w:instrText>
              </w:r>
              <w:r>
                <w:rPr>
                  <w:lang w:val="en-US" w:eastAsia="en-US"/>
                </w:rPr>
                <w:fldChar w:fldCharType="separate"/>
              </w:r>
              <w:r>
                <w:rPr>
                  <w:rFonts w:hint="eastAsia"/>
                  <w:lang w:val="en-US" w:eastAsia="zh-CN"/>
                </w:rPr>
                <w:t xml:space="preserve">6.3 </w:t>
              </w:r>
              <w:r>
                <w:rPr>
                  <w:rFonts w:ascii="Times New Roman" w:hAnsi="Times New Roman" w:eastAsia="Times New Roman" w:cs="Times New Roman"/>
                  <w:sz w:val="20"/>
                  <w:szCs w:val="20"/>
                  <w:highlight w:val="none"/>
                  <w:lang w:val="en-US" w:eastAsia="en-US"/>
                </w:rPr>
                <w:t>Inlet Water Quality Requirements</w:t>
              </w:r>
              <w:r>
                <w:rPr>
                  <w:lang w:val="en-US" w:eastAsia="en-US"/>
                </w:rPr>
                <w:tab/>
              </w:r>
              <w:r>
                <w:rPr>
                  <w:lang w:val="en-US" w:eastAsia="en-US"/>
                </w:rPr>
                <w:fldChar w:fldCharType="begin"/>
              </w:r>
              <w:r>
                <w:rPr>
                  <w:lang w:val="en-US" w:eastAsia="en-US"/>
                </w:rPr>
                <w:instrText xml:space="preserve"> PAGEREF _Toc142 \h </w:instrText>
              </w:r>
              <w:r>
                <w:rPr>
                  <w:lang w:val="en-US" w:eastAsia="en-US"/>
                </w:rPr>
                <w:fldChar w:fldCharType="separate"/>
              </w:r>
              <w:r>
                <w:rPr>
                  <w:lang w:val="en-US" w:eastAsia="en-US"/>
                </w:rPr>
                <w:t>14</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_Toc29612 </w:instrText>
              </w:r>
              <w:r>
                <w:rPr>
                  <w:lang w:val="en-US" w:eastAsia="en-US"/>
                </w:rPr>
                <w:fldChar w:fldCharType="separate"/>
              </w:r>
              <w:r>
                <w:rPr>
                  <w:rFonts w:hint="eastAsia"/>
                  <w:lang w:val="en-US" w:eastAsia="zh-CN"/>
                </w:rPr>
                <w:t xml:space="preserve">6.4 </w:t>
              </w:r>
              <w:r>
                <w:rPr>
                  <w:rFonts w:ascii="Times New Roman" w:hAnsi="Times New Roman" w:eastAsia="Times New Roman" w:cs="Times New Roman"/>
                  <w:sz w:val="20"/>
                  <w:szCs w:val="20"/>
                  <w:highlight w:val="none"/>
                  <w:lang w:val="en-US" w:eastAsia="en-US"/>
                </w:rPr>
                <w:t>Ultrafiltration System</w:t>
              </w:r>
              <w:r>
                <w:rPr>
                  <w:lang w:val="en-US" w:eastAsia="en-US"/>
                </w:rPr>
                <w:tab/>
              </w:r>
              <w:r>
                <w:rPr>
                  <w:lang w:val="en-US" w:eastAsia="en-US"/>
                </w:rPr>
                <w:fldChar w:fldCharType="begin"/>
              </w:r>
              <w:r>
                <w:rPr>
                  <w:lang w:val="en-US" w:eastAsia="en-US"/>
                </w:rPr>
                <w:instrText xml:space="preserve"> PAGEREF _Toc29612 \h </w:instrText>
              </w:r>
              <w:r>
                <w:rPr>
                  <w:lang w:val="en-US" w:eastAsia="en-US"/>
                </w:rPr>
                <w:fldChar w:fldCharType="separate"/>
              </w:r>
              <w:r>
                <w:rPr>
                  <w:lang w:val="en-US" w:eastAsia="en-US"/>
                </w:rPr>
                <w:t>15</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_Toc14580 </w:instrText>
              </w:r>
              <w:r>
                <w:rPr>
                  <w:lang w:val="en-US" w:eastAsia="en-US"/>
                </w:rPr>
                <w:fldChar w:fldCharType="separate"/>
              </w:r>
              <w:r>
                <w:rPr>
                  <w:rFonts w:hint="eastAsia"/>
                  <w:lang w:val="en-US" w:eastAsia="zh-CN"/>
                </w:rPr>
                <w:t xml:space="preserve">6.5 </w:t>
              </w:r>
              <w:r>
                <w:rPr>
                  <w:rFonts w:ascii="Times New Roman" w:hAnsi="Times New Roman" w:eastAsia="Times New Roman" w:cs="Times New Roman"/>
                  <w:sz w:val="20"/>
                  <w:szCs w:val="20"/>
                  <w:highlight w:val="none"/>
                  <w:lang w:val="en-US" w:eastAsia="en-US"/>
                </w:rPr>
                <w:t>Reverse Osmosis System</w:t>
              </w:r>
              <w:r>
                <w:rPr>
                  <w:lang w:val="en-US" w:eastAsia="en-US"/>
                </w:rPr>
                <w:tab/>
              </w:r>
              <w:r>
                <w:rPr>
                  <w:lang w:val="en-US" w:eastAsia="en-US"/>
                </w:rPr>
                <w:fldChar w:fldCharType="begin"/>
              </w:r>
              <w:r>
                <w:rPr>
                  <w:lang w:val="en-US" w:eastAsia="en-US"/>
                </w:rPr>
                <w:instrText xml:space="preserve"> PAGEREF _Toc14580 \h </w:instrText>
              </w:r>
              <w:r>
                <w:rPr>
                  <w:lang w:val="en-US" w:eastAsia="en-US"/>
                </w:rPr>
                <w:fldChar w:fldCharType="separate"/>
              </w:r>
              <w:r>
                <w:rPr>
                  <w:lang w:val="en-US" w:eastAsia="en-US"/>
                </w:rPr>
                <w:t>20</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_Toc25507 </w:instrText>
              </w:r>
              <w:r>
                <w:rPr>
                  <w:lang w:val="en-US" w:eastAsia="en-US"/>
                </w:rPr>
                <w:fldChar w:fldCharType="separate"/>
              </w:r>
              <w:r>
                <w:rPr>
                  <w:rFonts w:hint="eastAsia"/>
                  <w:lang w:val="en-US" w:eastAsia="zh-CN"/>
                </w:rPr>
                <w:t xml:space="preserve">6.6 </w:t>
              </w:r>
              <w:r>
                <w:rPr>
                  <w:rFonts w:ascii="Times New Roman" w:hAnsi="Times New Roman" w:eastAsia="Times New Roman" w:cs="Times New Roman"/>
                  <w:sz w:val="20"/>
                  <w:szCs w:val="20"/>
                  <w:highlight w:val="none"/>
                  <w:lang w:val="en-US" w:eastAsia="en-US"/>
                </w:rPr>
                <w:t>Chemical Dosing System</w:t>
              </w:r>
              <w:r>
                <w:rPr>
                  <w:lang w:val="en-US" w:eastAsia="en-US"/>
                </w:rPr>
                <w:tab/>
              </w:r>
              <w:r>
                <w:rPr>
                  <w:lang w:val="en-US" w:eastAsia="en-US"/>
                </w:rPr>
                <w:fldChar w:fldCharType="begin"/>
              </w:r>
              <w:r>
                <w:rPr>
                  <w:lang w:val="en-US" w:eastAsia="en-US"/>
                </w:rPr>
                <w:instrText xml:space="preserve"> PAGEREF _Toc25507 \h </w:instrText>
              </w:r>
              <w:r>
                <w:rPr>
                  <w:lang w:val="en-US" w:eastAsia="en-US"/>
                </w:rPr>
                <w:fldChar w:fldCharType="separate"/>
              </w:r>
              <w:r>
                <w:rPr>
                  <w:lang w:val="en-US" w:eastAsia="en-US"/>
                </w:rPr>
                <w:t>24</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_Toc12465 </w:instrText>
              </w:r>
              <w:r>
                <w:rPr>
                  <w:lang w:val="en-US" w:eastAsia="en-US"/>
                </w:rPr>
                <w:fldChar w:fldCharType="separate"/>
              </w:r>
              <w:r>
                <w:rPr>
                  <w:rFonts w:hint="eastAsia"/>
                  <w:lang w:val="en-US" w:eastAsia="zh-CN"/>
                </w:rPr>
                <w:t xml:space="preserve">6.7 </w:t>
              </w:r>
              <w:r>
                <w:rPr>
                  <w:rFonts w:ascii="Times New Roman" w:hAnsi="Times New Roman" w:eastAsia="Times New Roman" w:cs="Times New Roman"/>
                  <w:sz w:val="20"/>
                  <w:szCs w:val="20"/>
                  <w:highlight w:val="none"/>
                  <w:lang w:val="en-US" w:eastAsia="en-US"/>
                </w:rPr>
                <w:t>Water Quality Requirements for Produced Water</w:t>
              </w:r>
              <w:r>
                <w:rPr>
                  <w:lang w:val="en-US" w:eastAsia="en-US"/>
                </w:rPr>
                <w:tab/>
              </w:r>
              <w:r>
                <w:rPr>
                  <w:lang w:val="en-US" w:eastAsia="en-US"/>
                </w:rPr>
                <w:fldChar w:fldCharType="begin"/>
              </w:r>
              <w:r>
                <w:rPr>
                  <w:lang w:val="en-US" w:eastAsia="en-US"/>
                </w:rPr>
                <w:instrText xml:space="preserve"> PAGEREF _Toc12465 \h </w:instrText>
              </w:r>
              <w:r>
                <w:rPr>
                  <w:lang w:val="en-US" w:eastAsia="en-US"/>
                </w:rPr>
                <w:fldChar w:fldCharType="separate"/>
              </w:r>
              <w:r>
                <w:rPr>
                  <w:lang w:val="en-US" w:eastAsia="en-US"/>
                </w:rPr>
                <w:t>26</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_Toc27690 </w:instrText>
              </w:r>
              <w:r>
                <w:rPr>
                  <w:lang w:val="en-US" w:eastAsia="en-US"/>
                </w:rPr>
                <w:fldChar w:fldCharType="separate"/>
              </w:r>
              <w:r>
                <w:rPr>
                  <w:rFonts w:hint="eastAsia"/>
                  <w:lang w:val="en-US" w:eastAsia="zh-CN"/>
                </w:rPr>
                <w:t>7</w:t>
              </w:r>
              <w:r>
                <w:rPr>
                  <w:lang w:val="en-US" w:eastAsia="en-US"/>
                </w:rPr>
                <w:t xml:space="preserve">  </w:t>
              </w:r>
              <w:r>
                <w:rPr>
                  <w:rFonts w:ascii="Times New Roman" w:hAnsi="Times New Roman" w:eastAsia="Times New Roman" w:cs="Times New Roman"/>
                  <w:sz w:val="20"/>
                  <w:szCs w:val="20"/>
                  <w:highlight w:val="none"/>
                  <w:lang w:val="en-US" w:eastAsia="en-US"/>
                </w:rPr>
                <w:t>Equipment Selection and Installation</w:t>
              </w:r>
              <w:r>
                <w:rPr>
                  <w:lang w:val="en-US" w:eastAsia="en-US"/>
                </w:rPr>
                <w:tab/>
              </w:r>
              <w:r>
                <w:rPr>
                  <w:lang w:val="en-US" w:eastAsia="en-US"/>
                </w:rPr>
                <w:fldChar w:fldCharType="begin"/>
              </w:r>
              <w:r>
                <w:rPr>
                  <w:lang w:val="en-US" w:eastAsia="en-US"/>
                </w:rPr>
                <w:instrText xml:space="preserve"> PAGEREF _Toc27690 \h </w:instrText>
              </w:r>
              <w:r>
                <w:rPr>
                  <w:lang w:val="en-US" w:eastAsia="en-US"/>
                </w:rPr>
                <w:fldChar w:fldCharType="separate"/>
              </w:r>
              <w:r>
                <w:rPr>
                  <w:lang w:val="en-US" w:eastAsia="en-US"/>
                </w:rPr>
                <w:t>28</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_Toc29702 </w:instrText>
              </w:r>
              <w:r>
                <w:rPr>
                  <w:lang w:val="en-US" w:eastAsia="en-US"/>
                </w:rPr>
                <w:fldChar w:fldCharType="separate"/>
              </w:r>
              <w:r>
                <w:rPr>
                  <w:rFonts w:hint="eastAsia"/>
                  <w:lang w:val="en-US" w:eastAsia="zh-CN"/>
                </w:rPr>
                <w:t xml:space="preserve">7.1 </w:t>
              </w:r>
              <w:r>
                <w:rPr>
                  <w:rFonts w:ascii="Times New Roman" w:hAnsi="Times New Roman" w:eastAsia="Times New Roman" w:cs="Times New Roman"/>
                  <w:sz w:val="20"/>
                  <w:szCs w:val="20"/>
                  <w:highlight w:val="none"/>
                  <w:lang w:val="en-US" w:eastAsia="en-US"/>
                </w:rPr>
                <w:t>General Requirements</w:t>
              </w:r>
              <w:r>
                <w:rPr>
                  <w:lang w:val="en-US" w:eastAsia="en-US"/>
                </w:rPr>
                <w:tab/>
              </w:r>
              <w:r>
                <w:rPr>
                  <w:lang w:val="en-US" w:eastAsia="en-US"/>
                </w:rPr>
                <w:fldChar w:fldCharType="begin"/>
              </w:r>
              <w:r>
                <w:rPr>
                  <w:lang w:val="en-US" w:eastAsia="en-US"/>
                </w:rPr>
                <w:instrText xml:space="preserve"> PAGEREF _Toc29702 \h </w:instrText>
              </w:r>
              <w:r>
                <w:rPr>
                  <w:lang w:val="en-US" w:eastAsia="en-US"/>
                </w:rPr>
                <w:fldChar w:fldCharType="separate"/>
              </w:r>
              <w:r>
                <w:rPr>
                  <w:lang w:val="en-US" w:eastAsia="en-US"/>
                </w:rPr>
                <w:t>28</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_Toc1804 </w:instrText>
              </w:r>
              <w:r>
                <w:rPr>
                  <w:lang w:val="en-US" w:eastAsia="en-US"/>
                </w:rPr>
                <w:fldChar w:fldCharType="separate"/>
              </w:r>
              <w:r>
                <w:rPr>
                  <w:rFonts w:hint="eastAsia"/>
                  <w:lang w:val="en-US" w:eastAsia="zh-CN"/>
                </w:rPr>
                <w:t xml:space="preserve">7.2  </w:t>
              </w:r>
              <w:r>
                <w:rPr>
                  <w:rFonts w:ascii="Times New Roman" w:hAnsi="Times New Roman" w:eastAsia="Times New Roman" w:cs="Times New Roman"/>
                  <w:sz w:val="20"/>
                  <w:szCs w:val="20"/>
                  <w:highlight w:val="none"/>
                  <w:lang w:val="en-US" w:eastAsia="en-US"/>
                </w:rPr>
                <w:t>General Mechanical and Electrical Equipment</w:t>
              </w:r>
              <w:r>
                <w:rPr>
                  <w:lang w:val="en-US" w:eastAsia="en-US"/>
                </w:rPr>
                <w:tab/>
              </w:r>
              <w:r>
                <w:rPr>
                  <w:lang w:val="en-US" w:eastAsia="en-US"/>
                </w:rPr>
                <w:fldChar w:fldCharType="begin"/>
              </w:r>
              <w:r>
                <w:rPr>
                  <w:lang w:val="en-US" w:eastAsia="en-US"/>
                </w:rPr>
                <w:instrText xml:space="preserve"> PAGEREF _Toc1804 \h </w:instrText>
              </w:r>
              <w:r>
                <w:rPr>
                  <w:lang w:val="en-US" w:eastAsia="en-US"/>
                </w:rPr>
                <w:fldChar w:fldCharType="separate"/>
              </w:r>
              <w:r>
                <w:rPr>
                  <w:lang w:val="en-US" w:eastAsia="en-US"/>
                </w:rPr>
                <w:t>29</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_Toc477 </w:instrText>
              </w:r>
              <w:r>
                <w:rPr>
                  <w:lang w:val="en-US" w:eastAsia="en-US"/>
                </w:rPr>
                <w:fldChar w:fldCharType="separate"/>
              </w:r>
              <w:r>
                <w:rPr>
                  <w:rFonts w:hint="eastAsia"/>
                  <w:lang w:val="en-US" w:eastAsia="zh-CN"/>
                </w:rPr>
                <w:t xml:space="preserve">7.3  </w:t>
              </w:r>
              <w:r>
                <w:rPr>
                  <w:rFonts w:hint="eastAsia" w:ascii="Times New Roman" w:hAnsi="Times New Roman" w:eastAsia="Times New Roman" w:cs="Times New Roman"/>
                  <w:sz w:val="20"/>
                  <w:szCs w:val="20"/>
                  <w:highlight w:val="none"/>
                  <w:lang w:val="en-US" w:eastAsia="zh-CN"/>
                </w:rPr>
                <w:t xml:space="preserve"> </w:t>
              </w:r>
              <w:r>
                <w:rPr>
                  <w:rFonts w:ascii="Times New Roman" w:hAnsi="Times New Roman" w:eastAsia="Times New Roman" w:cs="Times New Roman"/>
                  <w:sz w:val="20"/>
                  <w:szCs w:val="20"/>
                  <w:highlight w:val="none"/>
                  <w:lang w:val="en-US" w:eastAsia="en-US"/>
                </w:rPr>
                <w:t>Equipment Selection and Installation</w:t>
              </w:r>
              <w:r>
                <w:rPr>
                  <w:lang w:val="en-US" w:eastAsia="en-US"/>
                </w:rPr>
                <w:tab/>
              </w:r>
              <w:r>
                <w:rPr>
                  <w:lang w:val="en-US" w:eastAsia="en-US"/>
                </w:rPr>
                <w:fldChar w:fldCharType="begin"/>
              </w:r>
              <w:r>
                <w:rPr>
                  <w:lang w:val="en-US" w:eastAsia="en-US"/>
                </w:rPr>
                <w:instrText xml:space="preserve"> PAGEREF _Toc477 \h </w:instrText>
              </w:r>
              <w:r>
                <w:rPr>
                  <w:lang w:val="en-US" w:eastAsia="en-US"/>
                </w:rPr>
                <w:fldChar w:fldCharType="separate"/>
              </w:r>
              <w:r>
                <w:rPr>
                  <w:lang w:val="en-US" w:eastAsia="en-US"/>
                </w:rPr>
                <w:t>29</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_Toc6828 </w:instrText>
              </w:r>
              <w:r>
                <w:rPr>
                  <w:lang w:val="en-US" w:eastAsia="en-US"/>
                </w:rPr>
                <w:fldChar w:fldCharType="separate"/>
              </w:r>
              <w:r>
                <w:rPr>
                  <w:rFonts w:hint="eastAsia"/>
                  <w:lang w:val="en-US" w:eastAsia="zh-CN"/>
                </w:rPr>
                <w:t xml:space="preserve">7.4 </w:t>
              </w:r>
              <w:r>
                <w:rPr>
                  <w:rFonts w:ascii="Times New Roman" w:hAnsi="Times New Roman" w:eastAsia="Times New Roman" w:cs="Times New Roman"/>
                  <w:sz w:val="20"/>
                  <w:szCs w:val="20"/>
                  <w:highlight w:val="none"/>
                  <w:lang w:val="en-US" w:eastAsia="en-US"/>
                </w:rPr>
                <w:t>Electrical System</w:t>
              </w:r>
              <w:r>
                <w:rPr>
                  <w:lang w:val="en-US" w:eastAsia="en-US"/>
                </w:rPr>
                <w:tab/>
              </w:r>
              <w:r>
                <w:rPr>
                  <w:lang w:val="en-US" w:eastAsia="en-US"/>
                </w:rPr>
                <w:fldChar w:fldCharType="begin"/>
              </w:r>
              <w:r>
                <w:rPr>
                  <w:lang w:val="en-US" w:eastAsia="en-US"/>
                </w:rPr>
                <w:instrText xml:space="preserve"> PAGEREF _Toc6828 \h </w:instrText>
              </w:r>
              <w:r>
                <w:rPr>
                  <w:lang w:val="en-US" w:eastAsia="en-US"/>
                </w:rPr>
                <w:fldChar w:fldCharType="separate"/>
              </w:r>
              <w:r>
                <w:rPr>
                  <w:lang w:val="en-US" w:eastAsia="en-US"/>
                </w:rPr>
                <w:t>31</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_Toc1449 </w:instrText>
              </w:r>
              <w:r>
                <w:rPr>
                  <w:lang w:val="en-US" w:eastAsia="en-US"/>
                </w:rPr>
                <w:fldChar w:fldCharType="separate"/>
              </w:r>
              <w:r>
                <w:rPr>
                  <w:rFonts w:hint="eastAsia"/>
                  <w:lang w:val="en-US" w:eastAsia="zh-CN"/>
                </w:rPr>
                <w:t xml:space="preserve">7.5 </w:t>
              </w:r>
              <w:r>
                <w:rPr>
                  <w:rFonts w:ascii="Times New Roman" w:hAnsi="Times New Roman" w:eastAsia="Times New Roman" w:cs="Times New Roman"/>
                  <w:sz w:val="20"/>
                  <w:szCs w:val="20"/>
                  <w:highlight w:val="none"/>
                  <w:lang w:val="en-US" w:eastAsia="en-US"/>
                </w:rPr>
                <w:t>Instrument Selection and Installation</w:t>
              </w:r>
              <w:r>
                <w:rPr>
                  <w:lang w:val="en-US" w:eastAsia="en-US"/>
                </w:rPr>
                <w:tab/>
              </w:r>
              <w:r>
                <w:rPr>
                  <w:lang w:val="en-US" w:eastAsia="en-US"/>
                </w:rPr>
                <w:fldChar w:fldCharType="begin"/>
              </w:r>
              <w:r>
                <w:rPr>
                  <w:lang w:val="en-US" w:eastAsia="en-US"/>
                </w:rPr>
                <w:instrText xml:space="preserve"> PAGEREF _Toc1449 \h </w:instrText>
              </w:r>
              <w:r>
                <w:rPr>
                  <w:lang w:val="en-US" w:eastAsia="en-US"/>
                </w:rPr>
                <w:fldChar w:fldCharType="separate"/>
              </w:r>
              <w:r>
                <w:rPr>
                  <w:lang w:val="en-US" w:eastAsia="en-US"/>
                </w:rPr>
                <w:t>32</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_Toc28903 </w:instrText>
              </w:r>
              <w:r>
                <w:rPr>
                  <w:lang w:val="en-US" w:eastAsia="en-US"/>
                </w:rPr>
                <w:fldChar w:fldCharType="separate"/>
              </w:r>
              <w:r>
                <w:rPr>
                  <w:rFonts w:hint="eastAsia"/>
                  <w:lang w:val="en-US" w:eastAsia="zh-CN"/>
                </w:rPr>
                <w:t>8</w:t>
              </w:r>
              <w:r>
                <w:rPr>
                  <w:lang w:val="en-US" w:eastAsia="en-US"/>
                </w:rPr>
                <w:t xml:space="preserve">  </w:t>
              </w:r>
              <w:r>
                <w:rPr>
                  <w:rFonts w:hint="eastAsia"/>
                  <w:lang w:val="en-US" w:eastAsia="zh-CN"/>
                </w:rPr>
                <w:t>Standards for Transmission Pipelines</w:t>
              </w:r>
              <w:r>
                <w:rPr>
                  <w:lang w:val="en-US" w:eastAsia="en-US"/>
                </w:rPr>
                <w:tab/>
              </w:r>
              <w:r>
                <w:rPr>
                  <w:lang w:val="en-US" w:eastAsia="en-US"/>
                </w:rPr>
                <w:fldChar w:fldCharType="begin"/>
              </w:r>
              <w:r>
                <w:rPr>
                  <w:lang w:val="en-US" w:eastAsia="en-US"/>
                </w:rPr>
                <w:instrText xml:space="preserve"> PAGEREF _Toc28903 \h </w:instrText>
              </w:r>
              <w:r>
                <w:rPr>
                  <w:lang w:val="en-US" w:eastAsia="en-US"/>
                </w:rPr>
                <w:fldChar w:fldCharType="separate"/>
              </w:r>
              <w:r>
                <w:rPr>
                  <w:lang w:val="en-US" w:eastAsia="en-US"/>
                </w:rPr>
                <w:t>35</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_Toc1338 </w:instrText>
              </w:r>
              <w:r>
                <w:rPr>
                  <w:lang w:val="en-US" w:eastAsia="en-US"/>
                </w:rPr>
                <w:fldChar w:fldCharType="separate"/>
              </w:r>
              <w:r>
                <w:rPr>
                  <w:rFonts w:hint="eastAsia"/>
                  <w:lang w:val="en-US" w:eastAsia="zh-CN"/>
                </w:rPr>
                <w:t xml:space="preserve">8.1  </w:t>
              </w:r>
              <w:r>
                <w:rPr>
                  <w:rFonts w:ascii="Times New Roman" w:hAnsi="Times New Roman" w:eastAsia="Times New Roman" w:cs="Times New Roman"/>
                  <w:sz w:val="20"/>
                  <w:szCs w:val="20"/>
                  <w:highlight w:val="none"/>
                  <w:lang w:val="en-US" w:eastAsia="en-US"/>
                </w:rPr>
                <w:t>Pipeline Design</w:t>
              </w:r>
              <w:r>
                <w:rPr>
                  <w:lang w:val="en-US" w:eastAsia="en-US"/>
                </w:rPr>
                <w:tab/>
              </w:r>
              <w:r>
                <w:rPr>
                  <w:lang w:val="en-US" w:eastAsia="en-US"/>
                </w:rPr>
                <w:fldChar w:fldCharType="begin"/>
              </w:r>
              <w:r>
                <w:rPr>
                  <w:lang w:val="en-US" w:eastAsia="en-US"/>
                </w:rPr>
                <w:instrText xml:space="preserve"> PAGEREF _Toc1338 \h </w:instrText>
              </w:r>
              <w:r>
                <w:rPr>
                  <w:lang w:val="en-US" w:eastAsia="en-US"/>
                </w:rPr>
                <w:fldChar w:fldCharType="separate"/>
              </w:r>
              <w:r>
                <w:rPr>
                  <w:lang w:val="en-US" w:eastAsia="en-US"/>
                </w:rPr>
                <w:t>35</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_Toc30222 </w:instrText>
              </w:r>
              <w:r>
                <w:rPr>
                  <w:lang w:val="en-US" w:eastAsia="en-US"/>
                </w:rPr>
                <w:fldChar w:fldCharType="separate"/>
              </w:r>
              <w:r>
                <w:rPr>
                  <w:rFonts w:hint="eastAsia"/>
                  <w:lang w:val="en-US" w:eastAsia="zh-CN"/>
                </w:rPr>
                <w:t xml:space="preserve">8.2  </w:t>
              </w:r>
              <w:r>
                <w:rPr>
                  <w:rFonts w:ascii="Times New Roman" w:hAnsi="Times New Roman" w:eastAsia="Times New Roman" w:cs="Times New Roman"/>
                  <w:sz w:val="20"/>
                  <w:szCs w:val="20"/>
                  <w:highlight w:val="none"/>
                  <w:lang w:val="en-US" w:eastAsia="en-US"/>
                </w:rPr>
                <w:t>Laying and Protection</w:t>
              </w:r>
              <w:r>
                <w:rPr>
                  <w:lang w:val="en-US" w:eastAsia="en-US"/>
                </w:rPr>
                <w:tab/>
              </w:r>
              <w:r>
                <w:rPr>
                  <w:lang w:val="en-US" w:eastAsia="en-US"/>
                </w:rPr>
                <w:fldChar w:fldCharType="begin"/>
              </w:r>
              <w:r>
                <w:rPr>
                  <w:lang w:val="en-US" w:eastAsia="en-US"/>
                </w:rPr>
                <w:instrText xml:space="preserve"> PAGEREF _Toc30222 \h </w:instrText>
              </w:r>
              <w:r>
                <w:rPr>
                  <w:lang w:val="en-US" w:eastAsia="en-US"/>
                </w:rPr>
                <w:fldChar w:fldCharType="separate"/>
              </w:r>
              <w:r>
                <w:rPr>
                  <w:lang w:val="en-US" w:eastAsia="en-US"/>
                </w:rPr>
                <w:t>35</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_Toc19033 </w:instrText>
              </w:r>
              <w:r>
                <w:rPr>
                  <w:lang w:val="en-US" w:eastAsia="en-US"/>
                </w:rPr>
                <w:fldChar w:fldCharType="separate"/>
              </w:r>
              <w:r>
                <w:rPr>
                  <w:rFonts w:hint="eastAsia"/>
                  <w:lang w:val="en-US" w:eastAsia="zh-CN"/>
                </w:rPr>
                <w:t xml:space="preserve">8.3  </w:t>
              </w:r>
              <w:r>
                <w:rPr>
                  <w:rFonts w:ascii="Times New Roman" w:hAnsi="Times New Roman" w:eastAsia="Times New Roman" w:cs="Times New Roman"/>
                  <w:sz w:val="20"/>
                  <w:szCs w:val="20"/>
                  <w:highlight w:val="none"/>
                  <w:lang w:val="en-US" w:eastAsia="en-US"/>
                </w:rPr>
                <w:t>Operation and Maintenance</w:t>
              </w:r>
              <w:r>
                <w:rPr>
                  <w:lang w:val="en-US" w:eastAsia="en-US"/>
                </w:rPr>
                <w:tab/>
              </w:r>
              <w:r>
                <w:rPr>
                  <w:lang w:val="en-US" w:eastAsia="en-US"/>
                </w:rPr>
                <w:fldChar w:fldCharType="begin"/>
              </w:r>
              <w:r>
                <w:rPr>
                  <w:lang w:val="en-US" w:eastAsia="en-US"/>
                </w:rPr>
                <w:instrText xml:space="preserve"> PAGEREF _Toc19033 \h </w:instrText>
              </w:r>
              <w:r>
                <w:rPr>
                  <w:lang w:val="en-US" w:eastAsia="en-US"/>
                </w:rPr>
                <w:fldChar w:fldCharType="separate"/>
              </w:r>
              <w:r>
                <w:rPr>
                  <w:lang w:val="en-US" w:eastAsia="en-US"/>
                </w:rPr>
                <w:t>36</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_Toc2200 </w:instrText>
              </w:r>
              <w:r>
                <w:rPr>
                  <w:lang w:val="en-US" w:eastAsia="en-US"/>
                </w:rPr>
                <w:fldChar w:fldCharType="separate"/>
              </w:r>
              <w:r>
                <w:rPr>
                  <w:rFonts w:hint="eastAsia"/>
                  <w:lang w:val="en-US" w:eastAsia="zh-CN"/>
                </w:rPr>
                <w:t>9</w:t>
              </w:r>
              <w:r>
                <w:rPr>
                  <w:lang w:val="en-US" w:eastAsia="en-US"/>
                </w:rPr>
                <w:t xml:space="preserve">  </w:t>
              </w:r>
              <w:r>
                <w:rPr>
                  <w:rFonts w:hint="eastAsia"/>
                  <w:lang w:val="en-US" w:eastAsia="zh-CN"/>
                </w:rPr>
                <w:t>Acceptance Standards</w:t>
              </w:r>
              <w:r>
                <w:rPr>
                  <w:lang w:val="en-US" w:eastAsia="en-US"/>
                </w:rPr>
                <w:tab/>
              </w:r>
              <w:r>
                <w:rPr>
                  <w:lang w:val="en-US" w:eastAsia="en-US"/>
                </w:rPr>
                <w:fldChar w:fldCharType="begin"/>
              </w:r>
              <w:r>
                <w:rPr>
                  <w:lang w:val="en-US" w:eastAsia="en-US"/>
                </w:rPr>
                <w:instrText xml:space="preserve"> PAGEREF _Toc2200 \h </w:instrText>
              </w:r>
              <w:r>
                <w:rPr>
                  <w:lang w:val="en-US" w:eastAsia="en-US"/>
                </w:rPr>
                <w:fldChar w:fldCharType="separate"/>
              </w:r>
              <w:r>
                <w:rPr>
                  <w:lang w:val="en-US" w:eastAsia="en-US"/>
                </w:rPr>
                <w:t>37</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_Toc20008 </w:instrText>
              </w:r>
              <w:r>
                <w:rPr>
                  <w:lang w:val="en-US" w:eastAsia="en-US"/>
                </w:rPr>
                <w:fldChar w:fldCharType="separate"/>
              </w:r>
              <w:r>
                <w:rPr>
                  <w:rFonts w:hint="eastAsia"/>
                  <w:lang w:val="en-US" w:eastAsia="zh-CN"/>
                </w:rPr>
                <w:t>10</w:t>
              </w:r>
              <w:r>
                <w:rPr>
                  <w:lang w:val="en-US" w:eastAsia="en-US"/>
                </w:rPr>
                <w:t xml:space="preserve">  </w:t>
              </w:r>
              <w:r>
                <w:rPr>
                  <w:rFonts w:hint="eastAsia"/>
                  <w:lang w:val="en-US" w:eastAsia="zh-CN"/>
                </w:rPr>
                <w:t>Operation and Maintenance</w:t>
              </w:r>
              <w:r>
                <w:rPr>
                  <w:lang w:val="en-US" w:eastAsia="en-US"/>
                </w:rPr>
                <w:tab/>
              </w:r>
              <w:r>
                <w:rPr>
                  <w:lang w:val="en-US" w:eastAsia="en-US"/>
                </w:rPr>
                <w:fldChar w:fldCharType="begin"/>
              </w:r>
              <w:r>
                <w:rPr>
                  <w:lang w:val="en-US" w:eastAsia="en-US"/>
                </w:rPr>
                <w:instrText xml:space="preserve"> PAGEREF _Toc20008 \h </w:instrText>
              </w:r>
              <w:r>
                <w:rPr>
                  <w:lang w:val="en-US" w:eastAsia="en-US"/>
                </w:rPr>
                <w:fldChar w:fldCharType="separate"/>
              </w:r>
              <w:r>
                <w:rPr>
                  <w:lang w:val="en-US" w:eastAsia="en-US"/>
                </w:rPr>
                <w:t>38</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_Toc10111 </w:instrText>
              </w:r>
              <w:r>
                <w:rPr>
                  <w:lang w:val="en-US" w:eastAsia="en-US"/>
                </w:rPr>
                <w:fldChar w:fldCharType="separate"/>
              </w:r>
              <w:r>
                <w:rPr>
                  <w:rFonts w:hint="eastAsia"/>
                  <w:lang w:val="en-US" w:eastAsia="zh-CN"/>
                </w:rPr>
                <w:t xml:space="preserve">10.1  </w:t>
              </w:r>
              <w:r>
                <w:rPr>
                  <w:rFonts w:ascii="Times New Roman" w:hAnsi="Times New Roman" w:eastAsia="Times New Roman" w:cs="Times New Roman"/>
                  <w:sz w:val="20"/>
                  <w:szCs w:val="20"/>
                  <w:highlight w:val="none"/>
                  <w:lang w:val="en-US" w:eastAsia="en-US"/>
                </w:rPr>
                <w:t>General Requirements</w:t>
              </w:r>
              <w:r>
                <w:rPr>
                  <w:lang w:val="en-US" w:eastAsia="en-US"/>
                </w:rPr>
                <w:tab/>
              </w:r>
              <w:r>
                <w:rPr>
                  <w:lang w:val="en-US" w:eastAsia="en-US"/>
                </w:rPr>
                <w:fldChar w:fldCharType="begin"/>
              </w:r>
              <w:r>
                <w:rPr>
                  <w:lang w:val="en-US" w:eastAsia="en-US"/>
                </w:rPr>
                <w:instrText xml:space="preserve"> PAGEREF _Toc10111 \h </w:instrText>
              </w:r>
              <w:r>
                <w:rPr>
                  <w:lang w:val="en-US" w:eastAsia="en-US"/>
                </w:rPr>
                <w:fldChar w:fldCharType="separate"/>
              </w:r>
              <w:r>
                <w:rPr>
                  <w:lang w:val="en-US" w:eastAsia="en-US"/>
                </w:rPr>
                <w:t>38</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_Toc23705 </w:instrText>
              </w:r>
              <w:r>
                <w:rPr>
                  <w:lang w:val="en-US" w:eastAsia="en-US"/>
                </w:rPr>
                <w:fldChar w:fldCharType="separate"/>
              </w:r>
              <w:r>
                <w:rPr>
                  <w:rFonts w:hint="eastAsia"/>
                  <w:lang w:val="en-US" w:eastAsia="zh-CN"/>
                </w:rPr>
                <w:t xml:space="preserve">10.2  </w:t>
              </w:r>
              <w:r>
                <w:rPr>
                  <w:rFonts w:ascii="Times New Roman" w:hAnsi="Times New Roman" w:eastAsia="Times New Roman" w:cs="Times New Roman"/>
                  <w:sz w:val="20"/>
                  <w:szCs w:val="20"/>
                  <w:highlight w:val="none"/>
                  <w:lang w:val="en-US" w:eastAsia="en-US"/>
                </w:rPr>
                <w:t>Process System Maintenance</w:t>
              </w:r>
              <w:r>
                <w:rPr>
                  <w:lang w:val="en-US" w:eastAsia="en-US"/>
                </w:rPr>
                <w:tab/>
              </w:r>
              <w:r>
                <w:rPr>
                  <w:lang w:val="en-US" w:eastAsia="en-US"/>
                </w:rPr>
                <w:fldChar w:fldCharType="begin"/>
              </w:r>
              <w:r>
                <w:rPr>
                  <w:lang w:val="en-US" w:eastAsia="en-US"/>
                </w:rPr>
                <w:instrText xml:space="preserve"> PAGEREF _Toc23705 \h </w:instrText>
              </w:r>
              <w:r>
                <w:rPr>
                  <w:lang w:val="en-US" w:eastAsia="en-US"/>
                </w:rPr>
                <w:fldChar w:fldCharType="separate"/>
              </w:r>
              <w:r>
                <w:rPr>
                  <w:lang w:val="en-US" w:eastAsia="en-US"/>
                </w:rPr>
                <w:t>38</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_Toc31841 </w:instrText>
              </w:r>
              <w:r>
                <w:rPr>
                  <w:lang w:val="en-US" w:eastAsia="en-US"/>
                </w:rPr>
                <w:fldChar w:fldCharType="separate"/>
              </w:r>
              <w:r>
                <w:rPr>
                  <w:rFonts w:hint="eastAsia"/>
                  <w:lang w:val="en-US" w:eastAsia="zh-CN"/>
                </w:rPr>
                <w:t xml:space="preserve">10.3  </w:t>
              </w:r>
              <w:r>
                <w:rPr>
                  <w:rFonts w:ascii="Times New Roman" w:hAnsi="Times New Roman" w:eastAsia="Times New Roman" w:cs="Times New Roman"/>
                  <w:sz w:val="20"/>
                  <w:szCs w:val="20"/>
                  <w:highlight w:val="none"/>
                  <w:lang w:val="en-US" w:eastAsia="en-US"/>
                </w:rPr>
                <w:t>Equipment Maintenance</w:t>
              </w:r>
              <w:r>
                <w:rPr>
                  <w:lang w:val="en-US" w:eastAsia="en-US"/>
                </w:rPr>
                <w:tab/>
              </w:r>
              <w:r>
                <w:rPr>
                  <w:lang w:val="en-US" w:eastAsia="en-US"/>
                </w:rPr>
                <w:fldChar w:fldCharType="begin"/>
              </w:r>
              <w:r>
                <w:rPr>
                  <w:lang w:val="en-US" w:eastAsia="en-US"/>
                </w:rPr>
                <w:instrText xml:space="preserve"> PAGEREF _Toc31841 \h </w:instrText>
              </w:r>
              <w:r>
                <w:rPr>
                  <w:lang w:val="en-US" w:eastAsia="en-US"/>
                </w:rPr>
                <w:fldChar w:fldCharType="separate"/>
              </w:r>
              <w:r>
                <w:rPr>
                  <w:lang w:val="en-US" w:eastAsia="en-US"/>
                </w:rPr>
                <w:t>39</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_Toc6261 </w:instrText>
              </w:r>
              <w:r>
                <w:rPr>
                  <w:lang w:val="en-US" w:eastAsia="en-US"/>
                </w:rPr>
                <w:fldChar w:fldCharType="separate"/>
              </w:r>
              <w:r>
                <w:rPr>
                  <w:rFonts w:hint="eastAsia"/>
                  <w:lang w:val="en-US" w:eastAsia="zh-CN"/>
                </w:rPr>
                <w:t xml:space="preserve">10.4  </w:t>
              </w:r>
              <w:r>
                <w:rPr>
                  <w:rFonts w:ascii="Times New Roman" w:hAnsi="Times New Roman" w:eastAsia="Times New Roman" w:cs="Times New Roman"/>
                  <w:sz w:val="20"/>
                  <w:szCs w:val="20"/>
                  <w:highlight w:val="none"/>
                  <w:lang w:val="en-US" w:eastAsia="en-US"/>
                </w:rPr>
                <w:t>Water Quality Monitoring</w:t>
              </w:r>
              <w:r>
                <w:rPr>
                  <w:lang w:val="en-US" w:eastAsia="en-US"/>
                </w:rPr>
                <w:tab/>
              </w:r>
              <w:r>
                <w:rPr>
                  <w:lang w:val="en-US" w:eastAsia="en-US"/>
                </w:rPr>
                <w:fldChar w:fldCharType="begin"/>
              </w:r>
              <w:r>
                <w:rPr>
                  <w:lang w:val="en-US" w:eastAsia="en-US"/>
                </w:rPr>
                <w:instrText xml:space="preserve"> PAGEREF _Toc6261 \h </w:instrText>
              </w:r>
              <w:r>
                <w:rPr>
                  <w:lang w:val="en-US" w:eastAsia="en-US"/>
                </w:rPr>
                <w:fldChar w:fldCharType="separate"/>
              </w:r>
              <w:r>
                <w:rPr>
                  <w:lang w:val="en-US" w:eastAsia="en-US"/>
                </w:rPr>
                <w:t>39</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_Toc26594 </w:instrText>
              </w:r>
              <w:r>
                <w:rPr>
                  <w:lang w:val="en-US" w:eastAsia="en-US"/>
                </w:rPr>
                <w:fldChar w:fldCharType="separate"/>
              </w:r>
              <w:r>
                <w:rPr>
                  <w:rFonts w:hint="eastAsia"/>
                  <w:lang w:val="en-US" w:eastAsia="zh-CN"/>
                </w:rPr>
                <w:t>11</w:t>
              </w:r>
              <w:r>
                <w:rPr>
                  <w:lang w:val="en-US" w:eastAsia="en-US"/>
                </w:rPr>
                <w:t xml:space="preserve">  </w:t>
              </w:r>
              <w:r>
                <w:rPr>
                  <w:rFonts w:hint="eastAsia"/>
                  <w:lang w:val="en-US" w:eastAsia="zh-CN"/>
                </w:rPr>
                <w:t>Safety Assurance</w:t>
              </w:r>
              <w:r>
                <w:rPr>
                  <w:lang w:val="en-US" w:eastAsia="en-US"/>
                </w:rPr>
                <w:tab/>
              </w:r>
              <w:r>
                <w:rPr>
                  <w:lang w:val="en-US" w:eastAsia="en-US"/>
                </w:rPr>
                <w:fldChar w:fldCharType="begin"/>
              </w:r>
              <w:r>
                <w:rPr>
                  <w:lang w:val="en-US" w:eastAsia="en-US"/>
                </w:rPr>
                <w:instrText xml:space="preserve"> PAGEREF _Toc26594 \h </w:instrText>
              </w:r>
              <w:r>
                <w:rPr>
                  <w:lang w:val="en-US" w:eastAsia="en-US"/>
                </w:rPr>
                <w:fldChar w:fldCharType="separate"/>
              </w:r>
              <w:r>
                <w:rPr>
                  <w:lang w:val="en-US" w:eastAsia="en-US"/>
                </w:rPr>
                <w:t>40</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_Toc3279 </w:instrText>
              </w:r>
              <w:r>
                <w:rPr>
                  <w:lang w:val="en-US" w:eastAsia="en-US"/>
                </w:rPr>
                <w:fldChar w:fldCharType="separate"/>
              </w:r>
              <w:r>
                <w:rPr>
                  <w:rFonts w:hint="eastAsia"/>
                  <w:lang w:val="en-US" w:eastAsia="zh-CN"/>
                </w:rPr>
                <w:t xml:space="preserve">11.1  </w:t>
              </w:r>
              <w:r>
                <w:rPr>
                  <w:rFonts w:hint="eastAsia" w:ascii="Times New Roman" w:hAnsi="Times New Roman" w:eastAsia="Times New Roman" w:cs="Times New Roman"/>
                  <w:sz w:val="20"/>
                  <w:szCs w:val="20"/>
                  <w:highlight w:val="none"/>
                  <w:lang w:val="en-US" w:eastAsia="zh-CN"/>
                </w:rPr>
                <w:t>Operation Safety</w:t>
              </w:r>
              <w:r>
                <w:rPr>
                  <w:lang w:val="en-US" w:eastAsia="en-US"/>
                </w:rPr>
                <w:tab/>
              </w:r>
              <w:r>
                <w:rPr>
                  <w:lang w:val="en-US" w:eastAsia="en-US"/>
                </w:rPr>
                <w:fldChar w:fldCharType="begin"/>
              </w:r>
              <w:r>
                <w:rPr>
                  <w:lang w:val="en-US" w:eastAsia="en-US"/>
                </w:rPr>
                <w:instrText xml:space="preserve"> PAGEREF _Toc3279 \h </w:instrText>
              </w:r>
              <w:r>
                <w:rPr>
                  <w:lang w:val="en-US" w:eastAsia="en-US"/>
                </w:rPr>
                <w:fldChar w:fldCharType="separate"/>
              </w:r>
              <w:r>
                <w:rPr>
                  <w:lang w:val="en-US" w:eastAsia="en-US"/>
                </w:rPr>
                <w:t>40</w:t>
              </w:r>
              <w:r>
                <w:rPr>
                  <w:lang w:val="en-US" w:eastAsia="en-US"/>
                </w:rPr>
                <w:fldChar w:fldCharType="end"/>
              </w:r>
              <w:r>
                <w:rPr>
                  <w:lang w:val="en-US" w:eastAsia="en-US"/>
                </w:rPr>
                <w:fldChar w:fldCharType="end"/>
              </w:r>
            </w:p>
            <w:p>
              <w:pPr>
                <w:tabs>
                  <w:tab w:val="right" w:leader="dot" w:pos="5990"/>
                </w:tabs>
                <w:spacing w:before="248" w:line="193" w:lineRule="auto"/>
                <w:ind w:left="16" w:firstLine="420" w:firstLineChars="200"/>
                <w:rPr>
                  <w:lang w:val="en-US" w:eastAsia="en-US"/>
                </w:rPr>
              </w:pPr>
              <w:r>
                <w:rPr>
                  <w:lang w:val="en-US" w:eastAsia="en-US"/>
                </w:rPr>
                <w:fldChar w:fldCharType="begin"/>
              </w:r>
              <w:r>
                <w:rPr>
                  <w:lang w:val="en-US" w:eastAsia="en-US"/>
                </w:rPr>
                <w:instrText xml:space="preserve"> HYPERLINK \l _Toc10720 </w:instrText>
              </w:r>
              <w:r>
                <w:rPr>
                  <w:lang w:val="en-US" w:eastAsia="en-US"/>
                </w:rPr>
                <w:fldChar w:fldCharType="separate"/>
              </w:r>
              <w:r>
                <w:rPr>
                  <w:rFonts w:hint="eastAsia"/>
                  <w:lang w:val="en-US" w:eastAsia="zh-CN"/>
                </w:rPr>
                <w:t xml:space="preserve">11.2  </w:t>
              </w:r>
              <w:r>
                <w:rPr>
                  <w:rFonts w:hint="eastAsia" w:ascii="Times New Roman" w:hAnsi="Times New Roman" w:eastAsia="Times New Roman" w:cs="Times New Roman"/>
                  <w:sz w:val="20"/>
                  <w:szCs w:val="20"/>
                  <w:highlight w:val="none"/>
                  <w:lang w:val="en-US" w:eastAsia="zh-CN"/>
                </w:rPr>
                <w:t>Emergency Plans</w:t>
              </w:r>
              <w:r>
                <w:rPr>
                  <w:lang w:val="en-US" w:eastAsia="en-US"/>
                </w:rPr>
                <w:tab/>
              </w:r>
              <w:r>
                <w:rPr>
                  <w:lang w:val="en-US" w:eastAsia="en-US"/>
                </w:rPr>
                <w:fldChar w:fldCharType="begin"/>
              </w:r>
              <w:r>
                <w:rPr>
                  <w:lang w:val="en-US" w:eastAsia="en-US"/>
                </w:rPr>
                <w:instrText xml:space="preserve"> PAGEREF _Toc10720 \h </w:instrText>
              </w:r>
              <w:r>
                <w:rPr>
                  <w:lang w:val="en-US" w:eastAsia="en-US"/>
                </w:rPr>
                <w:fldChar w:fldCharType="separate"/>
              </w:r>
              <w:r>
                <w:rPr>
                  <w:lang w:val="en-US" w:eastAsia="en-US"/>
                </w:rPr>
                <w:t>40</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_Toc7891 </w:instrText>
              </w:r>
              <w:r>
                <w:rPr>
                  <w:lang w:val="en-US" w:eastAsia="en-US"/>
                </w:rPr>
                <w:fldChar w:fldCharType="separate"/>
              </w:r>
              <w:r>
                <w:rPr>
                  <w:rFonts w:hint="eastAsia"/>
                  <w:lang w:val="en-US" w:eastAsia="zh-CN"/>
                </w:rPr>
                <w:t>Explanation of Wording in This Standard</w:t>
              </w:r>
              <w:r>
                <w:rPr>
                  <w:lang w:val="en-US" w:eastAsia="en-US"/>
                </w:rPr>
                <w:tab/>
              </w:r>
              <w:r>
                <w:rPr>
                  <w:lang w:val="en-US" w:eastAsia="en-US"/>
                </w:rPr>
                <w:fldChar w:fldCharType="begin"/>
              </w:r>
              <w:r>
                <w:rPr>
                  <w:lang w:val="en-US" w:eastAsia="en-US"/>
                </w:rPr>
                <w:instrText xml:space="preserve"> PAGEREF _Toc7891 \h </w:instrText>
              </w:r>
              <w:r>
                <w:rPr>
                  <w:lang w:val="en-US" w:eastAsia="en-US"/>
                </w:rPr>
                <w:fldChar w:fldCharType="separate"/>
              </w:r>
              <w:r>
                <w:rPr>
                  <w:lang w:val="en-US" w:eastAsia="en-US"/>
                </w:rPr>
                <w:t>41</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begin"/>
              </w:r>
              <w:r>
                <w:rPr>
                  <w:lang w:val="en-US" w:eastAsia="en-US"/>
                </w:rPr>
                <w:instrText xml:space="preserve"> HYPERLINK \l _Toc19572 </w:instrText>
              </w:r>
              <w:r>
                <w:rPr>
                  <w:lang w:val="en-US" w:eastAsia="en-US"/>
                </w:rPr>
                <w:fldChar w:fldCharType="separate"/>
              </w:r>
              <w:r>
                <w:rPr>
                  <w:rFonts w:hint="eastAsia"/>
                  <w:lang w:val="en-US" w:eastAsia="zh-CN"/>
                </w:rPr>
                <w:t>List of Quoted Standards</w:t>
              </w:r>
              <w:r>
                <w:rPr>
                  <w:lang w:val="en-US" w:eastAsia="en-US"/>
                </w:rPr>
                <w:tab/>
              </w:r>
              <w:r>
                <w:rPr>
                  <w:lang w:val="en-US" w:eastAsia="en-US"/>
                </w:rPr>
                <w:fldChar w:fldCharType="begin"/>
              </w:r>
              <w:r>
                <w:rPr>
                  <w:lang w:val="en-US" w:eastAsia="en-US"/>
                </w:rPr>
                <w:instrText xml:space="preserve"> PAGEREF _Toc19572 \h </w:instrText>
              </w:r>
              <w:r>
                <w:rPr>
                  <w:lang w:val="en-US" w:eastAsia="en-US"/>
                </w:rPr>
                <w:fldChar w:fldCharType="separate"/>
              </w:r>
              <w:r>
                <w:rPr>
                  <w:lang w:val="en-US" w:eastAsia="en-US"/>
                </w:rPr>
                <w:t>42</w:t>
              </w:r>
              <w:r>
                <w:rPr>
                  <w:lang w:val="en-US" w:eastAsia="en-US"/>
                </w:rPr>
                <w:fldChar w:fldCharType="end"/>
              </w:r>
              <w:r>
                <w:rPr>
                  <w:lang w:val="en-US" w:eastAsia="en-US"/>
                </w:rPr>
                <w:fldChar w:fldCharType="end"/>
              </w:r>
            </w:p>
            <w:p>
              <w:pPr>
                <w:tabs>
                  <w:tab w:val="right" w:leader="dot" w:pos="5990"/>
                </w:tabs>
                <w:spacing w:before="248" w:line="193" w:lineRule="auto"/>
                <w:ind w:left="16"/>
                <w:rPr>
                  <w:lang w:val="en-US" w:eastAsia="en-US"/>
                </w:rPr>
              </w:pPr>
              <w:r>
                <w:rPr>
                  <w:lang w:val="en-US" w:eastAsia="en-US"/>
                </w:rPr>
                <w:fldChar w:fldCharType="end"/>
              </w:r>
            </w:p>
          </w:sdtContent>
        </w:sdt>
      </w:sdtContent>
    </w:sdt>
    <w:p>
      <w:pPr>
        <w:tabs>
          <w:tab w:val="right" w:leader="dot" w:pos="5990"/>
        </w:tabs>
        <w:spacing w:before="248" w:line="193" w:lineRule="auto"/>
        <w:ind w:left="16"/>
        <w:rPr>
          <w:lang w:val="en-US" w:eastAsia="en-US"/>
        </w:rPr>
        <w:sectPr>
          <w:pgSz w:w="7938" w:h="11510"/>
          <w:pgMar w:top="978" w:right="1190" w:bottom="0" w:left="968" w:header="0" w:footer="0" w:gutter="0"/>
          <w:cols w:space="720" w:num="1"/>
        </w:sectPr>
      </w:pPr>
    </w:p>
    <w:p>
      <w:pPr>
        <w:spacing w:before="156" w:line="221" w:lineRule="auto"/>
        <w:ind w:left="2453"/>
        <w:outlineLvl w:val="0"/>
        <w:rPr>
          <w:rFonts w:ascii="宋体" w:hAnsi="宋体" w:eastAsia="宋体" w:cs="宋体"/>
          <w:sz w:val="28"/>
          <w:szCs w:val="28"/>
        </w:rPr>
      </w:pPr>
      <w:bookmarkStart w:id="20" w:name="bookmark17"/>
      <w:bookmarkEnd w:id="20"/>
      <w:bookmarkStart w:id="21" w:name="_Toc5953"/>
      <w:bookmarkStart w:id="22" w:name="_Toc24648"/>
      <w:r>
        <w:rPr>
          <w:rFonts w:ascii="Times New Roman" w:hAnsi="Times New Roman" w:eastAsia="Times New Roman" w:cs="Times New Roman"/>
          <w:b/>
          <w:bCs/>
          <w:spacing w:val="-14"/>
          <w:sz w:val="28"/>
          <w:szCs w:val="28"/>
        </w:rPr>
        <w:t>1</w:t>
      </w:r>
      <w:r>
        <w:rPr>
          <w:rFonts w:ascii="Times New Roman" w:hAnsi="Times New Roman" w:eastAsia="Times New Roman" w:cs="Times New Roman"/>
          <w:b/>
          <w:bCs/>
          <w:spacing w:val="9"/>
          <w:sz w:val="28"/>
          <w:szCs w:val="28"/>
        </w:rPr>
        <w:t xml:space="preserve">  </w:t>
      </w:r>
      <w:r>
        <w:rPr>
          <w:rFonts w:ascii="宋体" w:hAnsi="宋体" w:eastAsia="宋体" w:cs="宋体"/>
          <w:b/>
          <w:bCs/>
          <w:spacing w:val="-14"/>
          <w:sz w:val="28"/>
          <w:szCs w:val="28"/>
        </w:rPr>
        <w:t>总</w:t>
      </w:r>
      <w:r>
        <w:rPr>
          <w:rFonts w:ascii="宋体" w:hAnsi="宋体" w:eastAsia="宋体" w:cs="宋体"/>
          <w:spacing w:val="7"/>
          <w:sz w:val="28"/>
          <w:szCs w:val="28"/>
        </w:rPr>
        <w:t xml:space="preserve">  </w:t>
      </w:r>
      <w:r>
        <w:rPr>
          <w:rFonts w:ascii="宋体" w:hAnsi="宋体" w:eastAsia="宋体" w:cs="宋体"/>
          <w:b/>
          <w:bCs/>
          <w:spacing w:val="-14"/>
          <w:sz w:val="28"/>
          <w:szCs w:val="28"/>
        </w:rPr>
        <w:t>则</w:t>
      </w:r>
      <w:bookmarkEnd w:id="21"/>
      <w:bookmarkEnd w:id="22"/>
    </w:p>
    <w:p>
      <w:pPr>
        <w:spacing w:line="245" w:lineRule="auto"/>
        <w:rPr>
          <w:rFonts w:ascii="Arial"/>
          <w:sz w:val="21"/>
        </w:rPr>
      </w:pPr>
    </w:p>
    <w:p>
      <w:pPr>
        <w:spacing w:line="246" w:lineRule="auto"/>
        <w:rPr>
          <w:rFonts w:ascii="Arial"/>
          <w:sz w:val="21"/>
        </w:rPr>
      </w:pPr>
    </w:p>
    <w:p>
      <w:pPr>
        <w:widowControl/>
        <w:kinsoku w:val="0"/>
        <w:autoSpaceDE w:val="0"/>
        <w:autoSpaceDN w:val="0"/>
        <w:adjustRightInd w:val="0"/>
        <w:snapToGrid w:val="0"/>
        <w:spacing w:before="65" w:line="432" w:lineRule="auto"/>
        <w:ind w:firstLine="15"/>
        <w:jc w:val="both"/>
        <w:textAlignment w:val="baseline"/>
        <w:rPr>
          <w:rFonts w:ascii="宋体" w:hAnsi="宋体" w:eastAsia="宋体" w:cs="宋体"/>
          <w:sz w:val="20"/>
          <w:szCs w:val="20"/>
        </w:rPr>
      </w:pPr>
      <w:r>
        <w:rPr>
          <w:rFonts w:ascii="宋体" w:hAnsi="宋体" w:eastAsia="宋体" w:cs="宋体"/>
          <w:b/>
          <w:bCs/>
          <w:spacing w:val="5"/>
          <w:sz w:val="20"/>
          <w:szCs w:val="20"/>
        </w:rPr>
        <w:t>1.0.1</w:t>
      </w:r>
      <w:r>
        <w:rPr>
          <w:rFonts w:ascii="宋体" w:hAnsi="宋体" w:eastAsia="宋体" w:cs="宋体"/>
          <w:spacing w:val="5"/>
          <w:sz w:val="20"/>
          <w:szCs w:val="20"/>
        </w:rPr>
        <w:t xml:space="preserve"> </w:t>
      </w:r>
      <w:r>
        <w:rPr>
          <w:rFonts w:ascii="宋体" w:hAnsi="宋体" w:eastAsia="宋体" w:cs="宋体"/>
          <w:snapToGrid w:val="0"/>
          <w:color w:val="000000"/>
          <w:spacing w:val="5"/>
          <w:kern w:val="0"/>
          <w:sz w:val="20"/>
          <w:szCs w:val="20"/>
          <w:lang w:val="en-US" w:eastAsia="zh-CN"/>
        </w:rPr>
        <w:t>为规范山东省高品质再生水厂工程建设及运输管道的设计、施工、验收、运行维护等工作，保证工程质量，确保再生水安全稳定供应，推动水资源循环利用提质增效，制定本标准。</w:t>
      </w:r>
    </w:p>
    <w:p>
      <w:pPr>
        <w:widowControl/>
        <w:kinsoku w:val="0"/>
        <w:autoSpaceDE w:val="0"/>
        <w:autoSpaceDN w:val="0"/>
        <w:adjustRightInd w:val="0"/>
        <w:snapToGrid w:val="0"/>
        <w:spacing w:before="3" w:line="431" w:lineRule="auto"/>
        <w:ind w:left="1" w:firstLine="13"/>
        <w:jc w:val="both"/>
        <w:textAlignment w:val="baseline"/>
        <w:rPr>
          <w:rFonts w:ascii="宋体" w:hAnsi="宋体" w:eastAsia="宋体" w:cs="宋体"/>
          <w:sz w:val="20"/>
          <w:szCs w:val="20"/>
        </w:rPr>
      </w:pPr>
      <w:r>
        <w:rPr>
          <w:rFonts w:ascii="宋体" w:hAnsi="宋体" w:eastAsia="宋体" w:cs="宋体"/>
          <w:b/>
          <w:bCs/>
          <w:spacing w:val="5"/>
          <w:sz w:val="20"/>
          <w:szCs w:val="20"/>
        </w:rPr>
        <w:t>1.0.2</w:t>
      </w:r>
      <w:r>
        <w:rPr>
          <w:rFonts w:ascii="宋体" w:hAnsi="宋体" w:eastAsia="宋体" w:cs="宋体"/>
          <w:spacing w:val="5"/>
          <w:sz w:val="20"/>
          <w:szCs w:val="20"/>
        </w:rPr>
        <w:t xml:space="preserve"> </w:t>
      </w:r>
      <w:r>
        <w:rPr>
          <w:rFonts w:ascii="宋体" w:hAnsi="宋体" w:eastAsia="宋体" w:cs="宋体"/>
          <w:snapToGrid w:val="0"/>
          <w:color w:val="000000"/>
          <w:spacing w:val="5"/>
          <w:kern w:val="0"/>
          <w:sz w:val="20"/>
          <w:szCs w:val="20"/>
          <w:lang w:val="en-US" w:eastAsia="zh-CN"/>
        </w:rPr>
        <w:t>本标准适用于山东省行政区域内以城市污水厂尾水为水源，采用双膜法（超滤+反渗透）处理工艺，产出用于工业冷却、工艺用水等的新建、改建、扩建高品质再生水厂工程及配套运输管道的设计、施工、验收、运行维护。</w:t>
      </w:r>
    </w:p>
    <w:p>
      <w:pPr>
        <w:widowControl/>
        <w:kinsoku w:val="0"/>
        <w:autoSpaceDE w:val="0"/>
        <w:autoSpaceDN w:val="0"/>
        <w:adjustRightInd w:val="0"/>
        <w:snapToGrid w:val="0"/>
        <w:spacing w:line="433" w:lineRule="auto"/>
        <w:ind w:left="4" w:firstLine="11"/>
        <w:jc w:val="left"/>
        <w:textAlignment w:val="baseline"/>
        <w:rPr>
          <w:rFonts w:ascii="宋体" w:hAnsi="宋体" w:eastAsia="宋体" w:cs="宋体"/>
          <w:snapToGrid w:val="0"/>
          <w:color w:val="000000"/>
          <w:spacing w:val="12"/>
          <w:kern w:val="0"/>
          <w:sz w:val="20"/>
          <w:szCs w:val="20"/>
          <w:lang w:eastAsia="en-US"/>
        </w:rPr>
      </w:pPr>
      <w:r>
        <w:rPr>
          <w:rFonts w:ascii="宋体" w:hAnsi="宋体" w:eastAsia="宋体" w:cs="宋体"/>
          <w:b/>
          <w:bCs/>
          <w:spacing w:val="12"/>
          <w:sz w:val="20"/>
          <w:szCs w:val="20"/>
        </w:rPr>
        <w:t>1.0.3</w:t>
      </w:r>
      <w:r>
        <w:rPr>
          <w:rFonts w:ascii="宋体" w:hAnsi="宋体" w:eastAsia="宋体" w:cs="宋体"/>
          <w:spacing w:val="12"/>
          <w:sz w:val="20"/>
          <w:szCs w:val="20"/>
        </w:rPr>
        <w:t xml:space="preserve"> </w:t>
      </w:r>
      <w:r>
        <w:rPr>
          <w:rFonts w:ascii="宋体" w:hAnsi="宋体" w:eastAsia="宋体" w:cs="宋体"/>
          <w:snapToGrid w:val="0"/>
          <w:color w:val="000000"/>
          <w:spacing w:val="12"/>
          <w:kern w:val="0"/>
          <w:sz w:val="20"/>
          <w:szCs w:val="20"/>
          <w:lang w:val="en-US" w:eastAsia="zh-CN"/>
        </w:rPr>
        <w:t>高品质再生水厂工程建设及运输管道的设计、施工、验收、运行维护，除应符合本标准外，尚应符合国家和山东省现行有关标准的规定。</w:t>
      </w:r>
    </w:p>
    <w:p>
      <w:pPr>
        <w:spacing w:line="433" w:lineRule="auto"/>
        <w:ind w:left="4" w:firstLine="11"/>
        <w:rPr>
          <w:rFonts w:ascii="宋体" w:hAnsi="宋体" w:eastAsia="宋体" w:cs="宋体"/>
          <w:sz w:val="20"/>
          <w:szCs w:val="20"/>
        </w:rPr>
      </w:pPr>
    </w:p>
    <w:p>
      <w:pPr>
        <w:spacing w:line="433" w:lineRule="auto"/>
        <w:rPr>
          <w:rFonts w:ascii="宋体" w:hAnsi="宋体" w:eastAsia="宋体" w:cs="宋体"/>
          <w:sz w:val="20"/>
          <w:szCs w:val="20"/>
        </w:rPr>
        <w:sectPr>
          <w:footerReference r:id="rId5" w:type="default"/>
          <w:pgSz w:w="7938" w:h="11510"/>
          <w:pgMar w:top="978" w:right="965" w:bottom="894" w:left="972" w:header="0" w:footer="732" w:gutter="0"/>
          <w:pgNumType w:fmt="decimal" w:start="1"/>
          <w:cols w:space="720" w:num="1"/>
        </w:sectPr>
      </w:pPr>
    </w:p>
    <w:p>
      <w:pPr>
        <w:spacing w:before="156" w:line="220" w:lineRule="auto"/>
        <w:ind w:left="2441"/>
        <w:outlineLvl w:val="0"/>
        <w:rPr>
          <w:rFonts w:ascii="宋体" w:hAnsi="宋体" w:eastAsia="宋体" w:cs="宋体"/>
          <w:sz w:val="28"/>
          <w:szCs w:val="28"/>
        </w:rPr>
      </w:pPr>
      <w:bookmarkStart w:id="23" w:name="_Toc17657"/>
      <w:bookmarkStart w:id="24" w:name="_Toc16033"/>
      <w:r>
        <w:rPr>
          <w:rFonts w:ascii="Times New Roman" w:hAnsi="Times New Roman" w:eastAsia="Times New Roman" w:cs="Times New Roman"/>
          <w:b/>
          <w:bCs/>
          <w:spacing w:val="-9"/>
          <w:sz w:val="28"/>
          <w:szCs w:val="28"/>
        </w:rPr>
        <w:t>2</w:t>
      </w:r>
      <w:r>
        <w:rPr>
          <w:rFonts w:ascii="Times New Roman" w:hAnsi="Times New Roman" w:eastAsia="Times New Roman" w:cs="Times New Roman"/>
          <w:b/>
          <w:bCs/>
          <w:spacing w:val="7"/>
          <w:sz w:val="28"/>
          <w:szCs w:val="28"/>
        </w:rPr>
        <w:t xml:space="preserve">  </w:t>
      </w:r>
      <w:r>
        <w:rPr>
          <w:rFonts w:ascii="宋体" w:hAnsi="宋体" w:eastAsia="宋体" w:cs="宋体"/>
          <w:b/>
          <w:bCs/>
          <w:spacing w:val="-9"/>
          <w:sz w:val="28"/>
          <w:szCs w:val="28"/>
        </w:rPr>
        <w:t>术</w:t>
      </w:r>
      <w:r>
        <w:rPr>
          <w:rFonts w:ascii="宋体" w:hAnsi="宋体" w:eastAsia="宋体" w:cs="宋体"/>
          <w:spacing w:val="5"/>
          <w:sz w:val="28"/>
          <w:szCs w:val="28"/>
        </w:rPr>
        <w:t xml:space="preserve">  </w:t>
      </w:r>
      <w:r>
        <w:rPr>
          <w:rFonts w:ascii="宋体" w:hAnsi="宋体" w:eastAsia="宋体" w:cs="宋体"/>
          <w:b/>
          <w:bCs/>
          <w:spacing w:val="-9"/>
          <w:sz w:val="28"/>
          <w:szCs w:val="28"/>
        </w:rPr>
        <w:t>语</w:t>
      </w:r>
      <w:bookmarkEnd w:id="23"/>
      <w:bookmarkEnd w:id="24"/>
    </w:p>
    <w:p>
      <w:pPr>
        <w:spacing w:before="249" w:line="221" w:lineRule="auto"/>
        <w:ind w:left="2"/>
        <w:rPr>
          <w:rFonts w:ascii="Times New Roman" w:hAnsi="Times New Roman" w:eastAsia="Times New Roman" w:cs="Times New Roman"/>
          <w:sz w:val="20"/>
          <w:szCs w:val="20"/>
        </w:rPr>
      </w:pPr>
      <w:r>
        <w:rPr>
          <w:rFonts w:ascii="宋体" w:hAnsi="宋体" w:eastAsia="宋体" w:cs="宋体"/>
          <w:b/>
          <w:bCs/>
          <w:spacing w:val="10"/>
          <w:sz w:val="20"/>
          <w:szCs w:val="20"/>
        </w:rPr>
        <w:t>2.0.1</w:t>
      </w:r>
      <w:r>
        <w:rPr>
          <w:rFonts w:ascii="宋体" w:hAnsi="宋体" w:eastAsia="宋体" w:cs="宋体"/>
          <w:spacing w:val="10"/>
          <w:sz w:val="20"/>
          <w:szCs w:val="20"/>
        </w:rPr>
        <w:t xml:space="preserve"> </w:t>
      </w:r>
      <w:r>
        <w:rPr>
          <w:rFonts w:hint="default" w:ascii="宋体" w:hAnsi="宋体" w:eastAsia="宋体" w:cs="宋体"/>
          <w:b w:val="0"/>
          <w:bCs w:val="0"/>
          <w:snapToGrid w:val="0"/>
          <w:color w:val="000000"/>
          <w:spacing w:val="10"/>
          <w:kern w:val="0"/>
          <w:sz w:val="20"/>
          <w:szCs w:val="20"/>
          <w:lang w:val="en-US" w:eastAsia="en-US" w:bidi="ar-SA"/>
        </w:rPr>
        <w:t>再生水</w:t>
      </w:r>
      <w:r>
        <w:rPr>
          <w:rFonts w:ascii="宋体" w:hAnsi="宋体" w:eastAsia="宋体" w:cs="宋体"/>
          <w:spacing w:val="10"/>
          <w:sz w:val="20"/>
          <w:szCs w:val="20"/>
        </w:rPr>
        <w:t xml:space="preserve">  </w:t>
      </w:r>
      <w:r>
        <w:rPr>
          <w:rFonts w:hint="default" w:ascii="Times New Roman" w:hAnsi="Times New Roman" w:eastAsia="Times New Roman" w:cs="Times New Roman"/>
          <w:sz w:val="20"/>
          <w:szCs w:val="20"/>
          <w:lang w:val="en-US" w:eastAsia="en-US"/>
        </w:rPr>
        <w:t>reclaimed water</w:t>
      </w:r>
    </w:p>
    <w:p>
      <w:pPr>
        <w:spacing w:before="228" w:line="432" w:lineRule="auto"/>
        <w:ind w:firstLine="418"/>
        <w:rPr>
          <w:rFonts w:hint="default" w:ascii="宋体" w:hAnsi="宋体" w:eastAsia="宋体" w:cs="宋体"/>
          <w:snapToGrid w:val="0"/>
          <w:color w:val="000000"/>
          <w:spacing w:val="5"/>
          <w:kern w:val="0"/>
          <w:sz w:val="20"/>
          <w:szCs w:val="20"/>
          <w:lang w:val="en-US" w:eastAsia="zh-CN"/>
        </w:rPr>
      </w:pPr>
      <w:r>
        <w:rPr>
          <w:rFonts w:hint="eastAsia" w:ascii="宋体" w:hAnsi="宋体" w:eastAsia="宋体" w:cs="宋体"/>
          <w:spacing w:val="6"/>
          <w:sz w:val="20"/>
          <w:szCs w:val="20"/>
          <w:lang w:val="en-US" w:eastAsia="zh-CN"/>
        </w:rPr>
        <w:t>污水处理后，达到不同水质标准，满足相应使用功能的水。</w:t>
      </w:r>
    </w:p>
    <w:p>
      <w:pPr>
        <w:spacing w:before="249" w:line="221" w:lineRule="auto"/>
        <w:ind w:left="2"/>
        <w:rPr>
          <w:rFonts w:ascii="Times New Roman" w:hAnsi="Times New Roman" w:eastAsia="Times New Roman" w:cs="Times New Roman"/>
          <w:sz w:val="20"/>
          <w:szCs w:val="20"/>
        </w:rPr>
      </w:pPr>
      <w:r>
        <w:rPr>
          <w:rFonts w:ascii="宋体" w:hAnsi="宋体" w:eastAsia="宋体" w:cs="宋体"/>
          <w:b/>
          <w:bCs/>
          <w:spacing w:val="10"/>
          <w:sz w:val="20"/>
          <w:szCs w:val="20"/>
        </w:rPr>
        <w:t>2.0.</w:t>
      </w:r>
      <w:r>
        <w:rPr>
          <w:rFonts w:hint="eastAsia" w:ascii="宋体" w:hAnsi="宋体" w:eastAsia="宋体" w:cs="宋体"/>
          <w:b/>
          <w:bCs/>
          <w:spacing w:val="10"/>
          <w:sz w:val="20"/>
          <w:szCs w:val="20"/>
          <w:lang w:val="en-US" w:eastAsia="zh-CN"/>
        </w:rPr>
        <w:t>2</w:t>
      </w:r>
      <w:r>
        <w:rPr>
          <w:rFonts w:ascii="宋体" w:hAnsi="宋体" w:eastAsia="宋体" w:cs="宋体"/>
          <w:spacing w:val="10"/>
          <w:sz w:val="20"/>
          <w:szCs w:val="20"/>
        </w:rPr>
        <w:t xml:space="preserve"> </w:t>
      </w:r>
      <w:r>
        <w:rPr>
          <w:rFonts w:hint="eastAsia" w:ascii="宋体" w:hAnsi="宋体" w:eastAsia="宋体" w:cs="宋体"/>
          <w:spacing w:val="10"/>
          <w:sz w:val="20"/>
          <w:szCs w:val="20"/>
          <w:lang w:val="en-US" w:eastAsia="zh-CN"/>
        </w:rPr>
        <w:t>高品质</w:t>
      </w:r>
      <w:r>
        <w:rPr>
          <w:rFonts w:hint="default" w:ascii="宋体" w:hAnsi="宋体" w:eastAsia="宋体" w:cs="宋体"/>
          <w:b w:val="0"/>
          <w:bCs w:val="0"/>
          <w:snapToGrid w:val="0"/>
          <w:color w:val="000000"/>
          <w:spacing w:val="10"/>
          <w:kern w:val="0"/>
          <w:sz w:val="20"/>
          <w:szCs w:val="20"/>
          <w:lang w:val="en-US" w:eastAsia="en-US" w:bidi="ar-SA"/>
        </w:rPr>
        <w:t>再生水</w:t>
      </w:r>
      <w:r>
        <w:rPr>
          <w:rFonts w:ascii="宋体" w:hAnsi="宋体" w:eastAsia="宋体" w:cs="宋体"/>
          <w:spacing w:val="10"/>
          <w:sz w:val="20"/>
          <w:szCs w:val="20"/>
        </w:rPr>
        <w:t xml:space="preserve">  </w:t>
      </w:r>
      <w:r>
        <w:rPr>
          <w:rFonts w:hint="eastAsia" w:ascii="Times New Roman" w:hAnsi="Times New Roman" w:eastAsia="宋体" w:cs="Times New Roman"/>
          <w:sz w:val="20"/>
          <w:szCs w:val="20"/>
          <w:lang w:val="en-US" w:eastAsia="zh-CN"/>
        </w:rPr>
        <w:t>h</w:t>
      </w:r>
      <w:r>
        <w:rPr>
          <w:rFonts w:hint="default" w:ascii="Times New Roman" w:hAnsi="Times New Roman" w:eastAsia="Times New Roman" w:cs="Times New Roman"/>
          <w:sz w:val="20"/>
          <w:szCs w:val="20"/>
          <w:lang w:val="en-US" w:eastAsia="en-US"/>
        </w:rPr>
        <w:t>igh-quality</w:t>
      </w:r>
      <w:r>
        <w:rPr>
          <w:rFonts w:hint="eastAsia" w:ascii="宋体" w:hAnsi="宋体" w:eastAsia="宋体" w:cs="宋体"/>
          <w:sz w:val="24"/>
          <w:szCs w:val="24"/>
          <w:lang w:val="en-US" w:eastAsia="zh-CN"/>
        </w:rPr>
        <w:t xml:space="preserve"> </w:t>
      </w:r>
      <w:r>
        <w:rPr>
          <w:rFonts w:hint="default" w:ascii="Times New Roman" w:hAnsi="Times New Roman" w:eastAsia="Times New Roman" w:cs="Times New Roman"/>
          <w:sz w:val="20"/>
          <w:szCs w:val="20"/>
          <w:lang w:val="en-US" w:eastAsia="en-US"/>
        </w:rPr>
        <w:t>reclaimed water</w:t>
      </w:r>
    </w:p>
    <w:p>
      <w:pPr>
        <w:spacing w:before="228" w:line="432" w:lineRule="auto"/>
        <w:ind w:firstLine="418"/>
        <w:rPr>
          <w:rFonts w:hint="eastAsia" w:ascii="宋体" w:hAnsi="宋体" w:eastAsia="宋体" w:cs="宋体"/>
          <w:spacing w:val="6"/>
          <w:sz w:val="20"/>
          <w:szCs w:val="20"/>
          <w:lang w:val="en-US" w:eastAsia="en-US"/>
        </w:rPr>
      </w:pPr>
      <w:r>
        <w:rPr>
          <w:rFonts w:hint="eastAsia" w:ascii="宋体" w:hAnsi="宋体" w:eastAsia="宋体" w:cs="宋体"/>
          <w:spacing w:val="6"/>
          <w:sz w:val="20"/>
          <w:szCs w:val="20"/>
          <w:lang w:val="en-US" w:eastAsia="zh-CN"/>
        </w:rPr>
        <w:t>经本标准规定的处理工艺处理后，水质指标达到特定回用场景（如工业冷却、工艺用水、高端绿化等）要求，且核心指标满足严格控制标准的再生水。</w:t>
      </w:r>
    </w:p>
    <w:p>
      <w:pPr>
        <w:spacing w:line="221" w:lineRule="auto"/>
        <w:ind w:left="2"/>
        <w:rPr>
          <w:rFonts w:ascii="Times New Roman" w:hAnsi="Times New Roman" w:eastAsia="Times New Roman" w:cs="Times New Roman"/>
          <w:sz w:val="20"/>
          <w:szCs w:val="20"/>
        </w:rPr>
      </w:pPr>
      <w:r>
        <w:rPr>
          <w:rFonts w:ascii="宋体" w:hAnsi="宋体" w:eastAsia="宋体" w:cs="宋体"/>
          <w:b/>
          <w:bCs/>
          <w:spacing w:val="9"/>
          <w:sz w:val="20"/>
          <w:szCs w:val="20"/>
        </w:rPr>
        <w:t>2.0.</w:t>
      </w:r>
      <w:r>
        <w:rPr>
          <w:rFonts w:hint="eastAsia" w:ascii="宋体" w:hAnsi="宋体" w:eastAsia="宋体" w:cs="宋体"/>
          <w:b/>
          <w:bCs/>
          <w:spacing w:val="9"/>
          <w:sz w:val="20"/>
          <w:szCs w:val="20"/>
          <w:lang w:val="en-US" w:eastAsia="zh-CN"/>
        </w:rPr>
        <w:t xml:space="preserve">3 </w:t>
      </w:r>
      <w:r>
        <w:rPr>
          <w:rFonts w:hint="default" w:ascii="宋体" w:hAnsi="宋体" w:eastAsia="宋体" w:cs="宋体"/>
          <w:b w:val="0"/>
          <w:bCs w:val="0"/>
          <w:snapToGrid w:val="0"/>
          <w:color w:val="000000"/>
          <w:spacing w:val="9"/>
          <w:kern w:val="0"/>
          <w:sz w:val="20"/>
          <w:szCs w:val="20"/>
          <w:lang w:val="en-US" w:eastAsia="en-US" w:bidi="ar-SA"/>
        </w:rPr>
        <w:t>双膜工艺</w:t>
      </w:r>
      <w:r>
        <w:rPr>
          <w:rFonts w:ascii="宋体" w:hAnsi="宋体" w:eastAsia="宋体" w:cs="宋体"/>
          <w:spacing w:val="9"/>
          <w:sz w:val="20"/>
          <w:szCs w:val="20"/>
        </w:rPr>
        <w:t xml:space="preserve">  </w:t>
      </w:r>
      <w:r>
        <w:rPr>
          <w:rFonts w:hint="default" w:ascii="Times New Roman" w:hAnsi="Times New Roman" w:eastAsia="Times New Roman" w:cs="Times New Roman"/>
          <w:b w:val="0"/>
          <w:bCs w:val="0"/>
          <w:snapToGrid w:val="0"/>
          <w:color w:val="000000"/>
          <w:kern w:val="0"/>
          <w:sz w:val="20"/>
          <w:szCs w:val="20"/>
          <w:lang w:val="en-US" w:eastAsia="en-US" w:bidi="ar-SA"/>
        </w:rPr>
        <w:t>double membrane process</w:t>
      </w:r>
    </w:p>
    <w:p>
      <w:pPr>
        <w:spacing w:before="228" w:line="432" w:lineRule="auto"/>
        <w:ind w:firstLine="418"/>
        <w:rPr>
          <w:rFonts w:hint="eastAsia" w:ascii="宋体" w:hAnsi="宋体" w:eastAsia="宋体" w:cs="宋体"/>
          <w:spacing w:val="6"/>
          <w:sz w:val="20"/>
          <w:szCs w:val="20"/>
          <w:lang w:val="en-US" w:eastAsia="en-US"/>
        </w:rPr>
      </w:pPr>
      <w:r>
        <w:rPr>
          <w:rFonts w:hint="eastAsia" w:ascii="宋体" w:hAnsi="宋体" w:eastAsia="宋体" w:cs="宋体"/>
          <w:spacing w:val="6"/>
          <w:sz w:val="20"/>
          <w:szCs w:val="20"/>
          <w:lang w:val="en-US" w:eastAsia="zh-CN"/>
        </w:rPr>
        <w:t>由超滤（</w:t>
      </w:r>
      <w:r>
        <w:rPr>
          <w:rFonts w:hint="eastAsia" w:ascii="Times New Roman" w:hAnsi="Times New Roman" w:eastAsia="Times New Roman" w:cs="Times New Roman"/>
          <w:b w:val="0"/>
          <w:bCs w:val="0"/>
          <w:snapToGrid w:val="0"/>
          <w:color w:val="000000"/>
          <w:kern w:val="0"/>
          <w:sz w:val="20"/>
          <w:szCs w:val="20"/>
          <w:lang w:val="en-US" w:eastAsia="zh-CN" w:bidi="ar-SA"/>
        </w:rPr>
        <w:t>UF</w:t>
      </w:r>
      <w:r>
        <w:rPr>
          <w:rFonts w:hint="eastAsia" w:ascii="宋体" w:hAnsi="宋体" w:eastAsia="宋体" w:cs="宋体"/>
          <w:spacing w:val="6"/>
          <w:sz w:val="20"/>
          <w:szCs w:val="20"/>
          <w:lang w:val="en-US" w:eastAsia="zh-CN"/>
        </w:rPr>
        <w:t>）和反渗透（</w:t>
      </w:r>
      <w:r>
        <w:rPr>
          <w:rFonts w:hint="eastAsia" w:ascii="Times New Roman" w:hAnsi="Times New Roman" w:eastAsia="Times New Roman" w:cs="Times New Roman"/>
          <w:b w:val="0"/>
          <w:bCs w:val="0"/>
          <w:snapToGrid w:val="0"/>
          <w:color w:val="000000"/>
          <w:kern w:val="0"/>
          <w:sz w:val="20"/>
          <w:szCs w:val="20"/>
          <w:lang w:val="en-US" w:eastAsia="zh-CN" w:bidi="ar-SA"/>
        </w:rPr>
        <w:t>RO</w:t>
      </w:r>
      <w:r>
        <w:rPr>
          <w:rFonts w:hint="eastAsia" w:ascii="宋体" w:hAnsi="宋体" w:eastAsia="宋体" w:cs="宋体"/>
          <w:spacing w:val="6"/>
          <w:sz w:val="20"/>
          <w:szCs w:val="20"/>
          <w:lang w:val="en-US" w:eastAsia="zh-CN"/>
        </w:rPr>
        <w:t>）两种膜分离技术组合而成的深度处理工艺，用于去除水中悬浮物、胶体、溶解性有机物及盐类等污染物。</w:t>
      </w:r>
    </w:p>
    <w:p>
      <w:pPr>
        <w:keepNext w:val="0"/>
        <w:keepLines w:val="0"/>
        <w:pageBreakBefore w:val="0"/>
        <w:widowControl/>
        <w:kinsoku w:val="0"/>
        <w:wordWrap/>
        <w:overflowPunct/>
        <w:topLinePunct w:val="0"/>
        <w:autoSpaceDE w:val="0"/>
        <w:autoSpaceDN w:val="0"/>
        <w:bidi w:val="0"/>
        <w:adjustRightInd w:val="0"/>
        <w:snapToGrid w:val="0"/>
        <w:spacing w:before="221" w:line="221" w:lineRule="auto"/>
        <w:ind w:left="0"/>
        <w:textAlignment w:val="baseline"/>
        <w:rPr>
          <w:rFonts w:ascii="Times New Roman" w:hAnsi="Times New Roman" w:eastAsia="Times New Roman" w:cs="Times New Roman"/>
          <w:sz w:val="20"/>
          <w:szCs w:val="20"/>
        </w:rPr>
      </w:pPr>
      <w:r>
        <w:rPr>
          <w:rFonts w:ascii="宋体" w:hAnsi="宋体" w:eastAsia="宋体" w:cs="宋体"/>
          <w:b/>
          <w:bCs/>
          <w:spacing w:val="9"/>
          <w:sz w:val="20"/>
          <w:szCs w:val="20"/>
        </w:rPr>
        <w:t>2.0.</w:t>
      </w:r>
      <w:r>
        <w:rPr>
          <w:rFonts w:hint="eastAsia" w:ascii="宋体" w:hAnsi="宋体" w:eastAsia="宋体" w:cs="宋体"/>
          <w:b/>
          <w:bCs/>
          <w:spacing w:val="9"/>
          <w:sz w:val="20"/>
          <w:szCs w:val="20"/>
          <w:lang w:val="en-US" w:eastAsia="zh-CN"/>
        </w:rPr>
        <w:t>4</w:t>
      </w:r>
      <w:r>
        <w:rPr>
          <w:rFonts w:ascii="宋体" w:hAnsi="宋体" w:eastAsia="宋体" w:cs="宋体"/>
          <w:spacing w:val="9"/>
          <w:sz w:val="20"/>
          <w:szCs w:val="20"/>
        </w:rPr>
        <w:t xml:space="preserve"> </w:t>
      </w:r>
      <w:r>
        <w:rPr>
          <w:rFonts w:hint="default" w:ascii="宋体" w:hAnsi="宋体" w:eastAsia="宋体" w:cs="宋体"/>
          <w:b w:val="0"/>
          <w:bCs w:val="0"/>
          <w:snapToGrid w:val="0"/>
          <w:color w:val="000000"/>
          <w:spacing w:val="9"/>
          <w:kern w:val="0"/>
          <w:sz w:val="20"/>
          <w:szCs w:val="20"/>
          <w:lang w:val="en-US" w:eastAsia="en-US" w:bidi="ar-SA"/>
        </w:rPr>
        <w:t>跨膜压差</w:t>
      </w:r>
      <w:r>
        <w:rPr>
          <w:rFonts w:ascii="宋体" w:hAnsi="宋体" w:eastAsia="宋体" w:cs="宋体"/>
          <w:spacing w:val="9"/>
          <w:sz w:val="20"/>
          <w:szCs w:val="20"/>
        </w:rPr>
        <w:t xml:space="preserve">  </w:t>
      </w:r>
      <w:r>
        <w:rPr>
          <w:rFonts w:hint="eastAsia" w:ascii="Times New Roman" w:hAnsi="Times New Roman" w:eastAsia="宋体" w:cs="Times New Roman"/>
          <w:sz w:val="20"/>
          <w:szCs w:val="20"/>
          <w:lang w:val="en-US" w:eastAsia="zh-CN"/>
        </w:rPr>
        <w:t>TMP</w:t>
      </w:r>
    </w:p>
    <w:p>
      <w:pPr>
        <w:spacing w:before="228" w:line="432" w:lineRule="auto"/>
        <w:ind w:firstLine="418"/>
        <w:rPr>
          <w:rFonts w:ascii="宋体" w:hAnsi="宋体" w:eastAsia="宋体" w:cs="宋体"/>
          <w:sz w:val="20"/>
          <w:szCs w:val="20"/>
        </w:rPr>
      </w:pPr>
      <w:r>
        <w:rPr>
          <w:rFonts w:hint="eastAsia" w:ascii="宋体" w:hAnsi="宋体" w:eastAsia="宋体" w:cs="宋体"/>
          <w:spacing w:val="6"/>
          <w:sz w:val="20"/>
          <w:szCs w:val="20"/>
          <w:lang w:val="en-US" w:eastAsia="zh-CN"/>
        </w:rPr>
        <w:t>膜组件进出口的压力差值，是反映膜污染程度的关键指标。</w:t>
      </w:r>
    </w:p>
    <w:p>
      <w:pPr>
        <w:tabs>
          <w:tab w:val="center" w:pos="3000"/>
        </w:tabs>
        <w:spacing w:before="222" w:line="221" w:lineRule="auto"/>
        <w:ind w:left="2"/>
        <w:rPr>
          <w:rFonts w:hint="eastAsia" w:ascii="Times New Roman" w:hAnsi="Times New Roman" w:eastAsia="宋体" w:cs="Times New Roman"/>
          <w:sz w:val="20"/>
          <w:szCs w:val="20"/>
          <w:lang w:eastAsia="zh-CN"/>
        </w:rPr>
      </w:pPr>
      <w:r>
        <w:rPr>
          <w:rFonts w:ascii="宋体" w:hAnsi="宋体" w:eastAsia="宋体" w:cs="宋体"/>
          <w:b/>
          <w:bCs/>
          <w:spacing w:val="7"/>
          <w:sz w:val="20"/>
          <w:szCs w:val="20"/>
        </w:rPr>
        <w:t>2.0.</w:t>
      </w:r>
      <w:r>
        <w:rPr>
          <w:rFonts w:hint="eastAsia" w:ascii="宋体" w:hAnsi="宋体" w:eastAsia="宋体" w:cs="宋体"/>
          <w:b/>
          <w:bCs/>
          <w:spacing w:val="7"/>
          <w:sz w:val="20"/>
          <w:szCs w:val="20"/>
          <w:lang w:val="en-US" w:eastAsia="zh-CN"/>
        </w:rPr>
        <w:t>5</w:t>
      </w:r>
      <w:r>
        <w:rPr>
          <w:rFonts w:ascii="宋体" w:hAnsi="宋体" w:eastAsia="宋体" w:cs="宋体"/>
          <w:spacing w:val="7"/>
          <w:sz w:val="20"/>
          <w:szCs w:val="20"/>
        </w:rPr>
        <w:t xml:space="preserve"> </w:t>
      </w:r>
      <w:r>
        <w:rPr>
          <w:rFonts w:hint="eastAsia" w:ascii="宋体" w:hAnsi="宋体" w:eastAsia="宋体" w:cs="宋体"/>
          <w:spacing w:val="7"/>
          <w:sz w:val="20"/>
          <w:szCs w:val="20"/>
          <w:lang w:val="en-US" w:eastAsia="zh-CN"/>
        </w:rPr>
        <w:t>预处理单元</w:t>
      </w:r>
      <w:r>
        <w:rPr>
          <w:rFonts w:ascii="宋体" w:hAnsi="宋体" w:eastAsia="宋体" w:cs="宋体"/>
          <w:spacing w:val="12"/>
          <w:sz w:val="20"/>
          <w:szCs w:val="20"/>
        </w:rPr>
        <w:t xml:space="preserve">  </w:t>
      </w:r>
      <w:r>
        <w:rPr>
          <w:rFonts w:hint="default" w:ascii="Times New Roman" w:hAnsi="Times New Roman" w:eastAsia="宋体" w:cs="Times New Roman"/>
          <w:b w:val="0"/>
          <w:bCs w:val="0"/>
          <w:snapToGrid w:val="0"/>
          <w:color w:val="000000"/>
          <w:kern w:val="0"/>
          <w:sz w:val="20"/>
          <w:szCs w:val="20"/>
          <w:lang w:val="en-US" w:eastAsia="en-US" w:bidi="ar-SA"/>
        </w:rPr>
        <w:t>pretreatment unit</w:t>
      </w:r>
    </w:p>
    <w:p>
      <w:pPr>
        <w:spacing w:before="228" w:line="432" w:lineRule="auto"/>
        <w:ind w:firstLine="418"/>
        <w:rPr>
          <w:rFonts w:hint="eastAsia" w:ascii="宋体" w:hAnsi="宋体" w:eastAsia="宋体" w:cs="宋体"/>
          <w:spacing w:val="6"/>
          <w:sz w:val="20"/>
          <w:szCs w:val="20"/>
          <w:lang w:val="en-US" w:eastAsia="en-US"/>
        </w:rPr>
      </w:pPr>
      <w:r>
        <w:rPr>
          <w:rFonts w:hint="eastAsia" w:ascii="宋体" w:hAnsi="宋体" w:eastAsia="宋体" w:cs="宋体"/>
          <w:spacing w:val="6"/>
          <w:sz w:val="20"/>
          <w:szCs w:val="20"/>
          <w:lang w:val="en-US" w:eastAsia="zh-CN"/>
        </w:rPr>
        <w:t>在双膜核心处理单元之前，对原水（污水厂尾水）进行初步净化处理的工艺环节，通常包括膜格栅、自清洗过滤器等设备，主要作用是去除水中大颗粒杂质、悬浮物，为后续超滤、反渗透系统稳定运行提供保障。</w:t>
      </w:r>
    </w:p>
    <w:p>
      <w:pPr>
        <w:spacing w:line="221" w:lineRule="auto"/>
        <w:ind w:left="2"/>
        <w:rPr>
          <w:rFonts w:hint="eastAsia" w:ascii="Times New Roman" w:hAnsi="Times New Roman" w:eastAsia="宋体" w:cs="Times New Roman"/>
          <w:sz w:val="20"/>
          <w:szCs w:val="20"/>
          <w:lang w:eastAsia="zh-CN"/>
        </w:rPr>
      </w:pPr>
      <w:r>
        <w:rPr>
          <w:rFonts w:ascii="宋体" w:hAnsi="宋体" w:eastAsia="宋体" w:cs="宋体"/>
          <w:b/>
          <w:bCs/>
          <w:spacing w:val="11"/>
          <w:sz w:val="20"/>
          <w:szCs w:val="20"/>
        </w:rPr>
        <w:t>2.0.</w:t>
      </w:r>
      <w:r>
        <w:rPr>
          <w:rFonts w:hint="eastAsia" w:ascii="宋体" w:hAnsi="宋体" w:eastAsia="宋体" w:cs="宋体"/>
          <w:b/>
          <w:bCs/>
          <w:spacing w:val="11"/>
          <w:sz w:val="20"/>
          <w:szCs w:val="20"/>
          <w:lang w:val="en-US" w:eastAsia="zh-CN"/>
        </w:rPr>
        <w:t>6</w:t>
      </w:r>
      <w:r>
        <w:rPr>
          <w:rFonts w:ascii="宋体" w:hAnsi="宋体" w:eastAsia="宋体" w:cs="宋体"/>
          <w:spacing w:val="11"/>
          <w:sz w:val="20"/>
          <w:szCs w:val="20"/>
        </w:rPr>
        <w:t xml:space="preserve"> </w:t>
      </w:r>
      <w:r>
        <w:rPr>
          <w:rFonts w:hint="eastAsia" w:ascii="宋体" w:hAnsi="宋体" w:eastAsia="宋体" w:cs="宋体"/>
          <w:spacing w:val="11"/>
          <w:sz w:val="20"/>
          <w:szCs w:val="20"/>
          <w:lang w:val="en-US" w:eastAsia="zh-CN"/>
        </w:rPr>
        <w:t>污染指数</w:t>
      </w:r>
      <w:r>
        <w:rPr>
          <w:rFonts w:ascii="宋体" w:hAnsi="宋体" w:eastAsia="宋体" w:cs="宋体"/>
          <w:spacing w:val="11"/>
          <w:sz w:val="20"/>
          <w:szCs w:val="20"/>
        </w:rPr>
        <w:t xml:space="preserve">  </w:t>
      </w:r>
      <w:r>
        <w:rPr>
          <w:rFonts w:hint="eastAsia" w:ascii="Times New Roman" w:hAnsi="Times New Roman" w:eastAsia="宋体" w:cs="Times New Roman"/>
          <w:sz w:val="20"/>
          <w:szCs w:val="20"/>
          <w:lang w:val="en-US" w:eastAsia="zh-CN"/>
        </w:rPr>
        <w:t>SDI</w:t>
      </w:r>
    </w:p>
    <w:p>
      <w:pPr>
        <w:spacing w:before="228" w:line="432" w:lineRule="auto"/>
        <w:ind w:firstLine="418"/>
        <w:rPr>
          <w:rFonts w:hint="eastAsia" w:ascii="宋体" w:hAnsi="宋体" w:eastAsia="宋体" w:cs="宋体"/>
          <w:spacing w:val="6"/>
          <w:sz w:val="20"/>
          <w:szCs w:val="20"/>
          <w:lang w:val="en-US" w:eastAsia="en-US"/>
        </w:rPr>
      </w:pPr>
      <w:r>
        <w:rPr>
          <w:rFonts w:hint="eastAsia" w:ascii="宋体" w:hAnsi="宋体" w:eastAsia="宋体" w:cs="宋体"/>
          <w:spacing w:val="6"/>
          <w:sz w:val="20"/>
          <w:szCs w:val="20"/>
          <w:lang w:val="en-US" w:eastAsia="zh-CN"/>
        </w:rPr>
        <w:t>全称为</w:t>
      </w:r>
      <w:r>
        <w:rPr>
          <w:rFonts w:hint="eastAsia" w:ascii="Times New Roman" w:hAnsi="Times New Roman" w:eastAsia="宋体" w:cs="Times New Roman"/>
          <w:sz w:val="20"/>
          <w:szCs w:val="20"/>
          <w:lang w:val="en-US" w:eastAsia="zh-CN"/>
        </w:rPr>
        <w:t>Silt Density Index</w:t>
      </w:r>
      <w:r>
        <w:rPr>
          <w:rFonts w:hint="eastAsia" w:ascii="宋体" w:hAnsi="宋体" w:eastAsia="宋体" w:cs="宋体"/>
          <w:spacing w:val="6"/>
          <w:sz w:val="20"/>
          <w:szCs w:val="20"/>
          <w:lang w:val="en-US" w:eastAsia="zh-CN"/>
        </w:rPr>
        <w:t>，衡量水中悬浮物、胶体等颗粒物质含量的重要指标，用于评估水质对反渗透膜等精密过滤元件的污染潜力。</w:t>
      </w:r>
    </w:p>
    <w:p>
      <w:pPr>
        <w:spacing w:line="221" w:lineRule="auto"/>
        <w:ind w:left="2"/>
        <w:rPr>
          <w:rFonts w:ascii="Times New Roman" w:hAnsi="Times New Roman" w:eastAsia="Times New Roman" w:cs="Times New Roman"/>
          <w:sz w:val="20"/>
          <w:szCs w:val="20"/>
        </w:rPr>
      </w:pPr>
      <w:r>
        <w:rPr>
          <w:rFonts w:ascii="宋体" w:hAnsi="宋体" w:eastAsia="宋体" w:cs="宋体"/>
          <w:b/>
          <w:bCs/>
          <w:spacing w:val="10"/>
          <w:sz w:val="20"/>
          <w:szCs w:val="20"/>
        </w:rPr>
        <w:t>2.0.</w:t>
      </w:r>
      <w:r>
        <w:rPr>
          <w:rFonts w:hint="eastAsia" w:ascii="宋体" w:hAnsi="宋体" w:eastAsia="宋体" w:cs="宋体"/>
          <w:b/>
          <w:bCs/>
          <w:spacing w:val="10"/>
          <w:sz w:val="20"/>
          <w:szCs w:val="20"/>
          <w:lang w:val="en-US" w:eastAsia="zh-CN"/>
        </w:rPr>
        <w:t>7</w:t>
      </w:r>
      <w:r>
        <w:rPr>
          <w:rFonts w:ascii="宋体" w:hAnsi="宋体" w:eastAsia="宋体" w:cs="宋体"/>
          <w:spacing w:val="10"/>
          <w:sz w:val="20"/>
          <w:szCs w:val="20"/>
        </w:rPr>
        <w:t xml:space="preserve"> </w:t>
      </w:r>
      <w:r>
        <w:rPr>
          <w:rFonts w:hint="eastAsia" w:ascii="宋体" w:hAnsi="宋体" w:eastAsia="宋体" w:cs="宋体"/>
          <w:spacing w:val="10"/>
          <w:sz w:val="20"/>
          <w:szCs w:val="20"/>
          <w:lang w:val="en-US" w:eastAsia="zh-CN"/>
        </w:rPr>
        <w:t>电导率</w:t>
      </w:r>
      <w:r>
        <w:rPr>
          <w:rFonts w:ascii="宋体" w:hAnsi="宋体" w:eastAsia="宋体" w:cs="宋体"/>
          <w:spacing w:val="10"/>
          <w:sz w:val="20"/>
          <w:szCs w:val="20"/>
        </w:rPr>
        <w:t xml:space="preserve">  </w:t>
      </w:r>
      <w:r>
        <w:rPr>
          <w:rFonts w:hint="default" w:ascii="Times New Roman" w:hAnsi="Times New Roman" w:eastAsia="Times New Roman" w:cs="Times New Roman"/>
          <w:b w:val="0"/>
          <w:bCs w:val="0"/>
          <w:snapToGrid w:val="0"/>
          <w:color w:val="000000"/>
          <w:kern w:val="0"/>
          <w:sz w:val="20"/>
          <w:szCs w:val="20"/>
          <w:lang w:val="en-US" w:eastAsia="en-US" w:bidi="ar-SA"/>
        </w:rPr>
        <w:t>conductivity</w:t>
      </w:r>
    </w:p>
    <w:p>
      <w:pPr>
        <w:spacing w:before="228" w:line="432" w:lineRule="auto"/>
        <w:ind w:firstLine="418"/>
        <w:rPr>
          <w:rFonts w:hint="eastAsia" w:ascii="宋体" w:hAnsi="宋体" w:eastAsia="宋体" w:cs="宋体"/>
          <w:spacing w:val="6"/>
          <w:sz w:val="20"/>
          <w:szCs w:val="20"/>
          <w:lang w:val="en-US" w:eastAsia="en-US"/>
        </w:rPr>
      </w:pPr>
      <w:r>
        <w:rPr>
          <w:rFonts w:hint="eastAsia" w:ascii="宋体" w:hAnsi="宋体" w:eastAsia="宋体" w:cs="宋体"/>
          <w:spacing w:val="6"/>
          <w:sz w:val="20"/>
          <w:szCs w:val="20"/>
          <w:lang w:val="en-US" w:eastAsia="zh-CN"/>
        </w:rPr>
        <w:t>表示水传导电流能力的物理量，间接反映水中溶解性盐类的含量，单位为微西门子/厘米（</w:t>
      </w:r>
      <w:r>
        <w:rPr>
          <w:rFonts w:hint="default" w:ascii="Times New Roman" w:hAnsi="Times New Roman" w:eastAsia="Times New Roman" w:cs="Times New Roman"/>
          <w:b w:val="0"/>
          <w:bCs w:val="0"/>
          <w:snapToGrid w:val="0"/>
          <w:color w:val="000000"/>
          <w:kern w:val="0"/>
          <w:sz w:val="20"/>
          <w:szCs w:val="20"/>
          <w:lang w:val="en-US" w:eastAsia="zh-CN" w:bidi="ar-SA"/>
        </w:rPr>
        <w:t>μs/cm</w:t>
      </w:r>
      <w:r>
        <w:rPr>
          <w:rFonts w:hint="eastAsia" w:ascii="宋体" w:hAnsi="宋体" w:eastAsia="宋体" w:cs="宋体"/>
          <w:spacing w:val="6"/>
          <w:sz w:val="20"/>
          <w:szCs w:val="20"/>
          <w:lang w:val="en-US" w:eastAsia="zh-CN"/>
        </w:rPr>
        <w:t>），是判断再生水水质纯度的关键指标之一。</w:t>
      </w:r>
    </w:p>
    <w:p>
      <w:pPr>
        <w:spacing w:line="227" w:lineRule="auto"/>
        <w:ind w:left="2"/>
        <w:rPr>
          <w:rFonts w:ascii="Times New Roman" w:hAnsi="Times New Roman" w:eastAsia="Times New Roman" w:cs="Times New Roman"/>
          <w:sz w:val="20"/>
          <w:szCs w:val="20"/>
        </w:rPr>
      </w:pPr>
      <w:r>
        <w:rPr>
          <w:rFonts w:ascii="宋体" w:hAnsi="宋体" w:eastAsia="宋体" w:cs="宋体"/>
          <w:b/>
          <w:bCs/>
          <w:spacing w:val="7"/>
          <w:sz w:val="20"/>
          <w:szCs w:val="20"/>
        </w:rPr>
        <w:t>2.0.</w:t>
      </w:r>
      <w:r>
        <w:rPr>
          <w:rFonts w:hint="eastAsia" w:ascii="宋体" w:hAnsi="宋体" w:eastAsia="宋体" w:cs="宋体"/>
          <w:b/>
          <w:bCs/>
          <w:spacing w:val="7"/>
          <w:sz w:val="20"/>
          <w:szCs w:val="20"/>
          <w:lang w:val="en-US" w:eastAsia="zh-CN"/>
        </w:rPr>
        <w:t>8</w:t>
      </w:r>
      <w:r>
        <w:rPr>
          <w:rFonts w:ascii="宋体" w:hAnsi="宋体" w:eastAsia="宋体" w:cs="宋体"/>
          <w:spacing w:val="7"/>
          <w:sz w:val="20"/>
          <w:szCs w:val="20"/>
        </w:rPr>
        <w:t xml:space="preserve"> </w:t>
      </w:r>
      <w:r>
        <w:rPr>
          <w:rFonts w:hint="eastAsia" w:ascii="宋体" w:hAnsi="宋体" w:eastAsia="宋体" w:cs="宋体"/>
          <w:spacing w:val="7"/>
          <w:sz w:val="20"/>
          <w:szCs w:val="20"/>
          <w:lang w:val="en-US" w:eastAsia="zh-CN"/>
        </w:rPr>
        <w:t>阻垢剂</w:t>
      </w:r>
      <w:r>
        <w:rPr>
          <w:rFonts w:ascii="宋体" w:hAnsi="宋体" w:eastAsia="宋体" w:cs="宋体"/>
          <w:spacing w:val="7"/>
          <w:sz w:val="20"/>
          <w:szCs w:val="20"/>
        </w:rPr>
        <w:t xml:space="preserve">  </w:t>
      </w:r>
      <w:r>
        <w:rPr>
          <w:rFonts w:hint="default" w:ascii="Times New Roman" w:hAnsi="Times New Roman" w:eastAsia="Times New Roman" w:cs="Times New Roman"/>
          <w:b w:val="0"/>
          <w:bCs w:val="0"/>
          <w:snapToGrid w:val="0"/>
          <w:color w:val="000000"/>
          <w:kern w:val="0"/>
          <w:sz w:val="20"/>
          <w:szCs w:val="20"/>
          <w:lang w:val="en-US" w:eastAsia="en-US" w:bidi="ar-SA"/>
        </w:rPr>
        <w:t>scale inhibitor</w:t>
      </w:r>
    </w:p>
    <w:p>
      <w:pPr>
        <w:spacing w:before="228" w:line="432" w:lineRule="auto"/>
        <w:ind w:firstLine="418"/>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用于防止水中无机盐（如碳酸钙、硫酸钙等）在膜组件、管道内壁形成水垢的化学药剂，通过抑制晶体生长、分散颗粒等作用，保障工艺系统稳定运行。</w:t>
      </w:r>
    </w:p>
    <w:p>
      <w:pPr>
        <w:spacing w:before="115" w:line="228" w:lineRule="auto"/>
        <w:ind w:left="2"/>
        <w:rPr>
          <w:rFonts w:ascii="Times New Roman" w:hAnsi="Times New Roman" w:eastAsia="Times New Roman" w:cs="Times New Roman"/>
          <w:sz w:val="20"/>
          <w:szCs w:val="20"/>
        </w:rPr>
      </w:pPr>
      <w:bookmarkStart w:id="25" w:name="bookmark32"/>
      <w:bookmarkEnd w:id="25"/>
      <w:r>
        <w:rPr>
          <w:rFonts w:ascii="宋体" w:hAnsi="宋体" w:eastAsia="宋体" w:cs="宋体"/>
          <w:b/>
          <w:bCs/>
          <w:spacing w:val="10"/>
          <w:sz w:val="20"/>
          <w:szCs w:val="20"/>
        </w:rPr>
        <w:t>2.0.</w:t>
      </w:r>
      <w:r>
        <w:rPr>
          <w:rFonts w:hint="eastAsia" w:ascii="宋体" w:hAnsi="宋体" w:eastAsia="宋体" w:cs="宋体"/>
          <w:b/>
          <w:bCs/>
          <w:spacing w:val="10"/>
          <w:sz w:val="20"/>
          <w:szCs w:val="20"/>
          <w:lang w:val="en-US" w:eastAsia="zh-CN"/>
        </w:rPr>
        <w:t>9</w:t>
      </w:r>
      <w:r>
        <w:rPr>
          <w:rFonts w:ascii="宋体" w:hAnsi="宋体" w:eastAsia="宋体" w:cs="宋体"/>
          <w:spacing w:val="10"/>
          <w:sz w:val="20"/>
          <w:szCs w:val="20"/>
        </w:rPr>
        <w:t xml:space="preserve"> </w:t>
      </w:r>
      <w:r>
        <w:rPr>
          <w:rFonts w:hint="eastAsia" w:ascii="Times New Roman" w:hAnsi="Times New Roman" w:eastAsia="Times New Roman" w:cs="Times New Roman"/>
          <w:snapToGrid w:val="0"/>
          <w:color w:val="000000"/>
          <w:kern w:val="0"/>
          <w:sz w:val="20"/>
          <w:szCs w:val="20"/>
          <w:lang w:val="en-US" w:eastAsia="zh-CN"/>
        </w:rPr>
        <w:t>3PE</w:t>
      </w:r>
      <w:r>
        <w:rPr>
          <w:rFonts w:hint="eastAsia" w:ascii="宋体" w:hAnsi="宋体" w:eastAsia="宋体" w:cs="宋体"/>
          <w:spacing w:val="10"/>
          <w:sz w:val="20"/>
          <w:szCs w:val="20"/>
          <w:lang w:val="en-US" w:eastAsia="zh-CN"/>
        </w:rPr>
        <w:t>防腐层</w:t>
      </w:r>
      <w:r>
        <w:rPr>
          <w:rFonts w:ascii="宋体" w:hAnsi="宋体" w:eastAsia="宋体" w:cs="宋体"/>
          <w:spacing w:val="10"/>
          <w:sz w:val="20"/>
          <w:szCs w:val="20"/>
        </w:rPr>
        <w:t xml:space="preserve">  </w:t>
      </w:r>
      <w:r>
        <w:rPr>
          <w:rFonts w:ascii="Times New Roman" w:hAnsi="Times New Roman" w:eastAsia="Times New Roman" w:cs="Times New Roman"/>
          <w:snapToGrid w:val="0"/>
          <w:color w:val="000000"/>
          <w:kern w:val="0"/>
          <w:sz w:val="20"/>
          <w:szCs w:val="20"/>
          <w:lang w:val="en-US" w:eastAsia="zh-CN"/>
        </w:rPr>
        <w:t>3PE anti-corrosion layer</w:t>
      </w:r>
    </w:p>
    <w:p>
      <w:pPr>
        <w:spacing w:before="228" w:line="432" w:lineRule="auto"/>
        <w:ind w:firstLine="418"/>
        <w:rPr>
          <w:rFonts w:ascii="宋体" w:hAnsi="宋体" w:eastAsia="宋体" w:cs="宋体"/>
          <w:sz w:val="20"/>
          <w:szCs w:val="20"/>
        </w:rPr>
      </w:pPr>
      <w:r>
        <w:rPr>
          <w:rFonts w:hint="eastAsia" w:ascii="宋体" w:hAnsi="宋体" w:eastAsia="宋体" w:cs="宋体"/>
          <w:spacing w:val="6"/>
          <w:sz w:val="20"/>
          <w:szCs w:val="20"/>
          <w:lang w:val="en-US" w:eastAsia="zh-CN"/>
        </w:rPr>
        <w:t>由环氧粉末（</w:t>
      </w:r>
      <w:r>
        <w:rPr>
          <w:rFonts w:hint="eastAsia" w:ascii="Times New Roman" w:hAnsi="Times New Roman" w:eastAsia="Times New Roman" w:cs="Times New Roman"/>
          <w:snapToGrid w:val="0"/>
          <w:color w:val="000000"/>
          <w:kern w:val="0"/>
          <w:sz w:val="20"/>
          <w:szCs w:val="20"/>
          <w:lang w:val="en-US" w:eastAsia="zh-CN"/>
        </w:rPr>
        <w:t>FBE</w:t>
      </w:r>
      <w:r>
        <w:rPr>
          <w:rFonts w:hint="eastAsia" w:ascii="宋体" w:hAnsi="宋体" w:eastAsia="宋体" w:cs="宋体"/>
          <w:spacing w:val="6"/>
          <w:sz w:val="20"/>
          <w:szCs w:val="20"/>
          <w:lang w:val="en-US" w:eastAsia="zh-CN"/>
        </w:rPr>
        <w:t>）、胶粘剂、聚乙烯（</w:t>
      </w:r>
      <w:r>
        <w:rPr>
          <w:rFonts w:hint="eastAsia" w:ascii="Times New Roman" w:hAnsi="Times New Roman" w:eastAsia="Times New Roman" w:cs="Times New Roman"/>
          <w:snapToGrid w:val="0"/>
          <w:color w:val="000000"/>
          <w:kern w:val="0"/>
          <w:sz w:val="20"/>
          <w:szCs w:val="20"/>
          <w:lang w:val="en-US" w:eastAsia="zh-CN"/>
        </w:rPr>
        <w:t>PE</w:t>
      </w:r>
      <w:r>
        <w:rPr>
          <w:rFonts w:hint="eastAsia" w:ascii="宋体" w:hAnsi="宋体" w:eastAsia="宋体" w:cs="宋体"/>
          <w:spacing w:val="6"/>
          <w:sz w:val="20"/>
          <w:szCs w:val="20"/>
          <w:lang w:val="en-US" w:eastAsia="zh-CN"/>
        </w:rPr>
        <w:t>）三层材料组成的复合防腐涂层，常用于埋地金属管道外壁防腐，可显著提升管道在土壤中的耐腐蚀性能，延长使用寿命。</w:t>
      </w:r>
    </w:p>
    <w:p>
      <w:pPr>
        <w:spacing w:before="221" w:line="228" w:lineRule="auto"/>
        <w:ind w:left="2"/>
        <w:rPr>
          <w:rFonts w:ascii="Times New Roman" w:hAnsi="Times New Roman" w:eastAsia="Times New Roman" w:cs="Times New Roman"/>
          <w:sz w:val="20"/>
          <w:szCs w:val="20"/>
        </w:rPr>
      </w:pPr>
      <w:r>
        <w:rPr>
          <w:rFonts w:ascii="宋体" w:hAnsi="宋体" w:eastAsia="宋体" w:cs="宋体"/>
          <w:b/>
          <w:bCs/>
          <w:spacing w:val="7"/>
          <w:sz w:val="20"/>
          <w:szCs w:val="20"/>
        </w:rPr>
        <w:t>2.0.</w:t>
      </w:r>
      <w:r>
        <w:rPr>
          <w:rFonts w:hint="eastAsia" w:ascii="宋体" w:hAnsi="宋体" w:eastAsia="宋体" w:cs="宋体"/>
          <w:b/>
          <w:bCs/>
          <w:spacing w:val="7"/>
          <w:sz w:val="20"/>
          <w:szCs w:val="20"/>
          <w:lang w:val="en-US" w:eastAsia="zh-CN"/>
        </w:rPr>
        <w:t>10</w:t>
      </w:r>
      <w:r>
        <w:rPr>
          <w:rFonts w:ascii="宋体" w:hAnsi="宋体" w:eastAsia="宋体" w:cs="宋体"/>
          <w:spacing w:val="7"/>
          <w:sz w:val="20"/>
          <w:szCs w:val="20"/>
        </w:rPr>
        <w:t xml:space="preserve"> </w:t>
      </w:r>
      <w:r>
        <w:rPr>
          <w:rFonts w:hint="eastAsia" w:ascii="宋体" w:hAnsi="宋体" w:eastAsia="宋体" w:cs="宋体"/>
          <w:spacing w:val="7"/>
          <w:sz w:val="20"/>
          <w:szCs w:val="20"/>
          <w:lang w:val="en-US" w:eastAsia="zh-CN"/>
        </w:rPr>
        <w:t>水力计算</w:t>
      </w:r>
      <w:r>
        <w:rPr>
          <w:rFonts w:ascii="宋体" w:hAnsi="宋体" w:eastAsia="宋体" w:cs="宋体"/>
          <w:spacing w:val="7"/>
          <w:sz w:val="20"/>
          <w:szCs w:val="20"/>
        </w:rPr>
        <w:t xml:space="preserve">  </w:t>
      </w:r>
      <w:r>
        <w:rPr>
          <w:rFonts w:ascii="Times New Roman" w:hAnsi="Times New Roman" w:eastAsia="Times New Roman" w:cs="Times New Roman"/>
          <w:snapToGrid w:val="0"/>
          <w:color w:val="000000"/>
          <w:kern w:val="0"/>
          <w:sz w:val="20"/>
          <w:szCs w:val="20"/>
          <w:lang w:val="en-US" w:eastAsia="zh-CN"/>
        </w:rPr>
        <w:t>hydraulic calculation</w:t>
      </w:r>
    </w:p>
    <w:p>
      <w:pPr>
        <w:spacing w:before="228" w:line="432" w:lineRule="auto"/>
        <w:ind w:firstLine="418"/>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在再生水运输管道设计中，根据设计流量、管道材质、敷设条件等参数，运用流体力学原理计算管道管径、流速、压力损失等关键指标的过程。</w:t>
      </w:r>
    </w:p>
    <w:p>
      <w:pPr>
        <w:spacing w:before="221" w:line="434" w:lineRule="auto"/>
        <w:rPr>
          <w:rFonts w:ascii="Times New Roman" w:hAnsi="Times New Roman" w:eastAsia="Times New Roman" w:cs="Times New Roman"/>
          <w:snapToGrid w:val="0"/>
          <w:color w:val="000000"/>
          <w:kern w:val="0"/>
          <w:sz w:val="20"/>
          <w:szCs w:val="20"/>
          <w:lang w:val="en-US" w:eastAsia="zh-CN"/>
        </w:rPr>
      </w:pPr>
      <w:r>
        <w:rPr>
          <w:rFonts w:ascii="宋体" w:hAnsi="宋体" w:eastAsia="宋体" w:cs="宋体"/>
          <w:b/>
          <w:bCs/>
          <w:spacing w:val="7"/>
          <w:sz w:val="20"/>
          <w:szCs w:val="20"/>
        </w:rPr>
        <w:t>2.0.</w:t>
      </w:r>
      <w:r>
        <w:rPr>
          <w:rFonts w:hint="eastAsia" w:ascii="宋体" w:hAnsi="宋体" w:eastAsia="宋体" w:cs="宋体"/>
          <w:b/>
          <w:bCs/>
          <w:spacing w:val="7"/>
          <w:sz w:val="20"/>
          <w:szCs w:val="20"/>
          <w:lang w:val="en-US" w:eastAsia="zh-CN"/>
        </w:rPr>
        <w:t>11</w:t>
      </w:r>
      <w:r>
        <w:rPr>
          <w:rFonts w:ascii="宋体" w:hAnsi="宋体" w:eastAsia="宋体" w:cs="宋体"/>
          <w:spacing w:val="7"/>
          <w:sz w:val="20"/>
          <w:szCs w:val="20"/>
        </w:rPr>
        <w:t xml:space="preserve"> </w:t>
      </w:r>
      <w:r>
        <w:rPr>
          <w:rFonts w:hint="eastAsia" w:ascii="Times New Roman" w:hAnsi="Times New Roman" w:eastAsia="Times New Roman" w:cs="Times New Roman"/>
          <w:snapToGrid w:val="0"/>
          <w:color w:val="000000"/>
          <w:kern w:val="0"/>
          <w:sz w:val="20"/>
          <w:szCs w:val="20"/>
          <w:lang w:val="en-US" w:eastAsia="zh-CN"/>
        </w:rPr>
        <w:t>PLC</w:t>
      </w:r>
      <w:r>
        <w:rPr>
          <w:rFonts w:hint="eastAsia" w:ascii="宋体" w:hAnsi="宋体" w:eastAsia="宋体" w:cs="宋体"/>
          <w:spacing w:val="7"/>
          <w:sz w:val="20"/>
          <w:szCs w:val="20"/>
          <w:lang w:val="en-US" w:eastAsia="zh-CN"/>
        </w:rPr>
        <w:t>自动控制系统</w:t>
      </w:r>
      <w:r>
        <w:rPr>
          <w:rFonts w:ascii="宋体" w:hAnsi="宋体" w:eastAsia="宋体" w:cs="宋体"/>
          <w:spacing w:val="7"/>
          <w:sz w:val="20"/>
          <w:szCs w:val="20"/>
        </w:rPr>
        <w:t xml:space="preserve">  </w:t>
      </w:r>
      <w:r>
        <w:rPr>
          <w:rFonts w:ascii="Times New Roman" w:hAnsi="Times New Roman" w:eastAsia="Times New Roman" w:cs="Times New Roman"/>
          <w:snapToGrid w:val="0"/>
          <w:color w:val="000000"/>
          <w:kern w:val="0"/>
          <w:sz w:val="20"/>
          <w:szCs w:val="20"/>
          <w:lang w:val="en-US" w:eastAsia="zh-CN"/>
        </w:rPr>
        <w:t>PLC automatic control system</w:t>
      </w:r>
    </w:p>
    <w:p>
      <w:pPr>
        <w:spacing w:before="228" w:line="432" w:lineRule="auto"/>
        <w:ind w:firstLine="418"/>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可编程逻辑控制器组成的工业自动化控制系统，在再生水厂中用于实现工艺参数实时监测、设备自动启停与调节、故障报警等功能。</w:t>
      </w:r>
    </w:p>
    <w:p>
      <w:pPr>
        <w:spacing w:before="221" w:line="434" w:lineRule="auto"/>
        <w:rPr>
          <w:rFonts w:ascii="Times New Roman" w:hAnsi="Times New Roman" w:eastAsia="Times New Roman" w:cs="Times New Roman"/>
          <w:snapToGrid w:val="0"/>
          <w:color w:val="000000"/>
          <w:kern w:val="0"/>
          <w:sz w:val="20"/>
          <w:szCs w:val="20"/>
          <w:lang w:val="en-US" w:eastAsia="zh-CN"/>
        </w:rPr>
      </w:pPr>
      <w:r>
        <w:rPr>
          <w:rFonts w:ascii="宋体" w:hAnsi="宋体" w:eastAsia="宋体" w:cs="宋体"/>
          <w:b/>
          <w:bCs/>
          <w:spacing w:val="7"/>
          <w:sz w:val="20"/>
          <w:szCs w:val="20"/>
        </w:rPr>
        <w:t>2.0.</w:t>
      </w:r>
      <w:r>
        <w:rPr>
          <w:rFonts w:hint="eastAsia" w:ascii="宋体" w:hAnsi="宋体" w:eastAsia="宋体" w:cs="宋体"/>
          <w:b/>
          <w:bCs/>
          <w:spacing w:val="7"/>
          <w:sz w:val="20"/>
          <w:szCs w:val="20"/>
          <w:lang w:val="en-US" w:eastAsia="zh-CN"/>
        </w:rPr>
        <w:t>12</w:t>
      </w:r>
      <w:r>
        <w:rPr>
          <w:rFonts w:ascii="宋体" w:hAnsi="宋体" w:eastAsia="宋体" w:cs="宋体"/>
          <w:spacing w:val="7"/>
          <w:sz w:val="20"/>
          <w:szCs w:val="20"/>
        </w:rPr>
        <w:t xml:space="preserve"> </w:t>
      </w:r>
      <w:r>
        <w:rPr>
          <w:rFonts w:hint="eastAsia" w:ascii="宋体" w:hAnsi="宋体" w:eastAsia="宋体" w:cs="宋体"/>
          <w:spacing w:val="7"/>
          <w:sz w:val="20"/>
          <w:szCs w:val="20"/>
          <w:lang w:val="en-US" w:eastAsia="zh-CN"/>
        </w:rPr>
        <w:t>阴极保护</w:t>
      </w:r>
      <w:r>
        <w:rPr>
          <w:rFonts w:ascii="宋体" w:hAnsi="宋体" w:eastAsia="宋体" w:cs="宋体"/>
          <w:spacing w:val="7"/>
          <w:sz w:val="20"/>
          <w:szCs w:val="20"/>
        </w:rPr>
        <w:t xml:space="preserve">  </w:t>
      </w:r>
      <w:r>
        <w:rPr>
          <w:rFonts w:ascii="Times New Roman" w:hAnsi="Times New Roman" w:eastAsia="Times New Roman" w:cs="Times New Roman"/>
          <w:snapToGrid w:val="0"/>
          <w:color w:val="000000"/>
          <w:kern w:val="0"/>
          <w:sz w:val="20"/>
          <w:szCs w:val="20"/>
          <w:lang w:val="en-US" w:eastAsia="zh-CN"/>
        </w:rPr>
        <w:t>cathodic protection</w:t>
      </w:r>
    </w:p>
    <w:p>
      <w:pPr>
        <w:spacing w:before="228" w:line="432" w:lineRule="auto"/>
        <w:ind w:firstLine="418"/>
        <w:rPr>
          <w:rFonts w:ascii="Times New Roman" w:hAnsi="Times New Roman" w:eastAsia="Times New Roman" w:cs="Times New Roman"/>
          <w:snapToGrid w:val="0"/>
          <w:color w:val="000000"/>
          <w:kern w:val="0"/>
          <w:sz w:val="20"/>
          <w:szCs w:val="20"/>
          <w:lang w:val="en-US" w:eastAsia="zh-CN"/>
        </w:rPr>
      </w:pPr>
      <w:r>
        <w:rPr>
          <w:rFonts w:hint="eastAsia" w:ascii="宋体" w:hAnsi="宋体" w:eastAsia="宋体" w:cs="宋体"/>
          <w:spacing w:val="6"/>
          <w:sz w:val="20"/>
          <w:szCs w:val="20"/>
          <w:lang w:val="en-US" w:eastAsia="zh-CN"/>
        </w:rPr>
        <w:t>防止金属管道、设备电化学腐蚀的防护技术，常与</w:t>
      </w:r>
      <w:r>
        <w:rPr>
          <w:rFonts w:hint="eastAsia" w:ascii="Times New Roman" w:hAnsi="Times New Roman" w:eastAsia="Times New Roman" w:cs="Times New Roman"/>
          <w:snapToGrid w:val="0"/>
          <w:color w:val="000000"/>
          <w:kern w:val="0"/>
          <w:sz w:val="20"/>
          <w:szCs w:val="20"/>
          <w:lang w:val="en-US" w:eastAsia="zh-CN"/>
        </w:rPr>
        <w:t>3PE</w:t>
      </w:r>
      <w:r>
        <w:rPr>
          <w:rFonts w:hint="eastAsia" w:ascii="宋体" w:hAnsi="宋体" w:eastAsia="宋体" w:cs="宋体"/>
          <w:spacing w:val="6"/>
          <w:sz w:val="20"/>
          <w:szCs w:val="20"/>
          <w:lang w:val="en-US" w:eastAsia="zh-CN"/>
        </w:rPr>
        <w:t>防腐层配合使用，进一步提升埋地钢管的防腐效果。</w:t>
      </w:r>
    </w:p>
    <w:p>
      <w:pPr>
        <w:spacing w:before="221" w:line="434" w:lineRule="auto"/>
        <w:rPr>
          <w:rFonts w:ascii="Times New Roman" w:hAnsi="Times New Roman" w:eastAsia="Times New Roman" w:cs="Times New Roman"/>
          <w:snapToGrid w:val="0"/>
          <w:color w:val="000000"/>
          <w:kern w:val="0"/>
          <w:sz w:val="20"/>
          <w:szCs w:val="20"/>
          <w:lang w:val="en-US" w:eastAsia="zh-CN"/>
        </w:rPr>
      </w:pPr>
      <w:r>
        <w:rPr>
          <w:rFonts w:ascii="宋体" w:hAnsi="宋体" w:eastAsia="宋体" w:cs="宋体"/>
          <w:b/>
          <w:bCs/>
          <w:spacing w:val="7"/>
          <w:sz w:val="20"/>
          <w:szCs w:val="20"/>
        </w:rPr>
        <w:t>2.0.</w:t>
      </w:r>
      <w:r>
        <w:rPr>
          <w:rFonts w:hint="eastAsia" w:ascii="宋体" w:hAnsi="宋体" w:eastAsia="宋体" w:cs="宋体"/>
          <w:b/>
          <w:bCs/>
          <w:spacing w:val="7"/>
          <w:sz w:val="20"/>
          <w:szCs w:val="20"/>
          <w:lang w:val="en-US" w:eastAsia="zh-CN"/>
        </w:rPr>
        <w:t>13</w:t>
      </w:r>
      <w:r>
        <w:rPr>
          <w:rFonts w:ascii="宋体" w:hAnsi="宋体" w:eastAsia="宋体" w:cs="宋体"/>
          <w:spacing w:val="7"/>
          <w:sz w:val="20"/>
          <w:szCs w:val="20"/>
        </w:rPr>
        <w:t xml:space="preserve"> </w:t>
      </w:r>
      <w:r>
        <w:rPr>
          <w:rFonts w:hint="eastAsia" w:ascii="宋体" w:hAnsi="宋体" w:eastAsia="宋体" w:cs="宋体"/>
          <w:spacing w:val="7"/>
          <w:sz w:val="20"/>
          <w:szCs w:val="20"/>
          <w:lang w:val="en-US" w:eastAsia="zh-CN"/>
        </w:rPr>
        <w:t>化学清洗（膜系统）</w:t>
      </w:r>
      <w:r>
        <w:rPr>
          <w:rFonts w:ascii="宋体" w:hAnsi="宋体" w:eastAsia="宋体" w:cs="宋体"/>
          <w:spacing w:val="7"/>
          <w:sz w:val="20"/>
          <w:szCs w:val="20"/>
        </w:rPr>
        <w:t xml:space="preserve">  </w:t>
      </w:r>
      <w:r>
        <w:rPr>
          <w:rFonts w:ascii="Times New Roman" w:hAnsi="Times New Roman" w:eastAsia="Times New Roman" w:cs="Times New Roman"/>
          <w:snapToGrid w:val="0"/>
          <w:color w:val="000000"/>
          <w:kern w:val="0"/>
          <w:sz w:val="20"/>
          <w:szCs w:val="20"/>
          <w:lang w:val="en-US" w:eastAsia="zh-CN"/>
        </w:rPr>
        <w:t>chemical cleaning (membrane system)</w:t>
      </w:r>
    </w:p>
    <w:p>
      <w:pPr>
        <w:spacing w:before="228" w:line="432" w:lineRule="auto"/>
        <w:ind w:firstLine="418"/>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当超滤或反渗透膜组件因污染物附着导致通量下降、跨膜压差升高或透盐率增加时，采用特定化学药剂对膜组件进行清洗的过程，分为维护性清洗和恢复性清洗。</w:t>
      </w:r>
    </w:p>
    <w:p>
      <w:pPr>
        <w:spacing w:before="221" w:line="434" w:lineRule="auto"/>
        <w:rPr>
          <w:rFonts w:ascii="Times New Roman" w:hAnsi="Times New Roman" w:eastAsia="Times New Roman" w:cs="Times New Roman"/>
          <w:snapToGrid w:val="0"/>
          <w:color w:val="000000"/>
          <w:kern w:val="0"/>
          <w:sz w:val="20"/>
          <w:szCs w:val="20"/>
          <w:lang w:val="en-US" w:eastAsia="zh-CN"/>
        </w:rPr>
      </w:pPr>
      <w:r>
        <w:rPr>
          <w:rFonts w:ascii="宋体" w:hAnsi="宋体" w:eastAsia="宋体" w:cs="宋体"/>
          <w:b/>
          <w:bCs/>
          <w:spacing w:val="7"/>
          <w:sz w:val="20"/>
          <w:szCs w:val="20"/>
        </w:rPr>
        <w:t>2.0.</w:t>
      </w:r>
      <w:r>
        <w:rPr>
          <w:rFonts w:hint="eastAsia" w:ascii="宋体" w:hAnsi="宋体" w:eastAsia="宋体" w:cs="宋体"/>
          <w:b/>
          <w:bCs/>
          <w:spacing w:val="7"/>
          <w:sz w:val="20"/>
          <w:szCs w:val="20"/>
          <w:lang w:val="en-US" w:eastAsia="zh-CN"/>
        </w:rPr>
        <w:t>14</w:t>
      </w:r>
      <w:r>
        <w:rPr>
          <w:rFonts w:ascii="宋体" w:hAnsi="宋体" w:eastAsia="宋体" w:cs="宋体"/>
          <w:spacing w:val="7"/>
          <w:sz w:val="20"/>
          <w:szCs w:val="20"/>
        </w:rPr>
        <w:t xml:space="preserve"> </w:t>
      </w:r>
      <w:r>
        <w:rPr>
          <w:rFonts w:hint="eastAsia" w:ascii="宋体" w:hAnsi="宋体" w:eastAsia="宋体" w:cs="宋体"/>
          <w:spacing w:val="7"/>
          <w:sz w:val="20"/>
          <w:szCs w:val="20"/>
          <w:lang w:val="en-US" w:eastAsia="zh-CN"/>
        </w:rPr>
        <w:t>变频控制</w:t>
      </w:r>
      <w:r>
        <w:rPr>
          <w:rFonts w:ascii="宋体" w:hAnsi="宋体" w:eastAsia="宋体" w:cs="宋体"/>
          <w:spacing w:val="7"/>
          <w:sz w:val="20"/>
          <w:szCs w:val="20"/>
        </w:rPr>
        <w:t xml:space="preserve">  </w:t>
      </w:r>
      <w:r>
        <w:rPr>
          <w:rFonts w:ascii="Times New Roman" w:hAnsi="Times New Roman" w:eastAsia="Times New Roman" w:cs="Times New Roman"/>
          <w:snapToGrid w:val="0"/>
          <w:color w:val="000000"/>
          <w:kern w:val="0"/>
          <w:sz w:val="20"/>
          <w:szCs w:val="20"/>
          <w:lang w:val="en-US" w:eastAsia="zh-CN"/>
        </w:rPr>
        <w:t>frequency conversion control</w:t>
      </w:r>
    </w:p>
    <w:p>
      <w:pPr>
        <w:spacing w:before="228" w:line="432" w:lineRule="auto"/>
        <w:ind w:firstLine="418"/>
        <w:rPr>
          <w:rFonts w:ascii="Times New Roman" w:hAnsi="Times New Roman" w:eastAsia="Times New Roman" w:cs="Times New Roman"/>
          <w:snapToGrid w:val="0"/>
          <w:color w:val="000000"/>
          <w:kern w:val="0"/>
          <w:sz w:val="20"/>
          <w:szCs w:val="20"/>
          <w:lang w:val="en-US" w:eastAsia="zh-CN"/>
        </w:rPr>
      </w:pPr>
      <w:r>
        <w:rPr>
          <w:rFonts w:hint="eastAsia" w:ascii="宋体" w:hAnsi="宋体" w:eastAsia="宋体" w:cs="宋体"/>
          <w:spacing w:val="6"/>
          <w:sz w:val="20"/>
          <w:szCs w:val="20"/>
          <w:lang w:val="en-US" w:eastAsia="zh-CN"/>
        </w:rPr>
        <w:t>通过改变电机供电频率来调节电机转速的控制技术，可实现设备根据工艺负荷变化实时调整运行状态，达到节能和延长设备使用寿命的目的。</w:t>
      </w:r>
    </w:p>
    <w:p>
      <w:pPr>
        <w:spacing w:before="221" w:line="434" w:lineRule="auto"/>
        <w:rPr>
          <w:rFonts w:ascii="Times New Roman" w:hAnsi="Times New Roman" w:eastAsia="Times New Roman" w:cs="Times New Roman"/>
          <w:snapToGrid w:val="0"/>
          <w:color w:val="000000"/>
          <w:kern w:val="0"/>
          <w:sz w:val="20"/>
          <w:szCs w:val="20"/>
          <w:lang w:val="en-US" w:eastAsia="zh-CN"/>
        </w:rPr>
      </w:pPr>
      <w:r>
        <w:rPr>
          <w:rFonts w:ascii="宋体" w:hAnsi="宋体" w:eastAsia="宋体" w:cs="宋体"/>
          <w:b/>
          <w:bCs/>
          <w:spacing w:val="7"/>
          <w:sz w:val="20"/>
          <w:szCs w:val="20"/>
        </w:rPr>
        <w:t>2.0.</w:t>
      </w:r>
      <w:r>
        <w:rPr>
          <w:rFonts w:hint="eastAsia" w:ascii="宋体" w:hAnsi="宋体" w:eastAsia="宋体" w:cs="宋体"/>
          <w:b/>
          <w:bCs/>
          <w:spacing w:val="7"/>
          <w:sz w:val="20"/>
          <w:szCs w:val="20"/>
          <w:lang w:val="en-US" w:eastAsia="zh-CN"/>
        </w:rPr>
        <w:t>15</w:t>
      </w:r>
      <w:r>
        <w:rPr>
          <w:rFonts w:ascii="宋体" w:hAnsi="宋体" w:eastAsia="宋体" w:cs="宋体"/>
          <w:spacing w:val="7"/>
          <w:sz w:val="20"/>
          <w:szCs w:val="20"/>
        </w:rPr>
        <w:t xml:space="preserve"> </w:t>
      </w:r>
      <w:r>
        <w:rPr>
          <w:rFonts w:hint="eastAsia" w:ascii="宋体" w:hAnsi="宋体" w:eastAsia="宋体" w:cs="宋体"/>
          <w:spacing w:val="7"/>
          <w:sz w:val="20"/>
          <w:szCs w:val="20"/>
          <w:lang w:val="en-US" w:eastAsia="zh-CN"/>
        </w:rPr>
        <w:t>闭水试验</w:t>
      </w:r>
      <w:r>
        <w:rPr>
          <w:rFonts w:ascii="宋体" w:hAnsi="宋体" w:eastAsia="宋体" w:cs="宋体"/>
          <w:spacing w:val="7"/>
          <w:sz w:val="20"/>
          <w:szCs w:val="20"/>
        </w:rPr>
        <w:t xml:space="preserve">  </w:t>
      </w:r>
      <w:r>
        <w:rPr>
          <w:rFonts w:ascii="Times New Roman" w:hAnsi="Times New Roman" w:eastAsia="Times New Roman" w:cs="Times New Roman"/>
          <w:snapToGrid w:val="0"/>
          <w:color w:val="000000"/>
          <w:kern w:val="0"/>
          <w:sz w:val="20"/>
          <w:szCs w:val="20"/>
          <w:lang w:val="en-US" w:eastAsia="zh-CN"/>
        </w:rPr>
        <w:t>water tightness test</w:t>
      </w:r>
    </w:p>
    <w:p>
      <w:pPr>
        <w:spacing w:before="228" w:line="432" w:lineRule="auto"/>
        <w:ind w:firstLine="418"/>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检验无压管道严密性的试验方法，通过向管道内充水并保持一定时间，观察是否存在渗漏现象并测量渗漏量。</w:t>
      </w:r>
    </w:p>
    <w:p>
      <w:pPr>
        <w:spacing w:before="221" w:line="434" w:lineRule="auto"/>
        <w:rPr>
          <w:rFonts w:ascii="Times New Roman" w:hAnsi="Times New Roman" w:eastAsia="Times New Roman" w:cs="Times New Roman"/>
          <w:snapToGrid w:val="0"/>
          <w:color w:val="000000"/>
          <w:kern w:val="0"/>
          <w:sz w:val="20"/>
          <w:szCs w:val="20"/>
          <w:lang w:val="en-US" w:eastAsia="zh-CN"/>
        </w:rPr>
      </w:pPr>
      <w:r>
        <w:rPr>
          <w:rFonts w:ascii="宋体" w:hAnsi="宋体" w:eastAsia="宋体" w:cs="宋体"/>
          <w:b/>
          <w:bCs/>
          <w:spacing w:val="7"/>
          <w:sz w:val="20"/>
          <w:szCs w:val="20"/>
        </w:rPr>
        <w:t>2.0.</w:t>
      </w:r>
      <w:r>
        <w:rPr>
          <w:rFonts w:hint="eastAsia" w:ascii="宋体" w:hAnsi="宋体" w:eastAsia="宋体" w:cs="宋体"/>
          <w:b/>
          <w:bCs/>
          <w:spacing w:val="7"/>
          <w:sz w:val="20"/>
          <w:szCs w:val="20"/>
          <w:lang w:val="en-US" w:eastAsia="zh-CN"/>
        </w:rPr>
        <w:t>16</w:t>
      </w:r>
      <w:r>
        <w:rPr>
          <w:rFonts w:ascii="宋体" w:hAnsi="宋体" w:eastAsia="宋体" w:cs="宋体"/>
          <w:spacing w:val="7"/>
          <w:sz w:val="20"/>
          <w:szCs w:val="20"/>
        </w:rPr>
        <w:t xml:space="preserve"> </w:t>
      </w:r>
      <w:r>
        <w:rPr>
          <w:rFonts w:hint="eastAsia" w:ascii="宋体" w:hAnsi="宋体" w:eastAsia="宋体" w:cs="宋体"/>
          <w:spacing w:val="7"/>
          <w:sz w:val="20"/>
          <w:szCs w:val="20"/>
          <w:lang w:val="en-US" w:eastAsia="zh-CN"/>
        </w:rPr>
        <w:t>药剂投加系统</w:t>
      </w:r>
      <w:r>
        <w:rPr>
          <w:rFonts w:ascii="宋体" w:hAnsi="宋体" w:eastAsia="宋体" w:cs="宋体"/>
          <w:spacing w:val="7"/>
          <w:sz w:val="20"/>
          <w:szCs w:val="20"/>
        </w:rPr>
        <w:t xml:space="preserve">  </w:t>
      </w:r>
      <w:r>
        <w:rPr>
          <w:rFonts w:ascii="Times New Roman" w:hAnsi="Times New Roman" w:eastAsia="Times New Roman" w:cs="Times New Roman"/>
          <w:snapToGrid w:val="0"/>
          <w:color w:val="000000"/>
          <w:kern w:val="0"/>
          <w:sz w:val="20"/>
          <w:szCs w:val="20"/>
          <w:lang w:val="en-US" w:eastAsia="zh-CN"/>
        </w:rPr>
        <w:t>chemical dosing system</w:t>
      </w:r>
    </w:p>
    <w:p>
      <w:pPr>
        <w:spacing w:before="228" w:line="432" w:lineRule="auto"/>
        <w:ind w:firstLine="418"/>
        <w:rPr>
          <w:rFonts w:ascii="Times New Roman" w:hAnsi="Times New Roman" w:eastAsia="Times New Roman" w:cs="Times New Roman"/>
          <w:snapToGrid w:val="0"/>
          <w:color w:val="000000"/>
          <w:kern w:val="0"/>
          <w:sz w:val="20"/>
          <w:szCs w:val="20"/>
          <w:lang w:val="en-US" w:eastAsia="zh-CN"/>
        </w:rPr>
      </w:pPr>
      <w:r>
        <w:rPr>
          <w:rFonts w:hint="eastAsia" w:ascii="宋体" w:hAnsi="宋体" w:eastAsia="宋体" w:cs="宋体"/>
          <w:spacing w:val="6"/>
          <w:sz w:val="20"/>
          <w:szCs w:val="20"/>
          <w:lang w:val="en-US" w:eastAsia="zh-CN"/>
        </w:rPr>
        <w:t>再生水厂中用于精准投加各类化学药剂的成套设备系统，包括药剂储罐、搅拌装置、计量泵、管路、阀门及控制系统等。</w:t>
      </w:r>
    </w:p>
    <w:p>
      <w:pPr>
        <w:spacing w:before="221" w:line="434" w:lineRule="auto"/>
        <w:ind w:firstLine="419"/>
        <w:rPr>
          <w:rFonts w:ascii="宋体" w:hAnsi="宋体" w:eastAsia="宋体" w:cs="宋体"/>
          <w:sz w:val="20"/>
          <w:szCs w:val="20"/>
        </w:rPr>
      </w:pPr>
    </w:p>
    <w:p>
      <w:pPr>
        <w:spacing w:line="434" w:lineRule="auto"/>
        <w:rPr>
          <w:rFonts w:ascii="宋体" w:hAnsi="宋体" w:eastAsia="宋体" w:cs="宋体"/>
          <w:sz w:val="20"/>
          <w:szCs w:val="20"/>
        </w:rPr>
        <w:sectPr>
          <w:footerReference r:id="rId6" w:type="default"/>
          <w:pgSz w:w="7938" w:h="11510"/>
          <w:pgMar w:top="978" w:right="965" w:bottom="894" w:left="972" w:header="0" w:footer="732" w:gutter="0"/>
          <w:pgNumType w:fmt="decimal"/>
          <w:cols w:space="720" w:num="1"/>
        </w:sectPr>
      </w:pPr>
    </w:p>
    <w:p>
      <w:pPr>
        <w:spacing w:before="156" w:line="219" w:lineRule="auto"/>
        <w:ind w:left="2298"/>
        <w:outlineLvl w:val="0"/>
        <w:rPr>
          <w:rFonts w:ascii="宋体" w:hAnsi="宋体" w:eastAsia="宋体" w:cs="宋体"/>
          <w:sz w:val="28"/>
          <w:szCs w:val="28"/>
        </w:rPr>
      </w:pPr>
      <w:bookmarkStart w:id="26" w:name="bookmark1"/>
      <w:bookmarkEnd w:id="26"/>
      <w:bookmarkStart w:id="27" w:name="_Toc22166"/>
      <w:bookmarkStart w:id="28" w:name="_Toc16646"/>
      <w:r>
        <w:rPr>
          <w:rFonts w:ascii="Times New Roman" w:hAnsi="Times New Roman" w:eastAsia="Times New Roman" w:cs="Times New Roman"/>
          <w:b/>
          <w:bCs/>
          <w:spacing w:val="-2"/>
          <w:sz w:val="28"/>
          <w:szCs w:val="28"/>
        </w:rPr>
        <w:t xml:space="preserve">3  </w:t>
      </w:r>
      <w:r>
        <w:rPr>
          <w:rFonts w:ascii="宋体" w:hAnsi="宋体" w:eastAsia="宋体" w:cs="宋体"/>
          <w:b/>
          <w:bCs/>
          <w:spacing w:val="-2"/>
          <w:sz w:val="28"/>
          <w:szCs w:val="28"/>
        </w:rPr>
        <w:t>基本规定</w:t>
      </w:r>
      <w:bookmarkEnd w:id="27"/>
      <w:bookmarkEnd w:id="28"/>
    </w:p>
    <w:p>
      <w:pPr>
        <w:widowControl/>
        <w:kinsoku w:val="0"/>
        <w:autoSpaceDE w:val="0"/>
        <w:autoSpaceDN w:val="0"/>
        <w:adjustRightInd w:val="0"/>
        <w:snapToGrid w:val="0"/>
        <w:spacing w:before="221" w:line="329" w:lineRule="auto"/>
        <w:ind w:left="1" w:firstLine="3"/>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3.0.1</w:t>
      </w:r>
      <w:r>
        <w:rPr>
          <w:rFonts w:ascii="宋体" w:hAnsi="宋体" w:eastAsia="宋体" w:cs="宋体"/>
          <w:spacing w:val="40"/>
          <w:sz w:val="20"/>
          <w:szCs w:val="20"/>
        </w:rPr>
        <w:t xml:space="preserve"> </w:t>
      </w:r>
      <w:r>
        <w:rPr>
          <w:rFonts w:ascii="宋体" w:hAnsi="宋体" w:eastAsia="宋体" w:cs="宋体"/>
          <w:snapToGrid w:val="0"/>
          <w:color w:val="000000"/>
          <w:spacing w:val="6"/>
          <w:kern w:val="0"/>
          <w:sz w:val="20"/>
          <w:szCs w:val="20"/>
          <w:lang w:val="en-US" w:eastAsia="zh-CN"/>
        </w:rPr>
        <w:t>标准的编制内容应符合工程建设相关法律法规和强制性标准的要求，技术要求不低于国家标准和行业标准，并不得与国家标准和行业标准相抵触。</w:t>
      </w:r>
    </w:p>
    <w:p>
      <w:pPr>
        <w:keepNext w:val="0"/>
        <w:keepLines w:val="0"/>
        <w:widowControl/>
        <w:suppressLineNumbers w:val="0"/>
        <w:jc w:val="left"/>
        <w:rPr>
          <w:rFonts w:hint="default" w:ascii="宋体" w:hAnsi="宋体" w:eastAsia="宋体" w:cs="宋体"/>
          <w:b/>
          <w:bCs/>
          <w:spacing w:val="6"/>
          <w:sz w:val="20"/>
          <w:szCs w:val="20"/>
          <w:lang w:val="en-US" w:eastAsia="zh-CN"/>
        </w:rPr>
      </w:pPr>
      <w:r>
        <w:rPr>
          <w:rFonts w:hint="eastAsia" w:ascii="宋体" w:hAnsi="宋体" w:eastAsia="宋体" w:cs="宋体"/>
          <w:b/>
          <w:bCs/>
          <w:spacing w:val="6"/>
          <w:sz w:val="20"/>
          <w:szCs w:val="20"/>
          <w:lang w:val="en-US" w:eastAsia="zh-CN"/>
        </w:rPr>
        <w:t xml:space="preserve">3.0.2 </w:t>
      </w:r>
      <w:r>
        <w:rPr>
          <w:rFonts w:hint="eastAsia" w:ascii="宋体" w:hAnsi="宋体" w:eastAsia="宋体" w:cs="宋体"/>
          <w:snapToGrid w:val="0"/>
          <w:color w:val="000000"/>
          <w:spacing w:val="6"/>
          <w:kern w:val="0"/>
          <w:sz w:val="20"/>
          <w:szCs w:val="20"/>
          <w:lang w:val="en-US" w:eastAsia="zh-CN"/>
        </w:rPr>
        <w:t>高品质再生水工程设计应充分调</w:t>
      </w:r>
      <w:r>
        <w:rPr>
          <w:rFonts w:ascii="宋体" w:hAnsi="宋体" w:eastAsia="宋体" w:cs="宋体"/>
          <w:snapToGrid w:val="0"/>
          <w:color w:val="000000"/>
          <w:spacing w:val="6"/>
          <w:kern w:val="0"/>
          <w:sz w:val="20"/>
          <w:szCs w:val="20"/>
          <w:lang w:val="en-US" w:eastAsia="zh-CN"/>
        </w:rPr>
        <w:t>研用户的分布、需水量及对水质的要求</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根据可利用原水水质、水量和再生水用途</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进行水量平衡和技术经济分析</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合理确定再生水水源、系统形式、处理工艺和供水规模。</w:t>
      </w:r>
    </w:p>
    <w:p>
      <w:pPr>
        <w:widowControl/>
        <w:kinsoku w:val="0"/>
        <w:autoSpaceDE w:val="0"/>
        <w:autoSpaceDN w:val="0"/>
        <w:adjustRightInd w:val="0"/>
        <w:snapToGrid w:val="0"/>
        <w:spacing w:before="221" w:line="329" w:lineRule="auto"/>
        <w:ind w:left="1" w:firstLine="3"/>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3</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高品质</w:t>
      </w:r>
      <w:r>
        <w:rPr>
          <w:rFonts w:ascii="宋体" w:hAnsi="宋体" w:eastAsia="宋体" w:cs="宋体"/>
          <w:snapToGrid w:val="0"/>
          <w:color w:val="000000"/>
          <w:spacing w:val="6"/>
          <w:kern w:val="0"/>
          <w:sz w:val="20"/>
          <w:szCs w:val="20"/>
          <w:lang w:val="en-US" w:eastAsia="zh-CN"/>
        </w:rPr>
        <w:t>再生水工程建设及运输管道设计、施工应遵循绿色、环保、低碳原则，考虑建筑物及设施全寿命周期内的维护与更换，鼓励新技术、新材料、新工艺、新设备的应用。</w:t>
      </w:r>
    </w:p>
    <w:p>
      <w:pPr>
        <w:widowControl/>
        <w:kinsoku w:val="0"/>
        <w:autoSpaceDE w:val="0"/>
        <w:autoSpaceDN w:val="0"/>
        <w:adjustRightInd w:val="0"/>
        <w:snapToGrid w:val="0"/>
        <w:spacing w:before="221" w:line="329" w:lineRule="auto"/>
        <w:ind w:left="1" w:firstLine="3"/>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4</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高品质</w:t>
      </w:r>
      <w:r>
        <w:rPr>
          <w:rFonts w:ascii="宋体" w:hAnsi="宋体" w:eastAsia="宋体" w:cs="宋体"/>
          <w:snapToGrid w:val="0"/>
          <w:color w:val="000000"/>
          <w:spacing w:val="6"/>
          <w:kern w:val="0"/>
          <w:sz w:val="20"/>
          <w:szCs w:val="20"/>
          <w:lang w:val="en-US" w:eastAsia="zh-CN"/>
        </w:rPr>
        <w:t>再生水工程设计应符合节约用地原则</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合理利用土地资源</w:t>
      </w:r>
      <w:r>
        <w:rPr>
          <w:rFonts w:hint="eastAsia" w:ascii="宋体" w:hAnsi="宋体" w:eastAsia="宋体" w:cs="宋体"/>
          <w:snapToGrid w:val="0"/>
          <w:color w:val="000000"/>
          <w:spacing w:val="6"/>
          <w:kern w:val="0"/>
          <w:sz w:val="20"/>
          <w:szCs w:val="20"/>
          <w:lang w:val="en-US" w:eastAsia="zh-CN"/>
        </w:rPr>
        <w:t>。</w:t>
      </w:r>
    </w:p>
    <w:p>
      <w:pPr>
        <w:spacing w:before="222" w:line="330" w:lineRule="auto"/>
        <w:ind w:right="70" w:firstLine="5"/>
        <w:rPr>
          <w:rFonts w:ascii="宋体" w:hAnsi="宋体" w:eastAsia="宋体" w:cs="宋体"/>
          <w:sz w:val="20"/>
          <w:szCs w:val="20"/>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5</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高品质</w:t>
      </w:r>
      <w:r>
        <w:rPr>
          <w:rFonts w:ascii="宋体" w:hAnsi="宋体" w:eastAsia="宋体" w:cs="宋体"/>
          <w:snapToGrid w:val="0"/>
          <w:color w:val="000000"/>
          <w:spacing w:val="6"/>
          <w:kern w:val="0"/>
          <w:sz w:val="20"/>
          <w:szCs w:val="20"/>
          <w:lang w:val="en-US" w:eastAsia="zh-CN"/>
        </w:rPr>
        <w:t>再生水工程主要构筑物的主体结构和输配水管道，其结构设计使用年限不应小于50年，专用设备的设计使用年限宜按材质和产品更新周期确定。</w:t>
      </w:r>
    </w:p>
    <w:p>
      <w:pPr>
        <w:widowControl/>
        <w:kinsoku w:val="0"/>
        <w:autoSpaceDE w:val="0"/>
        <w:autoSpaceDN w:val="0"/>
        <w:adjustRightInd w:val="0"/>
        <w:snapToGrid w:val="0"/>
        <w:spacing w:before="221" w:line="329" w:lineRule="auto"/>
        <w:ind w:left="1" w:firstLine="3"/>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6</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高品质</w:t>
      </w:r>
      <w:r>
        <w:rPr>
          <w:rFonts w:ascii="宋体" w:hAnsi="宋体" w:eastAsia="宋体" w:cs="宋体"/>
          <w:snapToGrid w:val="0"/>
          <w:color w:val="000000"/>
          <w:spacing w:val="6"/>
          <w:kern w:val="0"/>
          <w:sz w:val="20"/>
          <w:szCs w:val="20"/>
          <w:lang w:val="en-US" w:eastAsia="zh-CN"/>
        </w:rPr>
        <w:t>再生水水质应根据回用用途满足相应标准要求，核心指标应符合本标准规定，同时应符合国家现行《城市污水再生利用工业用水水质》（GB/T 19923）等相关标准。</w:t>
      </w:r>
    </w:p>
    <w:p>
      <w:pPr>
        <w:widowControl/>
        <w:kinsoku w:val="0"/>
        <w:autoSpaceDE w:val="0"/>
        <w:autoSpaceDN w:val="0"/>
        <w:adjustRightInd w:val="0"/>
        <w:snapToGrid w:val="0"/>
        <w:spacing w:before="221" w:line="329" w:lineRule="auto"/>
        <w:ind w:left="1" w:firstLine="3"/>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7</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再生水用户有不同水质要求时</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水质可按最高水质标准确定或采用分质供水</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也可按用水量最大用户的水质标准确定。</w:t>
      </w:r>
    </w:p>
    <w:p>
      <w:pPr>
        <w:spacing w:before="220" w:line="364" w:lineRule="auto"/>
        <w:ind w:right="70" w:firstLine="4"/>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8</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高品质</w:t>
      </w:r>
      <w:r>
        <w:rPr>
          <w:rFonts w:ascii="宋体" w:hAnsi="宋体" w:eastAsia="宋体" w:cs="宋体"/>
          <w:snapToGrid w:val="0"/>
          <w:color w:val="000000"/>
          <w:spacing w:val="6"/>
          <w:kern w:val="0"/>
          <w:sz w:val="20"/>
          <w:szCs w:val="20"/>
          <w:lang w:val="en-US" w:eastAsia="zh-CN"/>
        </w:rPr>
        <w:t>再生水工程建设及运输管道的设计、施工、验收、运行维护应建立完整的技术资料档案，包括设计文件、施工记录、检测报告、运维手册等。</w:t>
      </w:r>
    </w:p>
    <w:p>
      <w:pPr>
        <w:spacing w:before="220" w:line="364" w:lineRule="auto"/>
        <w:ind w:right="70" w:firstLine="4"/>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9</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高品质</w:t>
      </w:r>
      <w:r>
        <w:rPr>
          <w:rFonts w:ascii="宋体" w:hAnsi="宋体" w:eastAsia="宋体" w:cs="宋体"/>
          <w:snapToGrid w:val="0"/>
          <w:color w:val="000000"/>
          <w:spacing w:val="6"/>
          <w:kern w:val="0"/>
          <w:sz w:val="20"/>
          <w:szCs w:val="20"/>
          <w:lang w:val="en-US" w:eastAsia="zh-CN"/>
        </w:rPr>
        <w:t>再生水工程产生的浓缩废液应进行处理处置。污泥处理的设计可按现行国家标准《窒外排水设计标准》GB50014的有关规定执行。</w:t>
      </w:r>
    </w:p>
    <w:p>
      <w:pPr>
        <w:widowControl/>
        <w:kinsoku w:val="0"/>
        <w:autoSpaceDE w:val="0"/>
        <w:autoSpaceDN w:val="0"/>
        <w:adjustRightInd w:val="0"/>
        <w:snapToGrid w:val="0"/>
        <w:spacing w:before="221" w:line="329" w:lineRule="auto"/>
        <w:ind w:left="1" w:firstLine="3"/>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10</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高品质</w:t>
      </w:r>
      <w:r>
        <w:rPr>
          <w:rFonts w:ascii="宋体" w:hAnsi="宋体" w:eastAsia="宋体" w:cs="宋体"/>
          <w:snapToGrid w:val="0"/>
          <w:color w:val="000000"/>
          <w:spacing w:val="6"/>
          <w:kern w:val="0"/>
          <w:sz w:val="20"/>
          <w:szCs w:val="20"/>
          <w:lang w:val="en-US" w:eastAsia="zh-CN"/>
        </w:rPr>
        <w:t>再生水工程应设置安全、消防、防噪、抗震、卫生等设施，符合国家和山东省现行有关标准的规定。</w:t>
      </w:r>
    </w:p>
    <w:p>
      <w:pPr>
        <w:widowControl/>
        <w:kinsoku w:val="0"/>
        <w:autoSpaceDE w:val="0"/>
        <w:autoSpaceDN w:val="0"/>
        <w:adjustRightInd w:val="0"/>
        <w:snapToGrid w:val="0"/>
        <w:spacing w:before="221" w:line="329" w:lineRule="auto"/>
        <w:ind w:left="1" w:firstLine="3"/>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11</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高品质</w:t>
      </w:r>
      <w:r>
        <w:rPr>
          <w:rFonts w:ascii="宋体" w:hAnsi="宋体" w:eastAsia="宋体" w:cs="宋体"/>
          <w:snapToGrid w:val="0"/>
          <w:color w:val="000000"/>
          <w:spacing w:val="6"/>
          <w:kern w:val="0"/>
          <w:sz w:val="20"/>
          <w:szCs w:val="20"/>
          <w:lang w:val="en-US" w:eastAsia="zh-CN"/>
        </w:rPr>
        <w:t>再生水工程生产构筑物的设计水量应按最高日供水量加再生水处理厂自用水量确定。水处理构筑物应根据规模分成2个及以上可独立运行的系列或分格</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并应按并联设计。</w:t>
      </w:r>
    </w:p>
    <w:p>
      <w:pPr>
        <w:widowControl/>
        <w:kinsoku w:val="0"/>
        <w:autoSpaceDE w:val="0"/>
        <w:autoSpaceDN w:val="0"/>
        <w:adjustRightInd w:val="0"/>
        <w:snapToGrid w:val="0"/>
        <w:spacing w:before="221" w:line="329" w:lineRule="auto"/>
        <w:ind w:left="1" w:firstLine="3"/>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12</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高品质</w:t>
      </w:r>
      <w:r>
        <w:rPr>
          <w:rFonts w:ascii="宋体" w:hAnsi="宋体" w:eastAsia="宋体" w:cs="宋体"/>
          <w:snapToGrid w:val="0"/>
          <w:color w:val="000000"/>
          <w:spacing w:val="6"/>
          <w:kern w:val="0"/>
          <w:sz w:val="20"/>
          <w:szCs w:val="20"/>
          <w:lang w:val="en-US" w:eastAsia="zh-CN"/>
        </w:rPr>
        <w:t>再生水工程设计应优先采用节水和节能型工艺、设备、器具和产品</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设备应实现自动化</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逐步实现智能化。</w:t>
      </w:r>
    </w:p>
    <w:p>
      <w:pPr>
        <w:widowControl/>
        <w:kinsoku w:val="0"/>
        <w:autoSpaceDE w:val="0"/>
        <w:autoSpaceDN w:val="0"/>
        <w:adjustRightInd w:val="0"/>
        <w:snapToGrid w:val="0"/>
        <w:spacing w:before="221" w:line="329" w:lineRule="auto"/>
        <w:ind w:left="1" w:firstLine="3"/>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13</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再生水处理厂内除生活用水和有特定使用要求的用水外</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其他自用水应使用再生水。</w:t>
      </w:r>
    </w:p>
    <w:p>
      <w:pPr>
        <w:widowControl/>
        <w:kinsoku w:val="0"/>
        <w:autoSpaceDE w:val="0"/>
        <w:autoSpaceDN w:val="0"/>
        <w:adjustRightInd w:val="0"/>
        <w:snapToGrid w:val="0"/>
        <w:spacing w:before="221" w:line="329" w:lineRule="auto"/>
        <w:ind w:left="1" w:firstLine="3"/>
        <w:jc w:val="left"/>
        <w:textAlignment w:val="baseline"/>
        <w:rPr>
          <w:rFonts w:ascii="宋体" w:hAnsi="宋体" w:eastAsia="宋体" w:cs="宋体"/>
          <w:snapToGrid w:val="0"/>
          <w:color w:val="000000"/>
          <w:spacing w:val="6"/>
          <w:kern w:val="0"/>
          <w:sz w:val="20"/>
          <w:szCs w:val="20"/>
          <w:lang w:val="en-US" w:eastAsia="en-US"/>
        </w:rPr>
      </w:pPr>
      <w:r>
        <w:rPr>
          <w:rFonts w:ascii="宋体" w:hAnsi="宋体" w:eastAsia="宋体" w:cs="宋体"/>
          <w:b/>
          <w:bCs/>
          <w:spacing w:val="6"/>
          <w:sz w:val="20"/>
          <w:szCs w:val="20"/>
        </w:rPr>
        <w:t>3.0.</w:t>
      </w:r>
      <w:r>
        <w:rPr>
          <w:rFonts w:hint="eastAsia" w:ascii="宋体" w:hAnsi="宋体" w:eastAsia="宋体" w:cs="宋体"/>
          <w:b/>
          <w:bCs/>
          <w:spacing w:val="6"/>
          <w:sz w:val="20"/>
          <w:szCs w:val="20"/>
          <w:lang w:val="en-US" w:eastAsia="zh-CN"/>
        </w:rPr>
        <w:t>14</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再生水处理厂应设有溢流和事故排放设施。</w:t>
      </w:r>
    </w:p>
    <w:p>
      <w:pPr>
        <w:spacing w:line="228" w:lineRule="auto"/>
        <w:rPr>
          <w:rFonts w:ascii="宋体" w:hAnsi="宋体" w:eastAsia="宋体" w:cs="宋体"/>
          <w:sz w:val="20"/>
          <w:szCs w:val="20"/>
        </w:rPr>
      </w:pPr>
    </w:p>
    <w:p>
      <w:pPr>
        <w:spacing w:line="228" w:lineRule="auto"/>
        <w:rPr>
          <w:rFonts w:ascii="宋体" w:hAnsi="宋体" w:eastAsia="宋体" w:cs="宋体"/>
          <w:sz w:val="20"/>
          <w:szCs w:val="20"/>
        </w:rPr>
        <w:sectPr>
          <w:footerReference r:id="rId7" w:type="default"/>
          <w:pgSz w:w="7938" w:h="11510"/>
          <w:pgMar w:top="978" w:right="895" w:bottom="894" w:left="972" w:header="0" w:footer="732" w:gutter="0"/>
          <w:pgNumType w:fmt="decimal"/>
          <w:cols w:space="720" w:num="1"/>
        </w:sectPr>
      </w:pPr>
    </w:p>
    <w:p>
      <w:pPr>
        <w:spacing w:before="156" w:line="221" w:lineRule="auto"/>
        <w:ind w:left="2301"/>
        <w:outlineLvl w:val="0"/>
        <w:rPr>
          <w:rFonts w:hint="eastAsia" w:ascii="宋体" w:hAnsi="宋体" w:eastAsia="宋体" w:cs="宋体"/>
          <w:sz w:val="28"/>
          <w:szCs w:val="28"/>
          <w:lang w:eastAsia="zh-CN"/>
        </w:rPr>
      </w:pPr>
      <w:bookmarkStart w:id="29" w:name="_Toc11552"/>
      <w:bookmarkStart w:id="30" w:name="_Toc20019"/>
      <w:r>
        <w:rPr>
          <w:rFonts w:ascii="Times New Roman" w:hAnsi="Times New Roman" w:eastAsia="Times New Roman" w:cs="Times New Roman"/>
          <w:b/>
          <w:bCs/>
          <w:spacing w:val="-7"/>
          <w:sz w:val="28"/>
          <w:szCs w:val="28"/>
        </w:rPr>
        <w:t>4</w:t>
      </w:r>
      <w:r>
        <w:rPr>
          <w:rFonts w:ascii="Times New Roman" w:hAnsi="Times New Roman" w:eastAsia="Times New Roman" w:cs="Times New Roman"/>
          <w:b/>
          <w:bCs/>
          <w:spacing w:val="9"/>
          <w:sz w:val="28"/>
          <w:szCs w:val="28"/>
        </w:rPr>
        <w:t xml:space="preserve">  </w:t>
      </w:r>
      <w:r>
        <w:rPr>
          <w:rFonts w:hint="eastAsia" w:ascii="宋体" w:hAnsi="宋体" w:eastAsia="宋体" w:cs="宋体"/>
          <w:b/>
          <w:bCs/>
          <w:spacing w:val="-7"/>
          <w:sz w:val="28"/>
          <w:szCs w:val="28"/>
          <w:lang w:val="en-US" w:eastAsia="zh-CN"/>
        </w:rPr>
        <w:t>土建工程</w:t>
      </w:r>
      <w:bookmarkEnd w:id="29"/>
      <w:bookmarkEnd w:id="30"/>
    </w:p>
    <w:p>
      <w:pPr>
        <w:pStyle w:val="5"/>
        <w:spacing w:before="247" w:line="231" w:lineRule="auto"/>
        <w:jc w:val="center"/>
        <w:outlineLvl w:val="0"/>
        <w:rPr>
          <w:sz w:val="20"/>
          <w:szCs w:val="20"/>
        </w:rPr>
      </w:pPr>
      <w:bookmarkStart w:id="31" w:name="bookmark33"/>
      <w:bookmarkEnd w:id="31"/>
      <w:bookmarkStart w:id="32" w:name="_Toc12233"/>
      <w:bookmarkStart w:id="33" w:name="_Toc26640"/>
      <w:r>
        <w:rPr>
          <w:spacing w:val="6"/>
          <w:sz w:val="20"/>
          <w:szCs w:val="20"/>
        </w:rPr>
        <w:t xml:space="preserve">4.1 </w:t>
      </w:r>
      <w:r>
        <w:rPr>
          <w:rFonts w:hint="default" w:ascii="黑体" w:hAnsi="黑体" w:eastAsia="黑体" w:cs="黑体"/>
          <w:b w:val="0"/>
          <w:bCs w:val="0"/>
          <w:snapToGrid w:val="0"/>
          <w:color w:val="000000"/>
          <w:spacing w:val="6"/>
          <w:kern w:val="0"/>
          <w:sz w:val="20"/>
          <w:szCs w:val="20"/>
          <w:lang w:val="en-US" w:eastAsia="en-US" w:bidi="ar-SA"/>
        </w:rPr>
        <w:t>核心构筑物设计</w:t>
      </w:r>
      <w:bookmarkEnd w:id="32"/>
      <w:bookmarkEnd w:id="33"/>
    </w:p>
    <w:p>
      <w:pPr>
        <w:spacing w:before="291" w:line="336" w:lineRule="auto"/>
        <w:ind w:left="1" w:right="71" w:hanging="1"/>
        <w:rPr>
          <w:rFonts w:ascii="宋体" w:hAnsi="宋体" w:eastAsia="宋体" w:cs="宋体"/>
          <w:spacing w:val="6"/>
          <w:sz w:val="20"/>
          <w:szCs w:val="20"/>
          <w:lang w:val="en-US" w:eastAsia="zh-CN"/>
        </w:rPr>
      </w:pPr>
      <w:r>
        <w:rPr>
          <w:rFonts w:ascii="宋体" w:hAnsi="宋体" w:eastAsia="宋体" w:cs="宋体"/>
          <w:b/>
          <w:bCs/>
          <w:spacing w:val="6"/>
          <w:sz w:val="20"/>
          <w:szCs w:val="20"/>
        </w:rPr>
        <w:t>4.1.1</w:t>
      </w:r>
      <w:r>
        <w:rPr>
          <w:rFonts w:ascii="宋体" w:hAnsi="宋体" w:eastAsia="宋体" w:cs="宋体"/>
          <w:spacing w:val="6"/>
          <w:sz w:val="20"/>
          <w:szCs w:val="20"/>
        </w:rPr>
        <w:t xml:space="preserve"> </w:t>
      </w:r>
      <w:r>
        <w:rPr>
          <w:rFonts w:ascii="宋体" w:hAnsi="宋体" w:eastAsia="宋体" w:cs="宋体"/>
          <w:spacing w:val="6"/>
          <w:sz w:val="20"/>
          <w:szCs w:val="20"/>
          <w:lang w:val="en-US" w:eastAsia="zh-CN"/>
        </w:rPr>
        <w:t>超滤车间、反渗透车间、加药间等核心构筑物，设计使用年限不低于50年，抗震设防烈度按山东省相关地区要求执行（不低于7度）。</w:t>
      </w:r>
    </w:p>
    <w:p>
      <w:pPr>
        <w:spacing w:before="291" w:line="336" w:lineRule="auto"/>
        <w:ind w:left="1" w:right="71" w:hanging="1"/>
        <w:rPr>
          <w:rFonts w:ascii="宋体" w:hAnsi="宋体" w:eastAsia="宋体" w:cs="宋体"/>
          <w:spacing w:val="6"/>
          <w:sz w:val="20"/>
          <w:szCs w:val="20"/>
          <w:lang w:eastAsia="en-US"/>
        </w:rPr>
      </w:pPr>
      <w:r>
        <w:rPr>
          <w:rFonts w:ascii="宋体" w:hAnsi="宋体" w:eastAsia="宋体" w:cs="宋体"/>
          <w:b/>
          <w:bCs/>
          <w:spacing w:val="6"/>
          <w:sz w:val="20"/>
          <w:szCs w:val="20"/>
        </w:rPr>
        <w:t>4.1.</w:t>
      </w:r>
      <w:r>
        <w:rPr>
          <w:rFonts w:hint="eastAsia" w:ascii="宋体" w:hAnsi="宋体" w:eastAsia="宋体" w:cs="宋体"/>
          <w:b/>
          <w:bCs/>
          <w:spacing w:val="6"/>
          <w:sz w:val="20"/>
          <w:szCs w:val="20"/>
          <w:lang w:val="en-US" w:eastAsia="zh-CN"/>
        </w:rPr>
        <w:t>2</w:t>
      </w:r>
      <w:r>
        <w:rPr>
          <w:rFonts w:ascii="宋体" w:hAnsi="宋体" w:eastAsia="宋体" w:cs="宋体"/>
          <w:spacing w:val="6"/>
          <w:sz w:val="20"/>
          <w:szCs w:val="20"/>
        </w:rPr>
        <w:t xml:space="preserve"> </w:t>
      </w:r>
      <w:r>
        <w:rPr>
          <w:rFonts w:ascii="宋体" w:hAnsi="宋体" w:eastAsia="宋体" w:cs="宋体"/>
          <w:spacing w:val="6"/>
          <w:sz w:val="20"/>
          <w:szCs w:val="20"/>
          <w:lang w:val="en-US" w:eastAsia="zh-CN"/>
        </w:rPr>
        <w:t>进水水渠、中间水池、清水池等储水构筑物采用C30抗渗混凝土浇筑，抗渗等级不低于P8，池体内壁涂刷水泥基渗透结晶型防水涂料，厚度</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1.5mm，确保24h渗漏量</w:t>
      </w:r>
      <w:r>
        <w:rPr>
          <w:rFonts w:hint="eastAsia" w:ascii="宋体" w:hAnsi="宋体" w:eastAsia="宋体" w:cs="宋体"/>
          <w:spacing w:val="6"/>
          <w:sz w:val="20"/>
          <w:szCs w:val="20"/>
          <w:lang w:val="en-US" w:eastAsia="zh-CN"/>
        </w:rPr>
        <w:t>小于等于</w:t>
      </w:r>
      <w:r>
        <w:rPr>
          <w:rFonts w:ascii="宋体" w:hAnsi="宋体" w:eastAsia="宋体" w:cs="宋体"/>
          <w:spacing w:val="6"/>
          <w:sz w:val="20"/>
          <w:szCs w:val="20"/>
          <w:lang w:val="en-US" w:eastAsia="zh-CN"/>
        </w:rPr>
        <w:t>0.05L/(m²・d)。</w:t>
      </w:r>
    </w:p>
    <w:p>
      <w:pPr>
        <w:spacing w:before="291" w:line="336" w:lineRule="auto"/>
        <w:ind w:left="1" w:right="71" w:hanging="1"/>
        <w:rPr>
          <w:rFonts w:ascii="宋体" w:hAnsi="宋体" w:eastAsia="宋体" w:cs="宋体"/>
          <w:spacing w:val="6"/>
          <w:sz w:val="20"/>
          <w:szCs w:val="20"/>
          <w:lang w:val="en-US" w:eastAsia="zh-CN"/>
        </w:rPr>
      </w:pPr>
      <w:r>
        <w:rPr>
          <w:rFonts w:ascii="宋体" w:hAnsi="宋体" w:eastAsia="宋体" w:cs="宋体"/>
          <w:b/>
          <w:bCs/>
          <w:spacing w:val="6"/>
          <w:sz w:val="20"/>
          <w:szCs w:val="20"/>
        </w:rPr>
        <w:t>4.1.</w:t>
      </w:r>
      <w:r>
        <w:rPr>
          <w:rFonts w:hint="eastAsia" w:ascii="宋体" w:hAnsi="宋体" w:eastAsia="宋体" w:cs="宋体"/>
          <w:b/>
          <w:bCs/>
          <w:spacing w:val="6"/>
          <w:sz w:val="20"/>
          <w:szCs w:val="20"/>
          <w:lang w:val="en-US" w:eastAsia="zh-CN"/>
        </w:rPr>
        <w:t>3</w:t>
      </w:r>
      <w:r>
        <w:rPr>
          <w:rFonts w:ascii="宋体" w:hAnsi="宋体" w:eastAsia="宋体" w:cs="宋体"/>
          <w:spacing w:val="6"/>
          <w:sz w:val="20"/>
          <w:szCs w:val="20"/>
        </w:rPr>
        <w:t xml:space="preserve"> </w:t>
      </w:r>
      <w:r>
        <w:rPr>
          <w:rFonts w:ascii="宋体" w:hAnsi="宋体" w:eastAsia="宋体" w:cs="宋体"/>
          <w:spacing w:val="6"/>
          <w:sz w:val="20"/>
          <w:szCs w:val="20"/>
          <w:lang w:val="en-US" w:eastAsia="zh-CN"/>
        </w:rPr>
        <w:t>超滤与反渗透车间为框架结构，地面采用环氧地坪，承载力</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20kN/m²，车间内设置排水明沟及集水井，坡度</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2%。车间层高不低于5m，预留设备吊装孔，尺寸根据最大设备外形确定，吊装孔周边设置1.2m高防护栏杆。</w:t>
      </w:r>
    </w:p>
    <w:p>
      <w:pPr>
        <w:spacing w:before="291" w:line="336" w:lineRule="auto"/>
        <w:ind w:left="1" w:right="71" w:hanging="1"/>
        <w:rPr>
          <w:rFonts w:hint="eastAsia" w:ascii="宋体" w:hAnsi="宋体" w:eastAsia="宋体" w:cs="宋体"/>
          <w:spacing w:val="6"/>
          <w:sz w:val="20"/>
          <w:szCs w:val="20"/>
          <w:lang w:val="en-US" w:eastAsia="zh-CN"/>
        </w:rPr>
      </w:pPr>
      <w:r>
        <w:rPr>
          <w:rFonts w:ascii="宋体" w:hAnsi="宋体" w:eastAsia="宋体" w:cs="宋体"/>
          <w:b/>
          <w:bCs/>
          <w:spacing w:val="6"/>
          <w:sz w:val="20"/>
          <w:szCs w:val="20"/>
        </w:rPr>
        <w:t>4.1.</w:t>
      </w:r>
      <w:r>
        <w:rPr>
          <w:rFonts w:hint="eastAsia" w:ascii="宋体" w:hAnsi="宋体" w:eastAsia="宋体" w:cs="宋体"/>
          <w:b/>
          <w:bCs/>
          <w:spacing w:val="6"/>
          <w:sz w:val="20"/>
          <w:szCs w:val="20"/>
          <w:lang w:val="en-US" w:eastAsia="zh-CN"/>
        </w:rPr>
        <w:t>4</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平面布置力求在便于施工、便于安装和便于检修的前提下，使各处理构筑物尽量集中，节约用地，扩大绿化面积。</w:t>
      </w:r>
    </w:p>
    <w:p>
      <w:pPr>
        <w:spacing w:before="291" w:line="336" w:lineRule="auto"/>
        <w:ind w:left="1" w:right="71" w:hanging="1"/>
        <w:rPr>
          <w:rFonts w:hint="eastAsia" w:ascii="宋体" w:hAnsi="宋体" w:eastAsia="宋体" w:cs="宋体"/>
          <w:spacing w:val="6"/>
          <w:sz w:val="20"/>
          <w:szCs w:val="20"/>
          <w:lang w:val="en-US" w:eastAsia="zh-CN"/>
        </w:rPr>
      </w:pPr>
      <w:r>
        <w:rPr>
          <w:rFonts w:ascii="宋体" w:hAnsi="宋体" w:eastAsia="宋体" w:cs="宋体"/>
          <w:b/>
          <w:bCs/>
          <w:spacing w:val="6"/>
          <w:sz w:val="20"/>
          <w:szCs w:val="20"/>
        </w:rPr>
        <w:t>4.1.</w:t>
      </w:r>
      <w:r>
        <w:rPr>
          <w:rFonts w:hint="eastAsia" w:ascii="宋体" w:hAnsi="宋体" w:eastAsia="宋体" w:cs="宋体"/>
          <w:b/>
          <w:bCs/>
          <w:spacing w:val="6"/>
          <w:sz w:val="20"/>
          <w:szCs w:val="20"/>
          <w:lang w:val="en-US" w:eastAsia="zh-CN"/>
        </w:rPr>
        <w:t>5</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构筑物按半地下式进行设计，力求减少厂区土方量。</w:t>
      </w:r>
    </w:p>
    <w:p>
      <w:pPr>
        <w:spacing w:before="291" w:line="336" w:lineRule="auto"/>
        <w:ind w:left="1" w:right="71" w:hanging="1"/>
        <w:rPr>
          <w:rFonts w:hint="eastAsia" w:ascii="宋体" w:hAnsi="宋体" w:eastAsia="宋体" w:cs="宋体"/>
          <w:spacing w:val="6"/>
          <w:sz w:val="20"/>
          <w:szCs w:val="20"/>
          <w:lang w:val="en-US" w:eastAsia="zh-CN"/>
        </w:rPr>
      </w:pPr>
      <w:r>
        <w:rPr>
          <w:rFonts w:ascii="宋体" w:hAnsi="宋体" w:eastAsia="宋体" w:cs="宋体"/>
          <w:b/>
          <w:bCs/>
          <w:spacing w:val="6"/>
          <w:sz w:val="20"/>
          <w:szCs w:val="20"/>
        </w:rPr>
        <w:t>4.1.</w:t>
      </w:r>
      <w:r>
        <w:rPr>
          <w:rFonts w:hint="eastAsia" w:ascii="宋体" w:hAnsi="宋体" w:eastAsia="宋体" w:cs="宋体"/>
          <w:b/>
          <w:bCs/>
          <w:spacing w:val="6"/>
          <w:sz w:val="20"/>
          <w:szCs w:val="20"/>
          <w:lang w:val="en-US" w:eastAsia="zh-CN"/>
        </w:rPr>
        <w:t>6</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设备、建筑物、构筑物防火间距符合《建筑设计防火规范》；利用电能的设备和电动用的电器设备的布置，符合《爆炸和火灾危险环境电力装置设计规范》，并符合安全生产和环境保护要求。</w:t>
      </w:r>
    </w:p>
    <w:p>
      <w:pPr>
        <w:spacing w:before="291" w:line="336" w:lineRule="auto"/>
        <w:ind w:left="1" w:right="71" w:hanging="1"/>
        <w:rPr>
          <w:rFonts w:hint="eastAsia" w:ascii="宋体" w:hAnsi="宋体" w:eastAsia="宋体" w:cs="宋体"/>
          <w:spacing w:val="6"/>
          <w:sz w:val="20"/>
          <w:szCs w:val="20"/>
          <w:lang w:val="en-US" w:eastAsia="zh-CN"/>
        </w:rPr>
      </w:pPr>
    </w:p>
    <w:p>
      <w:pPr>
        <w:pStyle w:val="5"/>
        <w:spacing w:before="247" w:line="231" w:lineRule="auto"/>
        <w:jc w:val="center"/>
        <w:outlineLvl w:val="0"/>
        <w:rPr>
          <w:spacing w:val="6"/>
          <w:sz w:val="20"/>
          <w:szCs w:val="20"/>
        </w:rPr>
      </w:pPr>
      <w:bookmarkStart w:id="34" w:name="_Toc6534"/>
      <w:bookmarkStart w:id="35" w:name="_Toc23843"/>
      <w:r>
        <w:rPr>
          <w:spacing w:val="6"/>
          <w:sz w:val="20"/>
          <w:szCs w:val="20"/>
        </w:rPr>
        <w:t xml:space="preserve">4.2 </w:t>
      </w:r>
      <w:r>
        <w:rPr>
          <w:rFonts w:hint="default"/>
          <w:spacing w:val="6"/>
          <w:sz w:val="20"/>
          <w:szCs w:val="20"/>
          <w:lang w:val="en-US" w:eastAsia="en-US"/>
        </w:rPr>
        <w:t>加药间设计与防腐</w:t>
      </w:r>
      <w:bookmarkEnd w:id="34"/>
      <w:bookmarkEnd w:id="35"/>
    </w:p>
    <w:p>
      <w:pPr>
        <w:spacing w:before="291" w:line="336" w:lineRule="auto"/>
        <w:ind w:left="1" w:right="71" w:hanging="1"/>
        <w:rPr>
          <w:rFonts w:ascii="宋体" w:hAnsi="宋体" w:eastAsia="宋体" w:cs="宋体"/>
          <w:spacing w:val="6"/>
          <w:sz w:val="20"/>
          <w:szCs w:val="20"/>
          <w:lang w:val="en-US" w:eastAsia="zh-CN"/>
        </w:rPr>
      </w:pPr>
      <w:r>
        <w:rPr>
          <w:rFonts w:ascii="宋体" w:hAnsi="宋体" w:eastAsia="宋体" w:cs="宋体"/>
          <w:b/>
          <w:bCs/>
          <w:spacing w:val="6"/>
          <w:sz w:val="20"/>
          <w:szCs w:val="20"/>
        </w:rPr>
        <w:t>4.2.1</w:t>
      </w:r>
      <w:r>
        <w:rPr>
          <w:rFonts w:ascii="宋体" w:hAnsi="宋体" w:eastAsia="宋体" w:cs="宋体"/>
          <w:spacing w:val="6"/>
          <w:sz w:val="20"/>
          <w:szCs w:val="20"/>
        </w:rPr>
        <w:t xml:space="preserve"> </w:t>
      </w:r>
      <w:r>
        <w:rPr>
          <w:rFonts w:ascii="宋体" w:hAnsi="宋体" w:eastAsia="宋体" w:cs="宋体"/>
          <w:spacing w:val="6"/>
          <w:sz w:val="20"/>
          <w:szCs w:val="20"/>
          <w:lang w:val="en-US" w:eastAsia="zh-CN"/>
        </w:rPr>
        <w:t>加药间建筑面积按药剂种类和数量确定，采用框架结构，层高</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4.5m</w:t>
      </w:r>
      <w:r>
        <w:rPr>
          <w:rFonts w:hint="eastAsia" w:ascii="宋体" w:hAnsi="宋体" w:eastAsia="宋体" w:cs="宋体"/>
          <w:spacing w:val="6"/>
          <w:sz w:val="20"/>
          <w:szCs w:val="20"/>
          <w:lang w:val="en-US" w:eastAsia="zh-CN"/>
        </w:rPr>
        <w:t>；加药间必须设通风设施，</w:t>
      </w:r>
      <w:r>
        <w:rPr>
          <w:rFonts w:ascii="宋体" w:hAnsi="宋体" w:eastAsia="宋体" w:cs="宋体"/>
          <w:spacing w:val="6"/>
          <w:sz w:val="20"/>
          <w:szCs w:val="20"/>
          <w:lang w:val="en-US" w:eastAsia="zh-CN"/>
        </w:rPr>
        <w:t>设置自然通风窗与机械排风系统（排风风量</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10次</w:t>
      </w:r>
      <w:r>
        <w:rPr>
          <w:rFonts w:hint="eastAsia" w:ascii="宋体" w:hAnsi="宋体" w:eastAsia="宋体" w:cs="宋体"/>
          <w:spacing w:val="6"/>
          <w:sz w:val="20"/>
          <w:szCs w:val="20"/>
          <w:lang w:val="en-US" w:eastAsia="zh-CN"/>
        </w:rPr>
        <w:t>每小时</w:t>
      </w:r>
      <w:r>
        <w:rPr>
          <w:rFonts w:ascii="宋体" w:hAnsi="宋体" w:eastAsia="宋体" w:cs="宋体"/>
          <w:spacing w:val="6"/>
          <w:sz w:val="20"/>
          <w:szCs w:val="20"/>
          <w:lang w:val="en-US" w:eastAsia="zh-CN"/>
        </w:rPr>
        <w:t>）</w:t>
      </w:r>
      <w:r>
        <w:rPr>
          <w:rFonts w:hint="eastAsia" w:ascii="宋体" w:hAnsi="宋体" w:eastAsia="宋体" w:cs="宋体"/>
          <w:spacing w:val="6"/>
          <w:sz w:val="20"/>
          <w:szCs w:val="20"/>
          <w:lang w:val="en-US" w:eastAsia="zh-CN"/>
        </w:rPr>
        <w:t>，设计应符合防毒、防火、防爆、防溢和劳动安全防护要求。</w:t>
      </w:r>
    </w:p>
    <w:p>
      <w:pPr>
        <w:spacing w:before="291" w:line="336" w:lineRule="auto"/>
        <w:ind w:left="1" w:right="71" w:hanging="1"/>
        <w:rPr>
          <w:rFonts w:ascii="宋体" w:hAnsi="宋体" w:eastAsia="宋体" w:cs="宋体"/>
          <w:spacing w:val="6"/>
          <w:sz w:val="20"/>
          <w:szCs w:val="20"/>
          <w:lang w:val="en-US" w:eastAsia="zh-CN"/>
        </w:rPr>
      </w:pPr>
      <w:r>
        <w:rPr>
          <w:rFonts w:ascii="宋体" w:hAnsi="宋体" w:eastAsia="宋体" w:cs="宋体"/>
          <w:b/>
          <w:bCs/>
          <w:spacing w:val="6"/>
          <w:sz w:val="20"/>
          <w:szCs w:val="20"/>
        </w:rPr>
        <w:t>4.2.</w:t>
      </w:r>
      <w:r>
        <w:rPr>
          <w:rFonts w:hint="eastAsia" w:ascii="宋体" w:hAnsi="宋体" w:eastAsia="宋体" w:cs="宋体"/>
          <w:b/>
          <w:bCs/>
          <w:spacing w:val="6"/>
          <w:sz w:val="20"/>
          <w:szCs w:val="20"/>
          <w:lang w:val="en-US" w:eastAsia="zh-CN"/>
        </w:rPr>
        <w:t>2</w:t>
      </w:r>
      <w:r>
        <w:rPr>
          <w:rFonts w:ascii="宋体" w:hAnsi="宋体" w:eastAsia="宋体" w:cs="宋体"/>
          <w:spacing w:val="6"/>
          <w:sz w:val="20"/>
          <w:szCs w:val="20"/>
        </w:rPr>
        <w:t xml:space="preserve"> </w:t>
      </w:r>
      <w:r>
        <w:rPr>
          <w:rFonts w:ascii="宋体" w:hAnsi="宋体" w:eastAsia="宋体" w:cs="宋体"/>
          <w:spacing w:val="6"/>
          <w:sz w:val="20"/>
          <w:szCs w:val="20"/>
          <w:lang w:val="en-US" w:eastAsia="zh-CN"/>
        </w:rPr>
        <w:t>地面采用耐腐蚀环氧玻璃钢地坪，厚度</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2mm，做防坡处理（坡度</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2%），沿墙设置200mm高防腐踢脚线，墙面及顶棚涂刷耐酸耐碱防腐涂料（环氧树脂类），涂刷厚度</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0.3mm，涂刷次数不少于3遍。</w:t>
      </w:r>
    </w:p>
    <w:p>
      <w:pPr>
        <w:spacing w:before="291" w:line="336" w:lineRule="auto"/>
        <w:ind w:left="1" w:right="71" w:hanging="1"/>
        <w:rPr>
          <w:rFonts w:ascii="宋体" w:hAnsi="宋体" w:eastAsia="宋体" w:cs="宋体"/>
          <w:spacing w:val="6"/>
          <w:sz w:val="20"/>
          <w:szCs w:val="20"/>
          <w:lang w:val="en-US" w:eastAsia="zh-CN"/>
        </w:rPr>
      </w:pPr>
      <w:r>
        <w:rPr>
          <w:rFonts w:ascii="宋体" w:hAnsi="宋体" w:eastAsia="宋体" w:cs="宋体"/>
          <w:b/>
          <w:bCs/>
          <w:spacing w:val="6"/>
          <w:sz w:val="20"/>
          <w:szCs w:val="20"/>
        </w:rPr>
        <w:t>4.2.</w:t>
      </w:r>
      <w:r>
        <w:rPr>
          <w:rFonts w:hint="eastAsia" w:ascii="宋体" w:hAnsi="宋体" w:eastAsia="宋体" w:cs="宋体"/>
          <w:b/>
          <w:bCs/>
          <w:spacing w:val="6"/>
          <w:sz w:val="20"/>
          <w:szCs w:val="20"/>
          <w:lang w:val="en-US" w:eastAsia="zh-CN"/>
        </w:rPr>
        <w:t>3</w:t>
      </w:r>
      <w:r>
        <w:rPr>
          <w:rFonts w:ascii="宋体" w:hAnsi="宋体" w:eastAsia="宋体" w:cs="宋体"/>
          <w:spacing w:val="6"/>
          <w:sz w:val="20"/>
          <w:szCs w:val="20"/>
        </w:rPr>
        <w:t xml:space="preserve"> </w:t>
      </w:r>
      <w:r>
        <w:rPr>
          <w:rFonts w:ascii="宋体" w:hAnsi="宋体" w:eastAsia="宋体" w:cs="宋体"/>
          <w:spacing w:val="6"/>
          <w:sz w:val="20"/>
          <w:szCs w:val="20"/>
          <w:lang w:val="en-US" w:eastAsia="zh-CN"/>
        </w:rPr>
        <w:t>加药间内设置药剂储存区与操作区，两区采用0.7m高防腐围堰分隔，储存区地面设置防泄漏托盘（容积</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最大药罐的110%）。室内配备应急冲洗装置（洗眼器、冲淋器），安装位置距操作区</w:t>
      </w:r>
      <w:r>
        <w:rPr>
          <w:rFonts w:hint="eastAsia" w:ascii="宋体" w:hAnsi="宋体" w:eastAsia="宋体" w:cs="宋体"/>
          <w:spacing w:val="6"/>
          <w:sz w:val="20"/>
          <w:szCs w:val="20"/>
          <w:lang w:val="en-US" w:eastAsia="zh-CN"/>
        </w:rPr>
        <w:t>小于等于</w:t>
      </w:r>
      <w:r>
        <w:rPr>
          <w:rFonts w:ascii="宋体" w:hAnsi="宋体" w:eastAsia="宋体" w:cs="宋体"/>
          <w:spacing w:val="6"/>
          <w:sz w:val="20"/>
          <w:szCs w:val="20"/>
          <w:lang w:val="en-US" w:eastAsia="zh-CN"/>
        </w:rPr>
        <w:t>5m，水源为自来水，压力</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0.2MPa。</w:t>
      </w:r>
    </w:p>
    <w:p>
      <w:pPr>
        <w:spacing w:before="291" w:line="336" w:lineRule="auto"/>
        <w:ind w:left="1" w:right="71" w:hanging="1"/>
        <w:rPr>
          <w:rFonts w:ascii="宋体" w:hAnsi="宋体" w:eastAsia="宋体" w:cs="宋体"/>
          <w:spacing w:val="6"/>
          <w:sz w:val="20"/>
          <w:szCs w:val="20"/>
          <w:lang w:val="en-US" w:eastAsia="zh-CN"/>
        </w:rPr>
      </w:pPr>
      <w:r>
        <w:rPr>
          <w:rFonts w:ascii="宋体" w:hAnsi="宋体" w:eastAsia="宋体" w:cs="宋体"/>
          <w:b/>
          <w:bCs/>
          <w:spacing w:val="6"/>
          <w:sz w:val="20"/>
          <w:szCs w:val="20"/>
        </w:rPr>
        <w:t>4.2.</w:t>
      </w:r>
      <w:r>
        <w:rPr>
          <w:rFonts w:hint="eastAsia" w:ascii="宋体" w:hAnsi="宋体" w:eastAsia="宋体" w:cs="宋体"/>
          <w:b/>
          <w:bCs/>
          <w:spacing w:val="6"/>
          <w:sz w:val="20"/>
          <w:szCs w:val="20"/>
          <w:lang w:val="en-US" w:eastAsia="zh-CN"/>
        </w:rPr>
        <w:t>4</w:t>
      </w:r>
      <w:r>
        <w:rPr>
          <w:rFonts w:ascii="宋体" w:hAnsi="宋体" w:eastAsia="宋体" w:cs="宋体"/>
          <w:spacing w:val="6"/>
          <w:sz w:val="20"/>
          <w:szCs w:val="20"/>
        </w:rPr>
        <w:t xml:space="preserve"> </w:t>
      </w:r>
      <w:r>
        <w:rPr>
          <w:rFonts w:ascii="宋体" w:hAnsi="宋体" w:eastAsia="宋体" w:cs="宋体"/>
          <w:spacing w:val="6"/>
          <w:sz w:val="20"/>
          <w:szCs w:val="20"/>
          <w:lang w:val="en-US" w:eastAsia="zh-CN"/>
        </w:rPr>
        <w:t>电气操作箱外壳选用防腐型（聚碳酸酯材质），照明采用防腐防水灯具，开关、插座安装高度</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1.5m，避免药剂溅落损坏。</w:t>
      </w:r>
    </w:p>
    <w:p>
      <w:pPr>
        <w:pStyle w:val="5"/>
        <w:spacing w:before="159" w:line="231" w:lineRule="auto"/>
        <w:jc w:val="center"/>
        <w:outlineLvl w:val="0"/>
        <w:rPr>
          <w:spacing w:val="6"/>
          <w:sz w:val="20"/>
          <w:szCs w:val="20"/>
        </w:rPr>
      </w:pPr>
      <w:bookmarkStart w:id="36" w:name="_Toc22135"/>
      <w:bookmarkStart w:id="37" w:name="_Toc17544"/>
      <w:r>
        <w:rPr>
          <w:spacing w:val="6"/>
          <w:sz w:val="20"/>
          <w:szCs w:val="20"/>
        </w:rPr>
        <w:t>4.</w:t>
      </w:r>
      <w:r>
        <w:rPr>
          <w:rFonts w:hint="eastAsia"/>
          <w:spacing w:val="6"/>
          <w:sz w:val="20"/>
          <w:szCs w:val="20"/>
          <w:lang w:val="en-US" w:eastAsia="zh-CN"/>
        </w:rPr>
        <w:t>3</w:t>
      </w:r>
      <w:r>
        <w:rPr>
          <w:spacing w:val="6"/>
          <w:sz w:val="20"/>
          <w:szCs w:val="20"/>
        </w:rPr>
        <w:t xml:space="preserve"> </w:t>
      </w:r>
      <w:r>
        <w:rPr>
          <w:rFonts w:hint="default"/>
          <w:spacing w:val="6"/>
          <w:sz w:val="20"/>
          <w:szCs w:val="20"/>
          <w:lang w:val="en-US" w:eastAsia="en-US"/>
        </w:rPr>
        <w:t>土建水池与防腐模块</w:t>
      </w:r>
      <w:bookmarkEnd w:id="36"/>
      <w:bookmarkEnd w:id="37"/>
    </w:p>
    <w:p>
      <w:pPr>
        <w:spacing w:before="291" w:line="336" w:lineRule="auto"/>
        <w:ind w:left="1" w:right="71" w:hanging="1"/>
        <w:rPr>
          <w:rFonts w:ascii="宋体" w:hAnsi="宋体" w:eastAsia="宋体" w:cs="宋体"/>
          <w:spacing w:val="6"/>
          <w:sz w:val="20"/>
          <w:szCs w:val="20"/>
          <w:lang w:val="en-US" w:eastAsia="zh-CN"/>
        </w:rPr>
      </w:pPr>
      <w:r>
        <w:rPr>
          <w:rFonts w:ascii="宋体" w:hAnsi="宋体" w:eastAsia="宋体" w:cs="宋体"/>
          <w:b/>
          <w:bCs/>
          <w:spacing w:val="6"/>
          <w:sz w:val="20"/>
          <w:szCs w:val="20"/>
        </w:rPr>
        <w:t>4.</w:t>
      </w:r>
      <w:r>
        <w:rPr>
          <w:rFonts w:hint="eastAsia" w:ascii="宋体" w:hAnsi="宋体" w:eastAsia="宋体" w:cs="宋体"/>
          <w:b/>
          <w:bCs/>
          <w:spacing w:val="6"/>
          <w:sz w:val="20"/>
          <w:szCs w:val="20"/>
          <w:lang w:val="en-US" w:eastAsia="zh-CN"/>
        </w:rPr>
        <w:t>3</w:t>
      </w:r>
      <w:r>
        <w:rPr>
          <w:rFonts w:ascii="宋体" w:hAnsi="宋体" w:eastAsia="宋体" w:cs="宋体"/>
          <w:b/>
          <w:bCs/>
          <w:spacing w:val="6"/>
          <w:sz w:val="20"/>
          <w:szCs w:val="20"/>
        </w:rPr>
        <w:t>.1</w:t>
      </w:r>
      <w:r>
        <w:rPr>
          <w:rFonts w:ascii="宋体" w:hAnsi="宋体" w:eastAsia="宋体" w:cs="宋体"/>
          <w:spacing w:val="6"/>
          <w:sz w:val="20"/>
          <w:szCs w:val="20"/>
        </w:rPr>
        <w:t xml:space="preserve"> </w:t>
      </w:r>
      <w:r>
        <w:rPr>
          <w:rFonts w:ascii="宋体" w:hAnsi="宋体" w:eastAsia="宋体" w:cs="宋体"/>
          <w:spacing w:val="6"/>
          <w:sz w:val="20"/>
          <w:szCs w:val="20"/>
          <w:lang w:val="en-US" w:eastAsia="zh-CN"/>
        </w:rPr>
        <w:t>再生水厂内水池类构筑物包括进水渠、中间水池、清水池、中和池、废水池等，均采用现浇钢筋混凝土结构，混凝土强度等级C30，其中与污水、再生水接触的水池采用抗渗混凝土，抗渗等级P8</w:t>
      </w:r>
      <w:r>
        <w:rPr>
          <w:rFonts w:hint="eastAsia" w:ascii="宋体" w:hAnsi="宋体" w:eastAsia="宋体" w:cs="宋体"/>
          <w:spacing w:val="6"/>
          <w:sz w:val="20"/>
          <w:szCs w:val="20"/>
          <w:lang w:val="en-US" w:eastAsia="zh-CN"/>
        </w:rPr>
        <w:t>～</w:t>
      </w:r>
      <w:r>
        <w:rPr>
          <w:rFonts w:ascii="宋体" w:hAnsi="宋体" w:eastAsia="宋体" w:cs="宋体"/>
          <w:spacing w:val="6"/>
          <w:sz w:val="20"/>
          <w:szCs w:val="20"/>
          <w:lang w:val="en-US" w:eastAsia="zh-CN"/>
        </w:rPr>
        <w:t>P10。水池结构设计需考虑温度应力与干湿循环影响，确保水池内不存在死水区域。</w:t>
      </w:r>
    </w:p>
    <w:p>
      <w:pPr>
        <w:spacing w:before="291" w:line="336" w:lineRule="auto"/>
        <w:ind w:left="1" w:right="71" w:hanging="1"/>
        <w:rPr>
          <w:rFonts w:ascii="宋体" w:hAnsi="宋体" w:eastAsia="宋体" w:cs="宋体"/>
          <w:spacing w:val="6"/>
          <w:sz w:val="20"/>
          <w:szCs w:val="20"/>
          <w:lang w:val="en-US" w:eastAsia="zh-CN"/>
        </w:rPr>
      </w:pPr>
      <w:r>
        <w:rPr>
          <w:rFonts w:ascii="宋体" w:hAnsi="宋体" w:eastAsia="宋体" w:cs="宋体"/>
          <w:b/>
          <w:bCs/>
          <w:spacing w:val="6"/>
          <w:sz w:val="20"/>
          <w:szCs w:val="20"/>
        </w:rPr>
        <w:t>4.</w:t>
      </w:r>
      <w:r>
        <w:rPr>
          <w:rFonts w:hint="eastAsia" w:ascii="宋体" w:hAnsi="宋体" w:eastAsia="宋体" w:cs="宋体"/>
          <w:b/>
          <w:bCs/>
          <w:spacing w:val="6"/>
          <w:sz w:val="20"/>
          <w:szCs w:val="20"/>
          <w:lang w:val="en-US" w:eastAsia="zh-CN"/>
        </w:rPr>
        <w:t>3.2</w:t>
      </w:r>
      <w:r>
        <w:rPr>
          <w:rFonts w:ascii="宋体" w:hAnsi="宋体" w:eastAsia="宋体" w:cs="宋体"/>
          <w:spacing w:val="6"/>
          <w:sz w:val="20"/>
          <w:szCs w:val="20"/>
        </w:rPr>
        <w:t xml:space="preserve"> </w:t>
      </w:r>
      <w:r>
        <w:rPr>
          <w:rFonts w:ascii="宋体" w:hAnsi="宋体" w:eastAsia="宋体" w:cs="宋体"/>
          <w:spacing w:val="6"/>
          <w:sz w:val="20"/>
          <w:szCs w:val="20"/>
          <w:lang w:val="en-US" w:eastAsia="zh-CN"/>
        </w:rPr>
        <w:t>水池防腐需根据接触介质特性差异化设计：进水水渠、中间水池、中和池、废水池等内壁采用“基层处理+环氧底漆+环氧玻璃鳞片涂层”工艺，基层采用喷砂除锈至Sa2.5级，环氧底漆厚度</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50μm，环氧玻璃鳞片涂层总厚度</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400μm，耐酸碱腐蚀等级</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C2级；清水池内壁采用食品级环氧涂料，符合GB/T</w:t>
      </w:r>
      <w:r>
        <w:rPr>
          <w:rFonts w:hint="eastAsia" w:ascii="宋体" w:hAnsi="宋体" w:eastAsia="宋体" w:cs="宋体"/>
          <w:spacing w:val="6"/>
          <w:sz w:val="20"/>
          <w:szCs w:val="20"/>
          <w:lang w:val="en-US" w:eastAsia="zh-CN"/>
        </w:rPr>
        <w:t xml:space="preserve"> </w:t>
      </w:r>
      <w:r>
        <w:rPr>
          <w:rFonts w:ascii="宋体" w:hAnsi="宋体" w:eastAsia="宋体" w:cs="宋体"/>
          <w:spacing w:val="6"/>
          <w:sz w:val="20"/>
          <w:szCs w:val="20"/>
          <w:lang w:val="en-US" w:eastAsia="zh-CN"/>
        </w:rPr>
        <w:t>17219标准。</w:t>
      </w:r>
    </w:p>
    <w:p>
      <w:pPr>
        <w:spacing w:before="291" w:line="336" w:lineRule="auto"/>
        <w:ind w:left="1" w:right="71" w:hanging="1"/>
        <w:rPr>
          <w:rFonts w:ascii="宋体" w:hAnsi="宋体" w:eastAsia="宋体" w:cs="宋体"/>
          <w:spacing w:val="6"/>
          <w:sz w:val="20"/>
          <w:szCs w:val="20"/>
          <w:lang w:val="en-US" w:eastAsia="zh-CN"/>
        </w:rPr>
      </w:pPr>
      <w:r>
        <w:rPr>
          <w:rFonts w:ascii="宋体" w:hAnsi="宋体" w:eastAsia="宋体" w:cs="宋体"/>
          <w:b/>
          <w:bCs/>
          <w:spacing w:val="6"/>
          <w:sz w:val="20"/>
          <w:szCs w:val="20"/>
        </w:rPr>
        <w:t>4.</w:t>
      </w:r>
      <w:r>
        <w:rPr>
          <w:rFonts w:hint="eastAsia" w:ascii="宋体" w:hAnsi="宋体" w:eastAsia="宋体" w:cs="宋体"/>
          <w:b/>
          <w:bCs/>
          <w:spacing w:val="6"/>
          <w:sz w:val="20"/>
          <w:szCs w:val="20"/>
          <w:lang w:val="en-US" w:eastAsia="zh-CN"/>
        </w:rPr>
        <w:t>3.3</w:t>
      </w:r>
      <w:r>
        <w:rPr>
          <w:rFonts w:ascii="宋体" w:hAnsi="宋体" w:eastAsia="宋体" w:cs="宋体"/>
          <w:spacing w:val="6"/>
          <w:sz w:val="20"/>
          <w:szCs w:val="20"/>
        </w:rPr>
        <w:t xml:space="preserve"> </w:t>
      </w:r>
      <w:r>
        <w:rPr>
          <w:rFonts w:ascii="宋体" w:hAnsi="宋体" w:eastAsia="宋体" w:cs="宋体"/>
          <w:spacing w:val="6"/>
          <w:sz w:val="20"/>
          <w:szCs w:val="20"/>
          <w:lang w:val="en-US" w:eastAsia="zh-CN"/>
        </w:rPr>
        <w:t>水池附属设施防腐：爬梯、走道板等金属构件采用热镀锌+氟碳漆双重防护，热镀锌层厚度</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80μm，氟碳漆涂刷2遍，总厚度</w:t>
      </w:r>
      <w:r>
        <w:rPr>
          <w:rFonts w:hint="eastAsia" w:ascii="宋体" w:hAnsi="宋体" w:eastAsia="宋体" w:cs="宋体"/>
          <w:spacing w:val="6"/>
          <w:sz w:val="20"/>
          <w:szCs w:val="20"/>
          <w:lang w:val="en-US" w:eastAsia="zh-CN"/>
        </w:rPr>
        <w:t>大于等于</w:t>
      </w:r>
      <w:r>
        <w:rPr>
          <w:rFonts w:ascii="宋体" w:hAnsi="宋体" w:eastAsia="宋体" w:cs="宋体"/>
          <w:spacing w:val="6"/>
          <w:sz w:val="20"/>
          <w:szCs w:val="20"/>
          <w:lang w:val="en-US" w:eastAsia="zh-CN"/>
        </w:rPr>
        <w:t>60μm；液位计、传感器等安装支架采用316L不锈钢材质。水池外壁采用外墙乳胶漆涂刷，涂刷前需做基层找平与抗裂处理。</w:t>
      </w:r>
    </w:p>
    <w:p>
      <w:pPr>
        <w:pStyle w:val="5"/>
        <w:spacing w:before="159" w:line="231" w:lineRule="auto"/>
        <w:jc w:val="center"/>
        <w:outlineLvl w:val="0"/>
        <w:rPr>
          <w:rFonts w:hint="eastAsia"/>
          <w:spacing w:val="6"/>
          <w:sz w:val="20"/>
          <w:szCs w:val="20"/>
          <w:lang w:val="en-US" w:eastAsia="zh-CN"/>
        </w:rPr>
      </w:pPr>
      <w:bookmarkStart w:id="38" w:name="_Toc4802"/>
      <w:bookmarkStart w:id="39" w:name="_Toc16197"/>
      <w:r>
        <w:rPr>
          <w:spacing w:val="6"/>
          <w:sz w:val="20"/>
          <w:szCs w:val="20"/>
        </w:rPr>
        <w:t>4.</w:t>
      </w:r>
      <w:r>
        <w:rPr>
          <w:rFonts w:hint="eastAsia"/>
          <w:spacing w:val="6"/>
          <w:sz w:val="20"/>
          <w:szCs w:val="20"/>
          <w:lang w:val="en-US" w:eastAsia="zh-CN"/>
        </w:rPr>
        <w:t>4</w:t>
      </w:r>
      <w:r>
        <w:rPr>
          <w:spacing w:val="6"/>
          <w:sz w:val="20"/>
          <w:szCs w:val="20"/>
        </w:rPr>
        <w:t xml:space="preserve"> </w:t>
      </w:r>
      <w:r>
        <w:rPr>
          <w:rFonts w:hint="eastAsia"/>
          <w:spacing w:val="6"/>
          <w:sz w:val="20"/>
          <w:szCs w:val="20"/>
          <w:lang w:val="en-US" w:eastAsia="zh-CN"/>
        </w:rPr>
        <w:t>其他要求</w:t>
      </w:r>
      <w:bookmarkEnd w:id="38"/>
      <w:bookmarkEnd w:id="39"/>
    </w:p>
    <w:p>
      <w:pPr>
        <w:spacing w:before="291" w:line="336" w:lineRule="auto"/>
        <w:ind w:left="1" w:right="71" w:hanging="1"/>
        <w:rPr>
          <w:rFonts w:hint="eastAsia" w:ascii="宋体" w:hAnsi="宋体" w:eastAsia="宋体" w:cs="宋体"/>
          <w:spacing w:val="6"/>
          <w:sz w:val="20"/>
          <w:szCs w:val="20"/>
          <w:lang w:val="en-US" w:eastAsia="zh-CN"/>
        </w:rPr>
      </w:pPr>
      <w:r>
        <w:rPr>
          <w:rFonts w:ascii="宋体" w:hAnsi="宋体" w:eastAsia="宋体" w:cs="宋体"/>
          <w:b/>
          <w:bCs/>
          <w:spacing w:val="6"/>
          <w:sz w:val="20"/>
          <w:szCs w:val="20"/>
        </w:rPr>
        <w:t>4.</w:t>
      </w:r>
      <w:r>
        <w:rPr>
          <w:rFonts w:hint="eastAsia" w:ascii="宋体" w:hAnsi="宋体" w:eastAsia="宋体" w:cs="宋体"/>
          <w:b/>
          <w:bCs/>
          <w:spacing w:val="6"/>
          <w:sz w:val="20"/>
          <w:szCs w:val="20"/>
          <w:lang w:val="en-US" w:eastAsia="zh-CN"/>
        </w:rPr>
        <w:t>4.1</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经常操作的设备或操作人员经常到达的场所考虑距控制室就近道路通畅，并按需要设置通道、平台、过桥、梯子等。</w:t>
      </w:r>
    </w:p>
    <w:p>
      <w:pPr>
        <w:spacing w:before="291" w:line="336" w:lineRule="auto"/>
        <w:ind w:left="1" w:right="71" w:hanging="1"/>
        <w:rPr>
          <w:rFonts w:hint="eastAsia" w:ascii="宋体" w:hAnsi="宋体" w:eastAsia="宋体" w:cs="宋体"/>
          <w:spacing w:val="6"/>
          <w:sz w:val="20"/>
          <w:szCs w:val="20"/>
          <w:lang w:val="en-US" w:eastAsia="zh-CN"/>
        </w:rPr>
      </w:pPr>
      <w:r>
        <w:rPr>
          <w:rFonts w:ascii="宋体" w:hAnsi="宋体" w:eastAsia="宋体" w:cs="宋体"/>
          <w:b/>
          <w:bCs/>
          <w:spacing w:val="6"/>
          <w:sz w:val="20"/>
          <w:szCs w:val="20"/>
        </w:rPr>
        <w:t>4.</w:t>
      </w:r>
      <w:r>
        <w:rPr>
          <w:rFonts w:hint="eastAsia" w:ascii="宋体" w:hAnsi="宋体" w:eastAsia="宋体" w:cs="宋体"/>
          <w:b/>
          <w:bCs/>
          <w:spacing w:val="6"/>
          <w:sz w:val="20"/>
          <w:szCs w:val="20"/>
          <w:lang w:val="en-US" w:eastAsia="zh-CN"/>
        </w:rPr>
        <w:t>4.2</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变配电室靠近道路，便于操作人员通行或事故时人员容易撤离。</w:t>
      </w:r>
    </w:p>
    <w:p>
      <w:pPr>
        <w:spacing w:before="291" w:line="336" w:lineRule="auto"/>
        <w:ind w:left="1" w:right="71" w:hanging="1"/>
        <w:rPr>
          <w:rFonts w:hint="eastAsia" w:ascii="宋体" w:hAnsi="宋体" w:eastAsia="宋体" w:cs="宋体"/>
          <w:spacing w:val="6"/>
          <w:sz w:val="20"/>
          <w:szCs w:val="20"/>
          <w:lang w:val="en-US" w:eastAsia="zh-CN"/>
        </w:rPr>
      </w:pPr>
      <w:r>
        <w:rPr>
          <w:rFonts w:ascii="宋体" w:hAnsi="宋体" w:eastAsia="宋体" w:cs="宋体"/>
          <w:b/>
          <w:bCs/>
          <w:spacing w:val="6"/>
          <w:sz w:val="20"/>
          <w:szCs w:val="20"/>
        </w:rPr>
        <w:t>4.</w:t>
      </w:r>
      <w:r>
        <w:rPr>
          <w:rFonts w:hint="eastAsia" w:ascii="宋体" w:hAnsi="宋体" w:eastAsia="宋体" w:cs="宋体"/>
          <w:b/>
          <w:bCs/>
          <w:spacing w:val="6"/>
          <w:sz w:val="20"/>
          <w:szCs w:val="20"/>
          <w:lang w:val="en-US" w:eastAsia="zh-CN"/>
        </w:rPr>
        <w:t>4.3</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设置人流入口和物流入口，药剂设备等运输统一走物流入口。</w:t>
      </w:r>
    </w:p>
    <w:p>
      <w:pPr>
        <w:spacing w:before="291" w:line="336" w:lineRule="auto"/>
        <w:ind w:left="1" w:right="71" w:hanging="1"/>
        <w:rPr>
          <w:rFonts w:hint="eastAsia" w:ascii="宋体" w:hAnsi="宋体" w:eastAsia="宋体" w:cs="宋体"/>
          <w:spacing w:val="6"/>
          <w:sz w:val="20"/>
          <w:szCs w:val="20"/>
          <w:lang w:val="en-US" w:eastAsia="zh-CN"/>
        </w:rPr>
      </w:pPr>
      <w:r>
        <w:rPr>
          <w:rFonts w:ascii="宋体" w:hAnsi="宋体" w:eastAsia="宋体" w:cs="宋体"/>
          <w:b/>
          <w:bCs/>
          <w:spacing w:val="6"/>
          <w:sz w:val="20"/>
          <w:szCs w:val="20"/>
        </w:rPr>
        <w:t>4.</w:t>
      </w:r>
      <w:r>
        <w:rPr>
          <w:rFonts w:hint="eastAsia" w:ascii="宋体" w:hAnsi="宋体" w:eastAsia="宋体" w:cs="宋体"/>
          <w:b/>
          <w:bCs/>
          <w:spacing w:val="6"/>
          <w:sz w:val="20"/>
          <w:szCs w:val="20"/>
          <w:lang w:val="en-US" w:eastAsia="zh-CN"/>
        </w:rPr>
        <w:t>4.4</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构筑物应设废水排放、地漏、废气排放设施。构筑物应有防渗漏技术措施。构筑物应有保温防冻措施。构筑物应设置适用的栏杆、防滑楼梯等安全设施。高架处理构筑物应设避雷设施。</w:t>
      </w:r>
    </w:p>
    <w:p>
      <w:pPr>
        <w:pStyle w:val="5"/>
        <w:spacing w:before="159" w:line="231" w:lineRule="auto"/>
        <w:jc w:val="center"/>
        <w:outlineLvl w:val="0"/>
        <w:rPr>
          <w:rFonts w:hint="eastAsia"/>
          <w:spacing w:val="6"/>
          <w:sz w:val="20"/>
          <w:szCs w:val="20"/>
          <w:lang w:val="en-US" w:eastAsia="zh-CN"/>
        </w:rPr>
      </w:pPr>
    </w:p>
    <w:p>
      <w:pPr>
        <w:pStyle w:val="5"/>
        <w:spacing w:before="159" w:line="231" w:lineRule="auto"/>
        <w:jc w:val="center"/>
        <w:outlineLvl w:val="0"/>
        <w:rPr>
          <w:rFonts w:hint="eastAsia"/>
          <w:spacing w:val="6"/>
          <w:sz w:val="20"/>
          <w:szCs w:val="20"/>
          <w:lang w:val="en-US" w:eastAsia="zh-CN"/>
        </w:rPr>
        <w:sectPr>
          <w:footerReference r:id="rId8" w:type="default"/>
          <w:pgSz w:w="7938" w:h="11510"/>
          <w:pgMar w:top="978" w:right="895" w:bottom="894" w:left="972" w:header="0" w:footer="732" w:gutter="0"/>
          <w:pgNumType w:fmt="decimal"/>
          <w:cols w:space="720" w:num="1"/>
        </w:sectPr>
      </w:pPr>
    </w:p>
    <w:p>
      <w:pPr>
        <w:rPr>
          <w:rFonts w:ascii="Arial"/>
          <w:sz w:val="21"/>
        </w:rPr>
      </w:pPr>
    </w:p>
    <w:p>
      <w:pPr>
        <w:spacing w:before="91" w:line="220" w:lineRule="auto"/>
        <w:jc w:val="center"/>
        <w:outlineLvl w:val="0"/>
        <w:rPr>
          <w:rFonts w:ascii="宋体" w:hAnsi="宋体" w:eastAsia="宋体" w:cs="宋体"/>
          <w:sz w:val="28"/>
          <w:szCs w:val="28"/>
        </w:rPr>
      </w:pPr>
      <w:bookmarkStart w:id="40" w:name="_Toc15274"/>
      <w:bookmarkStart w:id="41" w:name="_Toc20990"/>
      <w:r>
        <w:rPr>
          <w:rFonts w:ascii="Times New Roman" w:hAnsi="Times New Roman" w:eastAsia="Times New Roman" w:cs="Times New Roman"/>
          <w:b/>
          <w:bCs/>
          <w:spacing w:val="-8"/>
          <w:sz w:val="28"/>
          <w:szCs w:val="28"/>
        </w:rPr>
        <w:t>5</w:t>
      </w:r>
      <w:r>
        <w:rPr>
          <w:rFonts w:ascii="Times New Roman" w:hAnsi="Times New Roman" w:eastAsia="Times New Roman" w:cs="Times New Roman"/>
          <w:b/>
          <w:bCs/>
          <w:spacing w:val="10"/>
          <w:sz w:val="28"/>
          <w:szCs w:val="28"/>
        </w:rPr>
        <w:t xml:space="preserve">  </w:t>
      </w:r>
      <w:r>
        <w:rPr>
          <w:rFonts w:hint="default" w:ascii="宋体" w:hAnsi="宋体" w:eastAsia="宋体" w:cs="宋体"/>
          <w:b/>
          <w:bCs/>
          <w:snapToGrid w:val="0"/>
          <w:color w:val="000000"/>
          <w:spacing w:val="-8"/>
          <w:kern w:val="0"/>
          <w:sz w:val="28"/>
          <w:szCs w:val="28"/>
          <w:lang w:val="en-US" w:eastAsia="en-US" w:bidi="ar-SA"/>
        </w:rPr>
        <w:t>工艺管道工程</w:t>
      </w:r>
      <w:bookmarkEnd w:id="40"/>
      <w:bookmarkEnd w:id="41"/>
    </w:p>
    <w:p>
      <w:pPr>
        <w:pStyle w:val="5"/>
        <w:spacing w:before="159" w:line="231" w:lineRule="auto"/>
        <w:jc w:val="center"/>
        <w:outlineLvl w:val="0"/>
        <w:rPr>
          <w:spacing w:val="6"/>
          <w:sz w:val="20"/>
          <w:szCs w:val="20"/>
        </w:rPr>
      </w:pPr>
      <w:bookmarkStart w:id="42" w:name="bookmark40"/>
      <w:bookmarkEnd w:id="42"/>
      <w:bookmarkStart w:id="43" w:name="_Toc17025"/>
      <w:bookmarkStart w:id="44" w:name="_Toc3967"/>
      <w:r>
        <w:rPr>
          <w:spacing w:val="6"/>
          <w:sz w:val="20"/>
          <w:szCs w:val="20"/>
        </w:rPr>
        <w:t xml:space="preserve">5.1 </w:t>
      </w:r>
      <w:r>
        <w:rPr>
          <w:rFonts w:hint="default"/>
          <w:spacing w:val="6"/>
          <w:sz w:val="20"/>
          <w:szCs w:val="20"/>
          <w:lang w:val="en-US" w:eastAsia="en-US"/>
        </w:rPr>
        <w:t>管材选型与连接</w:t>
      </w:r>
      <w:bookmarkEnd w:id="43"/>
      <w:bookmarkEnd w:id="44"/>
    </w:p>
    <w:p>
      <w:pPr>
        <w:spacing w:before="219" w:line="228" w:lineRule="auto"/>
        <w:ind w:left="5"/>
        <w:rPr>
          <w:rFonts w:ascii="宋体" w:hAnsi="宋体" w:eastAsia="宋体" w:cs="宋体"/>
          <w:sz w:val="20"/>
          <w:szCs w:val="20"/>
        </w:rPr>
      </w:pPr>
      <w:r>
        <w:rPr>
          <w:rFonts w:ascii="宋体" w:hAnsi="宋体" w:eastAsia="宋体" w:cs="宋体"/>
          <w:b/>
          <w:bCs/>
          <w:spacing w:val="8"/>
          <w:sz w:val="20"/>
          <w:szCs w:val="20"/>
        </w:rPr>
        <w:t>5.1.1</w:t>
      </w:r>
      <w:r>
        <w:rPr>
          <w:rFonts w:ascii="宋体" w:hAnsi="宋体" w:eastAsia="宋体" w:cs="宋体"/>
          <w:spacing w:val="8"/>
          <w:sz w:val="20"/>
          <w:szCs w:val="20"/>
        </w:rPr>
        <w:t xml:space="preserve"> </w:t>
      </w:r>
      <w:r>
        <w:rPr>
          <w:rFonts w:hint="eastAsia" w:ascii="宋体" w:hAnsi="宋体" w:eastAsia="宋体" w:cs="宋体"/>
          <w:spacing w:val="8"/>
          <w:sz w:val="20"/>
          <w:szCs w:val="20"/>
          <w:lang w:val="en-US" w:eastAsia="zh-CN"/>
        </w:rPr>
        <w:t>高品质再生水厂管道管材选型与连接方式按表5.1.1的规定确定</w:t>
      </w:r>
      <w:r>
        <w:rPr>
          <w:rFonts w:ascii="宋体" w:hAnsi="宋体" w:eastAsia="宋体" w:cs="宋体"/>
          <w:spacing w:val="7"/>
          <w:sz w:val="20"/>
          <w:szCs w:val="20"/>
        </w:rPr>
        <w:t>。</w:t>
      </w:r>
    </w:p>
    <w:p>
      <w:pPr>
        <w:pStyle w:val="4"/>
        <w:jc w:val="center"/>
        <w:rPr>
          <w:rFonts w:hint="default" w:eastAsia="宋体"/>
          <w:lang w:val="en-US" w:eastAsia="zh-CN"/>
        </w:rPr>
      </w:pPr>
      <w:bookmarkStart w:id="45" w:name="bookmark41"/>
      <w:bookmarkEnd w:id="45"/>
      <w:r>
        <w:t xml:space="preserve">表 </w:t>
      </w:r>
      <w:r>
        <w:rPr>
          <w:rFonts w:hint="eastAsia"/>
          <w:lang w:eastAsia="zh-CN"/>
        </w:rPr>
        <w:t>5.1.1</w:t>
      </w:r>
      <w:r>
        <w:rPr>
          <w:rFonts w:hint="eastAsia"/>
          <w:lang w:val="en-US" w:eastAsia="zh-CN"/>
        </w:rPr>
        <w:t xml:space="preserve"> 工艺管道选型与连接</w:t>
      </w:r>
    </w:p>
    <w:tbl>
      <w:tblPr>
        <w:tblStyle w:val="10"/>
        <w:tblW w:w="64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946"/>
        <w:gridCol w:w="1593"/>
        <w:gridCol w:w="1009"/>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工艺系统</w:t>
            </w:r>
          </w:p>
        </w:tc>
        <w:tc>
          <w:tcPr>
            <w:tcW w:w="194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管材</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管径</w:t>
            </w:r>
          </w:p>
        </w:tc>
        <w:tc>
          <w:tcPr>
            <w:tcW w:w="10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连接方式</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适用位置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进</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水</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系</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统</w:t>
            </w:r>
          </w:p>
        </w:tc>
        <w:tc>
          <w:tcPr>
            <w:tcW w:w="194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HDPE管</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（环刚度大于等于8kN/m²）</w:t>
            </w:r>
          </w:p>
        </w:tc>
        <w:tc>
          <w:tcPr>
            <w:tcW w:w="1593"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DN400～DN800</w:t>
            </w:r>
          </w:p>
        </w:tc>
        <w:tc>
          <w:tcPr>
            <w:tcW w:w="1009"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热熔对接</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进水压力较小的进水系统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p>
        </w:tc>
        <w:tc>
          <w:tcPr>
            <w:tcW w:w="194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ascii="宋体" w:hAnsi="宋体" w:eastAsia="宋体" w:cs="宋体"/>
                <w:snapToGrid w:val="0"/>
                <w:color w:val="000000"/>
                <w:spacing w:val="6"/>
                <w:kern w:val="0"/>
                <w:sz w:val="20"/>
                <w:szCs w:val="20"/>
                <w:lang w:val="en-US" w:eastAsia="zh-CN"/>
              </w:rPr>
              <w:t>SS</w:t>
            </w:r>
            <w:r>
              <w:rPr>
                <w:rFonts w:hint="eastAsia" w:asciiTheme="minorEastAsia" w:hAnsiTheme="minorEastAsia" w:eastAsiaTheme="minorEastAsia" w:cstheme="minorEastAsia"/>
                <w:spacing w:val="8"/>
                <w:sz w:val="18"/>
                <w:szCs w:val="18"/>
                <w:lang w:val="en-US" w:eastAsia="zh-CN"/>
              </w:rPr>
              <w:t>316L不锈钢管</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DN1000～DN1400</w:t>
            </w:r>
          </w:p>
        </w:tc>
        <w:tc>
          <w:tcPr>
            <w:tcW w:w="10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氩弧焊</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进水压力较大的进水系统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超</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滤</w:t>
            </w:r>
          </w:p>
        </w:tc>
        <w:tc>
          <w:tcPr>
            <w:tcW w:w="1946"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HDPE管</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（环刚度大于等于8kN/m²）</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DN400～DN800</w:t>
            </w:r>
          </w:p>
        </w:tc>
        <w:tc>
          <w:tcPr>
            <w:tcW w:w="1009"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热熔对接</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进水管</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排水管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p>
        </w:tc>
        <w:tc>
          <w:tcPr>
            <w:tcW w:w="1946"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ascii="宋体" w:hAnsi="宋体" w:eastAsia="宋体" w:cs="宋体"/>
                <w:snapToGrid w:val="0"/>
                <w:color w:val="000000"/>
                <w:spacing w:val="6"/>
                <w:kern w:val="0"/>
                <w:sz w:val="20"/>
                <w:szCs w:val="20"/>
                <w:lang w:val="en-US" w:eastAsia="zh-CN"/>
              </w:rPr>
              <w:t>SS</w:t>
            </w:r>
            <w:r>
              <w:rPr>
                <w:rFonts w:hint="eastAsia" w:asciiTheme="minorEastAsia" w:hAnsiTheme="minorEastAsia" w:eastAsiaTheme="minorEastAsia" w:cstheme="minorEastAsia"/>
                <w:spacing w:val="8"/>
                <w:sz w:val="18"/>
                <w:szCs w:val="18"/>
                <w:lang w:val="en-US" w:eastAsia="zh-CN"/>
              </w:rPr>
              <w:t>316L不锈钢管</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DN200～DN800</w:t>
            </w:r>
          </w:p>
        </w:tc>
        <w:tc>
          <w:tcPr>
            <w:tcW w:w="1009"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氩弧焊</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反洗管、产水管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p>
        </w:tc>
        <w:tc>
          <w:tcPr>
            <w:tcW w:w="194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304不锈钢管</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DN200～DN800</w:t>
            </w:r>
          </w:p>
        </w:tc>
        <w:tc>
          <w:tcPr>
            <w:tcW w:w="10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氩弧焊</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曝气管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p>
        </w:tc>
        <w:tc>
          <w:tcPr>
            <w:tcW w:w="194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UPVC管</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（化工级）</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DN200～DN800</w:t>
            </w:r>
          </w:p>
        </w:tc>
        <w:tc>
          <w:tcPr>
            <w:tcW w:w="10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胶黏剂连接</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清洗管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Merge w:val="restart"/>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反</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渗</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透</w:t>
            </w:r>
          </w:p>
        </w:tc>
        <w:tc>
          <w:tcPr>
            <w:tcW w:w="1946"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ascii="宋体" w:hAnsi="宋体" w:eastAsia="宋体" w:cs="宋体"/>
                <w:snapToGrid w:val="0"/>
                <w:color w:val="000000"/>
                <w:spacing w:val="6"/>
                <w:kern w:val="0"/>
                <w:sz w:val="20"/>
                <w:szCs w:val="20"/>
                <w:lang w:val="en-US" w:eastAsia="zh-CN"/>
              </w:rPr>
              <w:t>SS</w:t>
            </w:r>
            <w:r>
              <w:rPr>
                <w:rFonts w:hint="eastAsia" w:asciiTheme="minorEastAsia" w:hAnsiTheme="minorEastAsia" w:eastAsiaTheme="minorEastAsia" w:cstheme="minorEastAsia"/>
                <w:spacing w:val="8"/>
                <w:sz w:val="18"/>
                <w:szCs w:val="18"/>
                <w:lang w:val="en-US" w:eastAsia="zh-CN"/>
              </w:rPr>
              <w:t>316L不锈钢管</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DN150～DN250</w:t>
            </w:r>
          </w:p>
        </w:tc>
        <w:tc>
          <w:tcPr>
            <w:tcW w:w="10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氩弧焊</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进水管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p>
        </w:tc>
        <w:tc>
          <w:tcPr>
            <w:tcW w:w="1946"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304不锈钢管</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DN150～DN800</w:t>
            </w:r>
          </w:p>
        </w:tc>
        <w:tc>
          <w:tcPr>
            <w:tcW w:w="10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氩弧焊</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产水管、冲洗管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p>
        </w:tc>
        <w:tc>
          <w:tcPr>
            <w:tcW w:w="1946"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UPVC管</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（化工级）</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DN80～DN250</w:t>
            </w:r>
          </w:p>
        </w:tc>
        <w:tc>
          <w:tcPr>
            <w:tcW w:w="10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胶黏剂连接</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清洗管、冲洗排放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Merge w:val="continue"/>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p>
        </w:tc>
        <w:tc>
          <w:tcPr>
            <w:tcW w:w="194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2205双向不锈钢</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DN80～DN400</w:t>
            </w:r>
          </w:p>
        </w:tc>
        <w:tc>
          <w:tcPr>
            <w:tcW w:w="10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氩弧焊</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浓水管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加药</w:t>
            </w:r>
          </w:p>
        </w:tc>
        <w:tc>
          <w:tcPr>
            <w:tcW w:w="194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UPVC管</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（化工级）</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DN15～DN80</w:t>
            </w:r>
          </w:p>
        </w:tc>
        <w:tc>
          <w:tcPr>
            <w:tcW w:w="10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胶黏剂连接</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加药管路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废水排放</w:t>
            </w:r>
          </w:p>
        </w:tc>
        <w:tc>
          <w:tcPr>
            <w:tcW w:w="194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HDPE管</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（环刚度大于等于8kN/m²）</w:t>
            </w:r>
          </w:p>
        </w:tc>
        <w:tc>
          <w:tcPr>
            <w:tcW w:w="1593"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DN400～DN800</w:t>
            </w:r>
          </w:p>
        </w:tc>
        <w:tc>
          <w:tcPr>
            <w:tcW w:w="1009"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热熔对接</w:t>
            </w:r>
          </w:p>
        </w:tc>
        <w:tc>
          <w:tcPr>
            <w:tcW w:w="1237" w:type="dxa"/>
            <w:shd w:val="clear" w:color="auto" w:fill="auto"/>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排放管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运输管道</w:t>
            </w:r>
          </w:p>
        </w:tc>
        <w:tc>
          <w:tcPr>
            <w:tcW w:w="1946"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碳钢管</w:t>
            </w:r>
          </w:p>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（加3PE防腐层）</w:t>
            </w:r>
          </w:p>
        </w:tc>
        <w:tc>
          <w:tcPr>
            <w:tcW w:w="1593"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DN800～N1400</w:t>
            </w:r>
          </w:p>
        </w:tc>
        <w:tc>
          <w:tcPr>
            <w:tcW w:w="1009"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电气焊</w:t>
            </w:r>
          </w:p>
        </w:tc>
        <w:tc>
          <w:tcPr>
            <w:tcW w:w="1237" w:type="dxa"/>
            <w:vAlign w:val="center"/>
          </w:tcPr>
          <w:p>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Theme="minorEastAsia" w:hAnsiTheme="minorEastAsia" w:eastAsiaTheme="minorEastAsia" w:cstheme="minorEastAsia"/>
                <w:spacing w:val="8"/>
                <w:sz w:val="18"/>
                <w:szCs w:val="18"/>
                <w:lang w:val="en-US" w:eastAsia="zh-CN"/>
              </w:rPr>
            </w:pPr>
            <w:r>
              <w:rPr>
                <w:rFonts w:hint="eastAsia" w:asciiTheme="minorEastAsia" w:hAnsiTheme="minorEastAsia" w:eastAsiaTheme="minorEastAsia" w:cstheme="minorEastAsia"/>
                <w:spacing w:val="8"/>
                <w:sz w:val="18"/>
                <w:szCs w:val="18"/>
                <w:lang w:val="en-US" w:eastAsia="zh-CN"/>
              </w:rPr>
              <w:t>输水管道</w:t>
            </w:r>
          </w:p>
        </w:tc>
      </w:tr>
    </w:tbl>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ascii="宋体" w:hAnsi="宋体" w:eastAsia="宋体" w:cs="宋体"/>
          <w:b/>
          <w:bCs/>
          <w:spacing w:val="8"/>
          <w:sz w:val="20"/>
          <w:szCs w:val="20"/>
        </w:rPr>
        <w:t>5.1.</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再生水装置</w:t>
      </w:r>
      <w:r>
        <w:rPr>
          <w:rFonts w:ascii="宋体" w:hAnsi="宋体" w:eastAsia="宋体" w:cs="宋体"/>
          <w:snapToGrid w:val="0"/>
          <w:color w:val="000000"/>
          <w:spacing w:val="6"/>
          <w:kern w:val="0"/>
          <w:sz w:val="20"/>
          <w:szCs w:val="20"/>
          <w:lang w:val="en-US" w:eastAsia="zh-CN"/>
        </w:rPr>
        <w:t>金属管道、设备、水下金属部件材料等级不低于SS</w:t>
      </w:r>
      <w:r>
        <w:rPr>
          <w:rFonts w:hint="eastAsia" w:ascii="宋体" w:hAnsi="宋体" w:eastAsia="宋体" w:cs="宋体"/>
          <w:snapToGrid w:val="0"/>
          <w:color w:val="000000"/>
          <w:spacing w:val="6"/>
          <w:kern w:val="0"/>
          <w:sz w:val="20"/>
          <w:szCs w:val="20"/>
          <w:lang w:val="en-US" w:eastAsia="zh-CN"/>
        </w:rPr>
        <w:t>316L（反渗透产水采用SS304 管道除外）</w:t>
      </w:r>
      <w:r>
        <w:rPr>
          <w:rFonts w:ascii="宋体" w:hAnsi="宋体" w:eastAsia="宋体" w:cs="宋体"/>
          <w:snapToGrid w:val="0"/>
          <w:color w:val="000000"/>
          <w:spacing w:val="6"/>
          <w:kern w:val="0"/>
          <w:sz w:val="20"/>
          <w:szCs w:val="20"/>
          <w:lang w:val="en-US" w:eastAsia="zh-CN"/>
        </w:rPr>
        <w:t>，非金属管道、设备采用</w:t>
      </w:r>
      <w:r>
        <w:rPr>
          <w:rFonts w:hint="eastAsia" w:ascii="宋体" w:hAnsi="宋体" w:eastAsia="宋体" w:cs="宋体"/>
          <w:snapToGrid w:val="0"/>
          <w:color w:val="000000"/>
          <w:spacing w:val="6"/>
          <w:kern w:val="0"/>
          <w:sz w:val="20"/>
          <w:szCs w:val="20"/>
          <w:lang w:val="en-US" w:eastAsia="zh-CN"/>
        </w:rPr>
        <w:t>U</w:t>
      </w:r>
      <w:r>
        <w:rPr>
          <w:rFonts w:ascii="宋体" w:hAnsi="宋体" w:eastAsia="宋体" w:cs="宋体"/>
          <w:snapToGrid w:val="0"/>
          <w:color w:val="000000"/>
          <w:spacing w:val="6"/>
          <w:kern w:val="0"/>
          <w:sz w:val="20"/>
          <w:szCs w:val="20"/>
          <w:lang w:val="en-US" w:eastAsia="zh-CN"/>
        </w:rPr>
        <w:t>PVC或PE</w:t>
      </w:r>
      <w:r>
        <w:rPr>
          <w:rFonts w:hint="eastAsia" w:ascii="宋体" w:hAnsi="宋体" w:eastAsia="宋体" w:cs="宋体"/>
          <w:snapToGrid w:val="0"/>
          <w:color w:val="000000"/>
          <w:spacing w:val="6"/>
          <w:kern w:val="0"/>
          <w:sz w:val="20"/>
          <w:szCs w:val="20"/>
          <w:lang w:val="en-US" w:eastAsia="zh-CN"/>
        </w:rPr>
        <w:t>。</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8"/>
          <w:sz w:val="20"/>
          <w:szCs w:val="20"/>
        </w:rPr>
        <w:t>5.1.</w:t>
      </w:r>
      <w:r>
        <w:rPr>
          <w:rFonts w:hint="eastAsia" w:ascii="宋体" w:hAnsi="宋体" w:eastAsia="宋体" w:cs="宋体"/>
          <w:b/>
          <w:bCs/>
          <w:spacing w:val="8"/>
          <w:sz w:val="20"/>
          <w:szCs w:val="20"/>
          <w:lang w:val="en-US" w:eastAsia="zh-CN"/>
        </w:rPr>
        <w:t>3</w:t>
      </w:r>
      <w:r>
        <w:rPr>
          <w:rFonts w:ascii="宋体" w:hAnsi="宋体" w:eastAsia="宋体" w:cs="宋体"/>
          <w:spacing w:val="8"/>
          <w:sz w:val="20"/>
          <w:szCs w:val="20"/>
        </w:rPr>
        <w:t xml:space="preserve"> </w:t>
      </w:r>
      <w:r>
        <w:rPr>
          <w:rFonts w:ascii="宋体" w:hAnsi="宋体" w:eastAsia="宋体" w:cs="宋体"/>
          <w:snapToGrid w:val="0"/>
          <w:color w:val="000000"/>
          <w:spacing w:val="6"/>
          <w:kern w:val="0"/>
          <w:sz w:val="20"/>
          <w:szCs w:val="20"/>
          <w:lang w:val="en-US" w:eastAsia="zh-CN"/>
        </w:rPr>
        <w:t>配备满足工艺自动操作和系统运行的自动阀门</w:t>
      </w:r>
      <w:r>
        <w:rPr>
          <w:rFonts w:hint="eastAsia" w:ascii="宋体" w:hAnsi="宋体" w:eastAsia="宋体" w:cs="宋体"/>
          <w:snapToGrid w:val="0"/>
          <w:color w:val="000000"/>
          <w:spacing w:val="6"/>
          <w:kern w:val="0"/>
          <w:sz w:val="20"/>
          <w:szCs w:val="20"/>
          <w:lang w:val="en-US" w:eastAsia="zh-CN"/>
        </w:rPr>
        <w:t>（气动阀门或电动阀门，根据工艺要求选择）</w:t>
      </w:r>
      <w:r>
        <w:rPr>
          <w:rFonts w:ascii="宋体" w:hAnsi="宋体" w:eastAsia="宋体" w:cs="宋体"/>
          <w:snapToGrid w:val="0"/>
          <w:color w:val="000000"/>
          <w:spacing w:val="6"/>
          <w:kern w:val="0"/>
          <w:sz w:val="20"/>
          <w:szCs w:val="20"/>
          <w:lang w:val="en-US" w:eastAsia="zh-CN"/>
        </w:rPr>
        <w:t>和手动阀</w:t>
      </w:r>
      <w:r>
        <w:rPr>
          <w:rFonts w:hint="eastAsia" w:ascii="宋体" w:hAnsi="宋体" w:eastAsia="宋体" w:cs="宋体"/>
          <w:snapToGrid w:val="0"/>
          <w:color w:val="000000"/>
          <w:spacing w:val="6"/>
          <w:kern w:val="0"/>
          <w:sz w:val="20"/>
          <w:szCs w:val="20"/>
          <w:lang w:val="en-US" w:eastAsia="zh-CN"/>
        </w:rPr>
        <w:t>门。</w:t>
      </w:r>
    </w:p>
    <w:p>
      <w:pPr>
        <w:widowControl/>
        <w:kinsoku w:val="0"/>
        <w:autoSpaceDE w:val="0"/>
        <w:autoSpaceDN w:val="0"/>
        <w:adjustRightInd w:val="0"/>
        <w:snapToGrid w:val="0"/>
        <w:spacing w:before="218" w:line="330" w:lineRule="auto"/>
        <w:ind w:right="34" w:firstLine="4"/>
        <w:jc w:val="left"/>
        <w:textAlignment w:val="baseline"/>
        <w:rPr>
          <w:spacing w:val="6"/>
          <w:sz w:val="20"/>
          <w:szCs w:val="20"/>
        </w:rPr>
      </w:pPr>
      <w:r>
        <w:rPr>
          <w:rFonts w:ascii="宋体" w:hAnsi="宋体" w:eastAsia="宋体" w:cs="宋体"/>
          <w:b/>
          <w:bCs/>
          <w:spacing w:val="8"/>
          <w:sz w:val="20"/>
          <w:szCs w:val="20"/>
        </w:rPr>
        <w:t>5.1.</w:t>
      </w:r>
      <w:r>
        <w:rPr>
          <w:rFonts w:hint="eastAsia" w:ascii="宋体" w:hAnsi="宋体" w:eastAsia="宋体" w:cs="宋体"/>
          <w:b/>
          <w:bCs/>
          <w:spacing w:val="8"/>
          <w:sz w:val="20"/>
          <w:szCs w:val="20"/>
          <w:lang w:val="en-US" w:eastAsia="zh-CN"/>
        </w:rPr>
        <w:t>4</w:t>
      </w:r>
      <w:r>
        <w:rPr>
          <w:rFonts w:ascii="宋体" w:hAnsi="宋体" w:eastAsia="宋体" w:cs="宋体"/>
          <w:spacing w:val="8"/>
          <w:sz w:val="20"/>
          <w:szCs w:val="20"/>
        </w:rPr>
        <w:t xml:space="preserve"> </w:t>
      </w:r>
      <w:r>
        <w:rPr>
          <w:rFonts w:ascii="宋体" w:hAnsi="宋体" w:eastAsia="宋体" w:cs="宋体"/>
          <w:snapToGrid w:val="0"/>
          <w:color w:val="000000"/>
          <w:spacing w:val="6"/>
          <w:kern w:val="0"/>
          <w:sz w:val="20"/>
          <w:szCs w:val="20"/>
          <w:lang w:val="en-US" w:eastAsia="zh-CN"/>
        </w:rPr>
        <w:t>压缩空气管道（仪表气、呼吸气、装置风）材质均为</w:t>
      </w:r>
      <w:r>
        <w:rPr>
          <w:rFonts w:hint="eastAsia" w:ascii="宋体" w:hAnsi="宋体" w:eastAsia="宋体" w:cs="宋体"/>
          <w:snapToGrid w:val="0"/>
          <w:color w:val="000000"/>
          <w:spacing w:val="6"/>
          <w:kern w:val="0"/>
          <w:sz w:val="20"/>
          <w:szCs w:val="20"/>
          <w:lang w:val="en-US" w:eastAsia="zh-CN"/>
        </w:rPr>
        <w:t>SS304</w:t>
      </w:r>
      <w:r>
        <w:rPr>
          <w:rFonts w:ascii="宋体" w:hAnsi="宋体" w:eastAsia="宋体" w:cs="宋体"/>
          <w:snapToGrid w:val="0"/>
          <w:color w:val="000000"/>
          <w:spacing w:val="6"/>
          <w:kern w:val="0"/>
          <w:sz w:val="20"/>
          <w:szCs w:val="20"/>
          <w:lang w:val="en-US" w:eastAsia="zh-CN"/>
        </w:rPr>
        <w:t>不锈钢</w:t>
      </w:r>
      <w:r>
        <w:rPr>
          <w:rFonts w:hint="eastAsia" w:ascii="宋体" w:hAnsi="宋体" w:eastAsia="宋体" w:cs="宋体"/>
          <w:snapToGrid w:val="0"/>
          <w:color w:val="000000"/>
          <w:spacing w:val="6"/>
          <w:kern w:val="0"/>
          <w:sz w:val="20"/>
          <w:szCs w:val="20"/>
          <w:lang w:val="en-US" w:eastAsia="zh-CN"/>
        </w:rPr>
        <w:t>；管道混合器材质采用SS316L的材质。</w:t>
      </w:r>
    </w:p>
    <w:p>
      <w:pPr>
        <w:pStyle w:val="5"/>
        <w:spacing w:before="159" w:line="231" w:lineRule="auto"/>
        <w:jc w:val="center"/>
        <w:outlineLvl w:val="0"/>
        <w:rPr>
          <w:spacing w:val="6"/>
          <w:sz w:val="20"/>
          <w:szCs w:val="20"/>
        </w:rPr>
      </w:pPr>
      <w:bookmarkStart w:id="46" w:name="_Toc14991"/>
      <w:bookmarkStart w:id="47" w:name="_Toc6293"/>
      <w:r>
        <w:rPr>
          <w:spacing w:val="6"/>
          <w:sz w:val="20"/>
          <w:szCs w:val="20"/>
        </w:rPr>
        <w:t xml:space="preserve">5.2 </w:t>
      </w:r>
      <w:r>
        <w:rPr>
          <w:rFonts w:hint="default"/>
          <w:spacing w:val="6"/>
          <w:sz w:val="20"/>
          <w:szCs w:val="20"/>
          <w:lang w:val="en-US" w:eastAsia="en-US"/>
        </w:rPr>
        <w:t>管道安装与试验</w:t>
      </w:r>
      <w:bookmarkEnd w:id="46"/>
      <w:bookmarkEnd w:id="47"/>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eastAsia="en-US"/>
        </w:rPr>
      </w:pPr>
      <w:r>
        <w:rPr>
          <w:rFonts w:ascii="宋体" w:hAnsi="宋体" w:eastAsia="宋体" w:cs="宋体"/>
          <w:b/>
          <w:bCs/>
          <w:spacing w:val="6"/>
          <w:sz w:val="20"/>
          <w:szCs w:val="20"/>
        </w:rPr>
        <w:t>5.2.1</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管道安装前需进行内壁除锈、脱脂处理，不锈钢管道焊接采用惰性气体保护焊，焊缝需进行渗透检测（PT），合格率100%。</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eastAsia="en-US"/>
        </w:rPr>
      </w:pPr>
      <w:r>
        <w:rPr>
          <w:rFonts w:ascii="宋体" w:hAnsi="宋体" w:eastAsia="宋体" w:cs="宋体"/>
          <w:b/>
          <w:bCs/>
          <w:spacing w:val="6"/>
          <w:sz w:val="20"/>
          <w:szCs w:val="20"/>
        </w:rPr>
        <w:t>5.2.</w:t>
      </w:r>
      <w:r>
        <w:rPr>
          <w:rFonts w:hint="eastAsia" w:ascii="宋体" w:hAnsi="宋体" w:eastAsia="宋体" w:cs="宋体"/>
          <w:b/>
          <w:bCs/>
          <w:spacing w:val="6"/>
          <w:sz w:val="20"/>
          <w:szCs w:val="20"/>
          <w:lang w:val="en-US" w:eastAsia="zh-CN"/>
        </w:rPr>
        <w:t>2</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管道坡度设置符合以下要求：污水管坡度</w:t>
      </w:r>
      <w:r>
        <w:rPr>
          <w:rFonts w:hint="eastAsia" w:ascii="宋体" w:hAnsi="宋体" w:eastAsia="宋体" w:cs="宋体"/>
          <w:snapToGrid w:val="0"/>
          <w:color w:val="000000"/>
          <w:spacing w:val="6"/>
          <w:kern w:val="0"/>
          <w:sz w:val="20"/>
          <w:szCs w:val="20"/>
          <w:lang w:val="en-US" w:eastAsia="zh-CN"/>
        </w:rPr>
        <w:t>大于等于</w:t>
      </w:r>
      <w:r>
        <w:rPr>
          <w:rFonts w:ascii="宋体" w:hAnsi="宋体" w:eastAsia="宋体" w:cs="宋体"/>
          <w:snapToGrid w:val="0"/>
          <w:color w:val="000000"/>
          <w:spacing w:val="6"/>
          <w:kern w:val="0"/>
          <w:sz w:val="20"/>
          <w:szCs w:val="20"/>
          <w:lang w:val="en-US" w:eastAsia="zh-CN"/>
        </w:rPr>
        <w:t>3‰，再生水管坡度</w:t>
      </w:r>
      <w:r>
        <w:rPr>
          <w:rFonts w:hint="eastAsia" w:ascii="宋体" w:hAnsi="宋体" w:eastAsia="宋体" w:cs="宋体"/>
          <w:snapToGrid w:val="0"/>
          <w:color w:val="000000"/>
          <w:spacing w:val="6"/>
          <w:kern w:val="0"/>
          <w:sz w:val="20"/>
          <w:szCs w:val="20"/>
          <w:lang w:val="en-US" w:eastAsia="zh-CN"/>
        </w:rPr>
        <w:t>大于等于</w:t>
      </w:r>
      <w:r>
        <w:rPr>
          <w:rFonts w:ascii="宋体" w:hAnsi="宋体" w:eastAsia="宋体" w:cs="宋体"/>
          <w:snapToGrid w:val="0"/>
          <w:color w:val="000000"/>
          <w:spacing w:val="6"/>
          <w:kern w:val="0"/>
          <w:sz w:val="20"/>
          <w:szCs w:val="20"/>
          <w:lang w:val="en-US" w:eastAsia="zh-CN"/>
        </w:rPr>
        <w:t>2‰，确保无积水。</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5.2.</w:t>
      </w:r>
      <w:r>
        <w:rPr>
          <w:rFonts w:hint="eastAsia" w:ascii="宋体" w:hAnsi="宋体" w:eastAsia="宋体" w:cs="宋体"/>
          <w:b/>
          <w:bCs/>
          <w:spacing w:val="6"/>
          <w:sz w:val="20"/>
          <w:szCs w:val="20"/>
          <w:lang w:val="en-US" w:eastAsia="zh-CN"/>
        </w:rPr>
        <w:t>3</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压力管道安装完成后进行水压试验，试验压力为设计压力的1.5倍，保压30min，压降</w:t>
      </w:r>
      <w:r>
        <w:rPr>
          <w:rFonts w:hint="eastAsia" w:ascii="宋体" w:hAnsi="宋体" w:eastAsia="宋体" w:cs="宋体"/>
          <w:snapToGrid w:val="0"/>
          <w:color w:val="000000"/>
          <w:spacing w:val="6"/>
          <w:kern w:val="0"/>
          <w:sz w:val="20"/>
          <w:szCs w:val="20"/>
          <w:lang w:val="en-US" w:eastAsia="zh-CN"/>
        </w:rPr>
        <w:t>小于等于</w:t>
      </w:r>
      <w:r>
        <w:rPr>
          <w:rFonts w:ascii="宋体" w:hAnsi="宋体" w:eastAsia="宋体" w:cs="宋体"/>
          <w:snapToGrid w:val="0"/>
          <w:color w:val="000000"/>
          <w:spacing w:val="6"/>
          <w:kern w:val="0"/>
          <w:sz w:val="20"/>
          <w:szCs w:val="20"/>
          <w:lang w:val="en-US" w:eastAsia="zh-CN"/>
        </w:rPr>
        <w:t>0.05MPa为合格；无压管道进行闭水试验，闭水高度为管道内径的2/3，保水12h，渗漏量</w:t>
      </w:r>
      <w:r>
        <w:rPr>
          <w:rFonts w:hint="eastAsia" w:ascii="宋体" w:hAnsi="宋体" w:eastAsia="宋体" w:cs="宋体"/>
          <w:snapToGrid w:val="0"/>
          <w:color w:val="000000"/>
          <w:spacing w:val="6"/>
          <w:kern w:val="0"/>
          <w:sz w:val="20"/>
          <w:szCs w:val="20"/>
          <w:lang w:val="en-US" w:eastAsia="zh-CN"/>
        </w:rPr>
        <w:t>小于等于</w:t>
      </w:r>
      <w:r>
        <w:rPr>
          <w:rFonts w:ascii="宋体" w:hAnsi="宋体" w:eastAsia="宋体" w:cs="宋体"/>
          <w:snapToGrid w:val="0"/>
          <w:color w:val="000000"/>
          <w:spacing w:val="6"/>
          <w:kern w:val="0"/>
          <w:sz w:val="20"/>
          <w:szCs w:val="20"/>
          <w:lang w:val="en-US" w:eastAsia="zh-CN"/>
        </w:rPr>
        <w:t>0.01L/</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m・min</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5.2.</w:t>
      </w:r>
      <w:r>
        <w:rPr>
          <w:rFonts w:hint="eastAsia" w:ascii="宋体" w:hAnsi="宋体" w:eastAsia="宋体" w:cs="宋体"/>
          <w:b/>
          <w:bCs/>
          <w:spacing w:val="6"/>
          <w:sz w:val="20"/>
          <w:szCs w:val="20"/>
          <w:lang w:val="en-US" w:eastAsia="zh-CN"/>
        </w:rPr>
        <w:t>4</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管沟、管线间的距离</w:t>
      </w:r>
      <w:r>
        <w:rPr>
          <w:rFonts w:hint="eastAsia" w:ascii="宋体" w:hAnsi="宋体" w:eastAsia="宋体" w:cs="宋体"/>
          <w:snapToGrid w:val="0"/>
          <w:color w:val="000000"/>
          <w:spacing w:val="6"/>
          <w:kern w:val="0"/>
          <w:sz w:val="20"/>
          <w:szCs w:val="20"/>
          <w:lang w:val="en-US" w:eastAsia="zh-CN"/>
        </w:rPr>
        <w:t>综合</w:t>
      </w:r>
      <w:r>
        <w:rPr>
          <w:rFonts w:ascii="宋体" w:hAnsi="宋体" w:eastAsia="宋体" w:cs="宋体"/>
          <w:snapToGrid w:val="0"/>
          <w:color w:val="000000"/>
          <w:spacing w:val="6"/>
          <w:kern w:val="0"/>
          <w:sz w:val="20"/>
          <w:szCs w:val="20"/>
          <w:lang w:val="en-US" w:eastAsia="zh-CN"/>
        </w:rPr>
        <w:t>考虑各种因素</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管道与墙、梁、柱及设备之间的净空距离不小于100mm</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管沟内管道间距，不小于150mm</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不保温的管道，至沟底的净空距离不小于200mm</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保温的管道，管底距沟底净空不小于300mm。</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b/>
          <w:bCs/>
          <w:spacing w:val="6"/>
          <w:sz w:val="20"/>
          <w:szCs w:val="20"/>
        </w:rPr>
        <w:t>5.2.</w:t>
      </w:r>
      <w:r>
        <w:rPr>
          <w:rFonts w:hint="eastAsia" w:ascii="宋体" w:hAnsi="宋体" w:eastAsia="宋体" w:cs="宋体"/>
          <w:b/>
          <w:bCs/>
          <w:spacing w:val="6"/>
          <w:sz w:val="20"/>
          <w:szCs w:val="20"/>
          <w:lang w:val="en-US" w:eastAsia="zh-CN"/>
        </w:rPr>
        <w:t>5</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管道涂漆设计规定</w:t>
      </w:r>
    </w:p>
    <w:p>
      <w:pPr>
        <w:widowControl/>
        <w:kinsoku w:val="0"/>
        <w:autoSpaceDE w:val="0"/>
        <w:autoSpaceDN w:val="0"/>
        <w:adjustRightInd w:val="0"/>
        <w:snapToGrid w:val="0"/>
        <w:spacing w:before="218" w:line="330" w:lineRule="auto"/>
        <w:ind w:right="34" w:firstLine="424" w:firstLineChars="20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 xml:space="preserve">1 </w:t>
      </w:r>
      <w:r>
        <w:rPr>
          <w:rFonts w:ascii="宋体" w:hAnsi="宋体" w:eastAsia="宋体" w:cs="宋体"/>
          <w:snapToGrid w:val="0"/>
          <w:color w:val="000000"/>
          <w:spacing w:val="6"/>
          <w:kern w:val="0"/>
          <w:sz w:val="20"/>
          <w:szCs w:val="20"/>
          <w:lang w:val="en-US" w:eastAsia="zh-CN"/>
        </w:rPr>
        <w:t>下列情况必须按不同要求进行外部油漆：</w:t>
      </w:r>
    </w:p>
    <w:p>
      <w:pPr>
        <w:widowControl/>
        <w:kinsoku w:val="0"/>
        <w:autoSpaceDE w:val="0"/>
        <w:autoSpaceDN w:val="0"/>
        <w:adjustRightInd w:val="0"/>
        <w:snapToGrid w:val="0"/>
        <w:spacing w:before="218" w:line="330" w:lineRule="auto"/>
        <w:ind w:right="34" w:firstLine="636" w:firstLineChars="30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（1）</w:t>
      </w:r>
      <w:r>
        <w:rPr>
          <w:rFonts w:ascii="宋体" w:hAnsi="宋体" w:eastAsia="宋体" w:cs="宋体"/>
          <w:snapToGrid w:val="0"/>
          <w:color w:val="000000"/>
          <w:spacing w:val="6"/>
          <w:kern w:val="0"/>
          <w:sz w:val="20"/>
          <w:szCs w:val="20"/>
          <w:lang w:val="en-US" w:eastAsia="zh-CN"/>
        </w:rPr>
        <w:t>不保温的设备、管道及其附件；</w:t>
      </w:r>
    </w:p>
    <w:p>
      <w:pPr>
        <w:widowControl/>
        <w:kinsoku w:val="0"/>
        <w:autoSpaceDE w:val="0"/>
        <w:autoSpaceDN w:val="0"/>
        <w:adjustRightInd w:val="0"/>
        <w:snapToGrid w:val="0"/>
        <w:spacing w:before="218" w:line="330" w:lineRule="auto"/>
        <w:ind w:right="34" w:firstLine="636" w:firstLineChars="30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（2）</w:t>
      </w:r>
      <w:r>
        <w:rPr>
          <w:rFonts w:ascii="宋体" w:hAnsi="宋体" w:eastAsia="宋体" w:cs="宋体"/>
          <w:snapToGrid w:val="0"/>
          <w:color w:val="000000"/>
          <w:spacing w:val="6"/>
          <w:kern w:val="0"/>
          <w:sz w:val="20"/>
          <w:szCs w:val="20"/>
          <w:lang w:val="en-US" w:eastAsia="zh-CN"/>
        </w:rPr>
        <w:t>介质温度低于120℃的保温设备、管道及其附件；</w:t>
      </w:r>
    </w:p>
    <w:p>
      <w:pPr>
        <w:widowControl/>
        <w:kinsoku w:val="0"/>
        <w:autoSpaceDE w:val="0"/>
        <w:autoSpaceDN w:val="0"/>
        <w:adjustRightInd w:val="0"/>
        <w:snapToGrid w:val="0"/>
        <w:spacing w:before="218" w:line="330" w:lineRule="auto"/>
        <w:ind w:right="34" w:firstLine="636" w:firstLineChars="30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（3）</w:t>
      </w:r>
      <w:r>
        <w:rPr>
          <w:rFonts w:ascii="宋体" w:hAnsi="宋体" w:eastAsia="宋体" w:cs="宋体"/>
          <w:snapToGrid w:val="0"/>
          <w:color w:val="000000"/>
          <w:spacing w:val="6"/>
          <w:kern w:val="0"/>
          <w:sz w:val="20"/>
          <w:szCs w:val="20"/>
          <w:lang w:val="en-US" w:eastAsia="zh-CN"/>
        </w:rPr>
        <w:t>支吊架、平台扶梯等（现场制作部分）。</w:t>
      </w:r>
    </w:p>
    <w:p>
      <w:pPr>
        <w:widowControl/>
        <w:kinsoku w:val="0"/>
        <w:autoSpaceDE w:val="0"/>
        <w:autoSpaceDN w:val="0"/>
        <w:adjustRightInd w:val="0"/>
        <w:snapToGrid w:val="0"/>
        <w:spacing w:before="218" w:line="330" w:lineRule="auto"/>
        <w:ind w:right="34" w:firstLine="424" w:firstLineChars="20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 xml:space="preserve">2 </w:t>
      </w:r>
      <w:r>
        <w:rPr>
          <w:rFonts w:ascii="宋体" w:hAnsi="宋体" w:eastAsia="宋体" w:cs="宋体"/>
          <w:snapToGrid w:val="0"/>
          <w:color w:val="000000"/>
          <w:spacing w:val="6"/>
          <w:kern w:val="0"/>
          <w:sz w:val="20"/>
          <w:szCs w:val="20"/>
          <w:lang w:val="en-US" w:eastAsia="zh-CN"/>
        </w:rPr>
        <w:t>不保温的设备和管道根据防腐工艺要求和油漆的性能选用油漆，选用的油漆种类、颜色和涂刷度数符合下列规定：</w:t>
      </w:r>
    </w:p>
    <w:p>
      <w:pPr>
        <w:widowControl/>
        <w:kinsoku w:val="0"/>
        <w:autoSpaceDE w:val="0"/>
        <w:autoSpaceDN w:val="0"/>
        <w:adjustRightInd w:val="0"/>
        <w:snapToGrid w:val="0"/>
        <w:spacing w:before="218" w:line="330" w:lineRule="auto"/>
        <w:ind w:left="638" w:leftChars="304" w:right="34" w:firstLine="0" w:firstLineChars="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（1）</w:t>
      </w:r>
      <w:r>
        <w:rPr>
          <w:rFonts w:ascii="宋体" w:hAnsi="宋体" w:eastAsia="宋体" w:cs="宋体"/>
          <w:snapToGrid w:val="0"/>
          <w:color w:val="000000"/>
          <w:spacing w:val="6"/>
          <w:kern w:val="0"/>
          <w:sz w:val="20"/>
          <w:szCs w:val="20"/>
          <w:lang w:val="en-US" w:eastAsia="zh-CN"/>
        </w:rPr>
        <w:t>室内布置的设备和管道，宜先涂刷2度防锈漆，再涂刷1～2度油性调和漆；室外布置的设备和汽水管道，宜先涂刷2度环氧底漆，再涂刷2度醇酸磁漆；室外布置的气体管道，宜先涂刷2度云母氧化铁酚醛底漆，再涂刷2度云母氧化铁面漆；</w:t>
      </w:r>
    </w:p>
    <w:p>
      <w:pPr>
        <w:widowControl/>
        <w:kinsoku w:val="0"/>
        <w:autoSpaceDE w:val="0"/>
        <w:autoSpaceDN w:val="0"/>
        <w:adjustRightInd w:val="0"/>
        <w:snapToGrid w:val="0"/>
        <w:spacing w:before="218" w:line="330" w:lineRule="auto"/>
        <w:ind w:left="638" w:leftChars="304" w:right="34" w:firstLine="0" w:firstLineChars="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（2）管沟中的管道，宜先涂刷2度防锈漆，再涂刷2度环氧沥青漆；</w:t>
      </w:r>
    </w:p>
    <w:p>
      <w:pPr>
        <w:widowControl/>
        <w:kinsoku w:val="0"/>
        <w:autoSpaceDE w:val="0"/>
        <w:autoSpaceDN w:val="0"/>
        <w:adjustRightInd w:val="0"/>
        <w:snapToGrid w:val="0"/>
        <w:spacing w:before="218" w:line="330" w:lineRule="auto"/>
        <w:ind w:left="638" w:leftChars="304" w:right="34" w:firstLine="0" w:firstLineChars="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（3）水管等先涂刷2度防锈漆，再涂刷2度沥青漆。</w:t>
      </w:r>
    </w:p>
    <w:p>
      <w:pPr>
        <w:widowControl/>
        <w:kinsoku w:val="0"/>
        <w:autoSpaceDE w:val="0"/>
        <w:autoSpaceDN w:val="0"/>
        <w:adjustRightInd w:val="0"/>
        <w:snapToGrid w:val="0"/>
        <w:spacing w:before="218" w:line="330" w:lineRule="auto"/>
        <w:ind w:left="638" w:leftChars="304" w:right="34" w:firstLine="0" w:firstLineChars="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（4）当介质温度低于120℃时，保温的设备和管道的表面涂刷2度防锈漆。</w:t>
      </w:r>
    </w:p>
    <w:p>
      <w:pPr>
        <w:widowControl/>
        <w:kinsoku w:val="0"/>
        <w:autoSpaceDE w:val="0"/>
        <w:autoSpaceDN w:val="0"/>
        <w:adjustRightInd w:val="0"/>
        <w:snapToGrid w:val="0"/>
        <w:spacing w:before="218" w:line="330" w:lineRule="auto"/>
        <w:ind w:left="638" w:leftChars="304" w:right="34" w:firstLine="0" w:firstLineChars="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5）现场制作的支吊架，先涂刷2度防锈漆，再涂刷1～2度银灰色调和漆。室内的钢制平台扶梯，先涂刷2度防锈漆，再涂刷1～2度银灰色调和漆；室外的钢制平台扶梯，先涂刷2度云母氧化铁酚酞底漆，再涂刷2度氧化铁面漆。</w:t>
      </w:r>
    </w:p>
    <w:p>
      <w:pPr>
        <w:spacing w:before="221" w:line="330" w:lineRule="auto"/>
        <w:rPr>
          <w:rFonts w:ascii="宋体" w:hAnsi="宋体" w:eastAsia="宋体" w:cs="宋体"/>
          <w:sz w:val="20"/>
          <w:szCs w:val="20"/>
        </w:rPr>
      </w:pPr>
    </w:p>
    <w:p>
      <w:pPr>
        <w:spacing w:line="330" w:lineRule="auto"/>
        <w:rPr>
          <w:rFonts w:ascii="宋体" w:hAnsi="宋体" w:eastAsia="宋体" w:cs="宋体"/>
          <w:sz w:val="20"/>
          <w:szCs w:val="20"/>
        </w:rPr>
        <w:sectPr>
          <w:headerReference r:id="rId9" w:type="default"/>
          <w:footerReference r:id="rId10" w:type="default"/>
          <w:pgSz w:w="7938" w:h="11510"/>
          <w:pgMar w:top="400" w:right="965" w:bottom="894" w:left="972" w:header="0" w:footer="732" w:gutter="0"/>
          <w:pgNumType w:fmt="decimal"/>
          <w:cols w:space="720" w:num="1"/>
        </w:sectPr>
      </w:pPr>
    </w:p>
    <w:p>
      <w:pPr>
        <w:spacing w:before="91" w:line="220" w:lineRule="auto"/>
        <w:jc w:val="center"/>
        <w:outlineLvl w:val="0"/>
        <w:rPr>
          <w:rFonts w:ascii="宋体" w:hAnsi="宋体" w:eastAsia="宋体" w:cs="宋体"/>
          <w:sz w:val="28"/>
          <w:szCs w:val="28"/>
        </w:rPr>
      </w:pPr>
      <w:bookmarkStart w:id="48" w:name="_Toc20239"/>
      <w:bookmarkStart w:id="49" w:name="_Toc31362"/>
      <w:r>
        <w:rPr>
          <w:rFonts w:hint="eastAsia" w:ascii="Times New Roman" w:hAnsi="Times New Roman" w:eastAsia="宋体" w:cs="Times New Roman"/>
          <w:b/>
          <w:bCs/>
          <w:spacing w:val="-8"/>
          <w:sz w:val="28"/>
          <w:szCs w:val="28"/>
          <w:lang w:val="en-US" w:eastAsia="zh-CN"/>
        </w:rPr>
        <w:t>6</w:t>
      </w:r>
      <w:r>
        <w:rPr>
          <w:rFonts w:ascii="Times New Roman" w:hAnsi="Times New Roman" w:eastAsia="Times New Roman" w:cs="Times New Roman"/>
          <w:b/>
          <w:bCs/>
          <w:spacing w:val="10"/>
          <w:sz w:val="28"/>
          <w:szCs w:val="28"/>
        </w:rPr>
        <w:t xml:space="preserve">  </w:t>
      </w:r>
      <w:r>
        <w:rPr>
          <w:rFonts w:hint="default" w:ascii="宋体" w:hAnsi="宋体" w:eastAsia="宋体" w:cs="宋体"/>
          <w:b/>
          <w:bCs/>
          <w:snapToGrid w:val="0"/>
          <w:color w:val="000000"/>
          <w:spacing w:val="-8"/>
          <w:kern w:val="0"/>
          <w:sz w:val="28"/>
          <w:szCs w:val="28"/>
          <w:lang w:val="en-US" w:eastAsia="en-US" w:bidi="ar-SA"/>
        </w:rPr>
        <w:t>核心工艺系统设计参数</w:t>
      </w:r>
      <w:bookmarkEnd w:id="48"/>
      <w:bookmarkEnd w:id="49"/>
    </w:p>
    <w:p>
      <w:pPr>
        <w:pStyle w:val="5"/>
        <w:spacing w:before="159" w:line="231" w:lineRule="auto"/>
        <w:jc w:val="center"/>
        <w:outlineLvl w:val="0"/>
        <w:rPr>
          <w:sz w:val="20"/>
          <w:szCs w:val="20"/>
        </w:rPr>
      </w:pPr>
      <w:bookmarkStart w:id="50" w:name="_Toc20272"/>
      <w:bookmarkStart w:id="51" w:name="_Toc31861"/>
      <w:r>
        <w:rPr>
          <w:rFonts w:hint="eastAsia"/>
          <w:spacing w:val="6"/>
          <w:sz w:val="20"/>
          <w:szCs w:val="20"/>
          <w:lang w:val="en-US" w:eastAsia="zh-CN"/>
        </w:rPr>
        <w:t>6</w:t>
      </w:r>
      <w:r>
        <w:rPr>
          <w:spacing w:val="6"/>
          <w:sz w:val="20"/>
          <w:szCs w:val="20"/>
        </w:rPr>
        <w:t xml:space="preserve">.1  </w:t>
      </w:r>
      <w:r>
        <w:rPr>
          <w:rFonts w:hint="default"/>
          <w:spacing w:val="6"/>
          <w:sz w:val="20"/>
          <w:szCs w:val="20"/>
          <w:lang w:val="en-US" w:eastAsia="en-US"/>
        </w:rPr>
        <w:t>总工艺流程</w:t>
      </w:r>
      <w:bookmarkEnd w:id="50"/>
      <w:bookmarkEnd w:id="51"/>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8"/>
          <w:kern w:val="0"/>
          <w:sz w:val="20"/>
          <w:szCs w:val="20"/>
          <w:lang w:val="en-US" w:eastAsia="zh-CN"/>
        </w:rPr>
      </w:pPr>
      <w:r>
        <w:rPr>
          <w:rFonts w:hint="eastAsia" w:ascii="宋体" w:hAnsi="宋体" w:eastAsia="宋体" w:cs="宋体"/>
          <w:b/>
          <w:bCs/>
          <w:spacing w:val="8"/>
          <w:sz w:val="20"/>
          <w:szCs w:val="20"/>
          <w:lang w:val="en-US" w:eastAsia="zh-CN"/>
        </w:rPr>
        <w:t>6</w:t>
      </w:r>
      <w:r>
        <w:rPr>
          <w:rFonts w:ascii="宋体" w:hAnsi="宋体" w:eastAsia="宋体" w:cs="宋体"/>
          <w:b/>
          <w:bCs/>
          <w:spacing w:val="8"/>
          <w:sz w:val="20"/>
          <w:szCs w:val="20"/>
        </w:rPr>
        <w:t>.1.1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采用“预处理单元+双膜核心单元”的组合工艺，典型流程如图6.1.1所示。</w:t>
      </w:r>
    </w:p>
    <w:p>
      <w:pPr>
        <w:widowControl/>
        <w:kinsoku w:val="0"/>
        <w:autoSpaceDE w:val="0"/>
        <w:autoSpaceDN w:val="0"/>
        <w:adjustRightInd w:val="0"/>
        <w:snapToGrid w:val="0"/>
        <w:spacing w:before="219" w:line="228" w:lineRule="auto"/>
        <w:ind w:left="5"/>
        <w:jc w:val="center"/>
        <w:textAlignment w:val="baseline"/>
        <w:rPr>
          <w:rFonts w:hint="eastAsia" w:ascii="Arial" w:hAnsi="Arial" w:eastAsia="等线" w:cs="Arial"/>
          <w:sz w:val="22"/>
          <w:lang w:eastAsia="zh-CN"/>
        </w:rPr>
      </w:pPr>
      <w:r>
        <w:rPr>
          <w:rFonts w:hint="eastAsia" w:ascii="Arial" w:hAnsi="Arial" w:eastAsia="等线" w:cs="Arial"/>
          <w:sz w:val="22"/>
          <w:lang w:eastAsia="zh-CN"/>
        </w:rPr>
        <w:drawing>
          <wp:inline distT="0" distB="0" distL="114300" distR="114300">
            <wp:extent cx="3860165" cy="1172845"/>
            <wp:effectExtent l="0" t="0" r="0" b="0"/>
            <wp:docPr id="3" name="ECB019B1-382A-4266-B25C-5B523AA43C14-1" descr="C:/Users/Lenovo/AppData/Local/Temp/wps.EBvRrY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CB019B1-382A-4266-B25C-5B523AA43C14-1" descr="C:/Users/Lenovo/AppData/Local/Temp/wps.EBvRrYwps"/>
                    <pic:cNvPicPr>
                      <a:picLocks noChangeAspect="1"/>
                    </pic:cNvPicPr>
                  </pic:nvPicPr>
                  <pic:blipFill>
                    <a:blip r:embed="rId28"/>
                    <a:stretch>
                      <a:fillRect/>
                    </a:stretch>
                  </pic:blipFill>
                  <pic:spPr>
                    <a:xfrm>
                      <a:off x="0" y="0"/>
                      <a:ext cx="3860165" cy="1172845"/>
                    </a:xfrm>
                    <a:prstGeom prst="rect">
                      <a:avLst/>
                    </a:prstGeom>
                  </pic:spPr>
                </pic:pic>
              </a:graphicData>
            </a:graphic>
          </wp:inline>
        </w:drawing>
      </w:r>
    </w:p>
    <w:p>
      <w:pPr>
        <w:pStyle w:val="4"/>
        <w:widowControl/>
        <w:kinsoku w:val="0"/>
        <w:autoSpaceDE w:val="0"/>
        <w:autoSpaceDN w:val="0"/>
        <w:adjustRightInd w:val="0"/>
        <w:snapToGrid w:val="0"/>
        <w:spacing w:before="219" w:line="228" w:lineRule="auto"/>
        <w:ind w:left="5"/>
        <w:jc w:val="center"/>
        <w:textAlignment w:val="baseline"/>
        <w:rPr>
          <w:rFonts w:hint="default" w:ascii="Arial" w:hAnsi="Arial" w:eastAsia="黑体" w:cs="Arial"/>
          <w:sz w:val="22"/>
          <w:lang w:val="en-US" w:eastAsia="zh-CN"/>
        </w:rPr>
      </w:pPr>
      <w:r>
        <w:t xml:space="preserve">图 </w:t>
      </w:r>
      <w:r>
        <w:rPr>
          <w:rFonts w:hint="eastAsia"/>
          <w:lang w:val="en-US" w:eastAsia="zh-CN"/>
        </w:rPr>
        <w:t>6.1.1 工艺流程图</w:t>
      </w:r>
    </w:p>
    <w:p>
      <w:pPr>
        <w:pStyle w:val="5"/>
        <w:spacing w:before="159" w:line="231" w:lineRule="auto"/>
        <w:jc w:val="center"/>
        <w:outlineLvl w:val="0"/>
        <w:rPr>
          <w:rFonts w:hint="eastAsia"/>
          <w:spacing w:val="6"/>
          <w:sz w:val="20"/>
          <w:szCs w:val="20"/>
          <w:lang w:val="en-US" w:eastAsia="zh-CN"/>
        </w:rPr>
      </w:pPr>
      <w:bookmarkStart w:id="52" w:name="_Toc23007"/>
      <w:bookmarkStart w:id="53" w:name="_Toc17117"/>
      <w:r>
        <w:rPr>
          <w:rFonts w:hint="eastAsia"/>
          <w:spacing w:val="6"/>
          <w:sz w:val="20"/>
          <w:szCs w:val="20"/>
          <w:lang w:val="en-US" w:eastAsia="zh-CN"/>
        </w:rPr>
        <w:t xml:space="preserve">6.2 </w:t>
      </w:r>
      <w:r>
        <w:rPr>
          <w:rFonts w:hint="default"/>
          <w:spacing w:val="6"/>
          <w:sz w:val="20"/>
          <w:szCs w:val="20"/>
          <w:lang w:val="en-US" w:eastAsia="en-US"/>
        </w:rPr>
        <w:t>预处理系统</w:t>
      </w:r>
      <w:bookmarkEnd w:id="52"/>
      <w:bookmarkEnd w:id="53"/>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.2.1</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膜格栅/自清洗过滤器：过滤精度200μm</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1mm。</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.2.</w:t>
      </w:r>
      <w:r>
        <w:rPr>
          <w:rFonts w:hint="eastAsia" w:ascii="宋体" w:hAnsi="宋体" w:eastAsia="宋体" w:cs="宋体"/>
          <w:b/>
          <w:bCs/>
          <w:spacing w:val="6"/>
          <w:sz w:val="20"/>
          <w:szCs w:val="20"/>
          <w:lang w:val="en-US" w:eastAsia="zh-CN"/>
        </w:rPr>
        <w:t>2</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膜格栅系统由内进流式孔板格栅及其附属的清洗泵组成，用于过滤水中大于1mm的杂质</w:t>
      </w:r>
      <w:r>
        <w:rPr>
          <w:rFonts w:hint="eastAsia" w:ascii="宋体" w:hAnsi="宋体" w:eastAsia="宋体" w:cs="宋体"/>
          <w:snapToGrid w:val="0"/>
          <w:color w:val="000000"/>
          <w:spacing w:val="6"/>
          <w:kern w:val="0"/>
          <w:sz w:val="20"/>
          <w:szCs w:val="20"/>
          <w:lang w:val="en-US" w:eastAsia="zh-CN"/>
        </w:rPr>
        <w:t>。</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.2.</w:t>
      </w:r>
      <w:r>
        <w:rPr>
          <w:rFonts w:hint="eastAsia" w:ascii="宋体" w:hAnsi="宋体" w:eastAsia="宋体" w:cs="宋体"/>
          <w:b/>
          <w:bCs/>
          <w:spacing w:val="6"/>
          <w:sz w:val="20"/>
          <w:szCs w:val="20"/>
          <w:lang w:val="en-US" w:eastAsia="zh-CN"/>
        </w:rPr>
        <w:t>3</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刷式自清洗过滤器用于过滤水中大于200μm的杂质。</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.2.</w:t>
      </w:r>
      <w:r>
        <w:rPr>
          <w:rFonts w:hint="eastAsia" w:ascii="宋体" w:hAnsi="宋体" w:eastAsia="宋体" w:cs="宋体"/>
          <w:b/>
          <w:bCs/>
          <w:spacing w:val="6"/>
          <w:sz w:val="20"/>
          <w:szCs w:val="20"/>
          <w:lang w:val="en-US" w:eastAsia="zh-CN"/>
        </w:rPr>
        <w:t>4</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预处理系统依据进、出口压差或由时间控制器调节进行自动清洗。运行滤速选择应保证系统有合适较低的阻力降。结构应满足方便检修要求。预处理系统宜采用水反冲洗方式，反洗周</w:t>
      </w:r>
      <w:r>
        <w:rPr>
          <w:rFonts w:hint="eastAsia" w:ascii="宋体" w:hAnsi="宋体" w:eastAsia="宋体" w:cs="宋体"/>
          <w:spacing w:val="6"/>
          <w:sz w:val="20"/>
          <w:szCs w:val="20"/>
          <w:lang w:val="en-US" w:eastAsia="zh-CN"/>
        </w:rPr>
        <w:t>期宜为6h～18h。</w:t>
      </w:r>
    </w:p>
    <w:p>
      <w:pPr>
        <w:pStyle w:val="5"/>
        <w:spacing w:before="159" w:line="231" w:lineRule="auto"/>
        <w:jc w:val="center"/>
        <w:outlineLvl w:val="0"/>
        <w:rPr>
          <w:rFonts w:hint="eastAsia"/>
          <w:spacing w:val="6"/>
          <w:sz w:val="20"/>
          <w:szCs w:val="20"/>
          <w:lang w:val="en-US" w:eastAsia="zh-CN"/>
        </w:rPr>
      </w:pPr>
      <w:bookmarkStart w:id="54" w:name="_Toc3283"/>
      <w:bookmarkStart w:id="55" w:name="_Toc142"/>
      <w:r>
        <w:rPr>
          <w:rFonts w:hint="eastAsia"/>
          <w:spacing w:val="6"/>
          <w:sz w:val="20"/>
          <w:szCs w:val="20"/>
          <w:lang w:val="en-US" w:eastAsia="zh-CN"/>
        </w:rPr>
        <w:t>6.3 进水水质要求</w:t>
      </w:r>
      <w:bookmarkEnd w:id="54"/>
      <w:bookmarkEnd w:id="55"/>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3</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1</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高品质</w:t>
      </w:r>
      <w:r>
        <w:rPr>
          <w:rFonts w:hint="default" w:ascii="宋体" w:hAnsi="宋体" w:eastAsia="宋体" w:cs="宋体"/>
          <w:spacing w:val="6"/>
          <w:sz w:val="20"/>
          <w:szCs w:val="20"/>
          <w:lang w:val="en-US" w:eastAsia="zh-CN"/>
        </w:rPr>
        <w:t>再生水厂进水采用城市污水处理厂</w:t>
      </w:r>
      <w:r>
        <w:rPr>
          <w:rFonts w:hint="eastAsia" w:ascii="宋体" w:hAnsi="宋体" w:eastAsia="宋体" w:cs="宋体"/>
          <w:spacing w:val="6"/>
          <w:sz w:val="20"/>
          <w:szCs w:val="20"/>
          <w:lang w:val="en-US" w:eastAsia="zh-CN"/>
        </w:rPr>
        <w:t>一</w:t>
      </w:r>
      <w:r>
        <w:rPr>
          <w:rFonts w:hint="default" w:ascii="宋体" w:hAnsi="宋体" w:eastAsia="宋体" w:cs="宋体"/>
          <w:spacing w:val="6"/>
          <w:sz w:val="20"/>
          <w:szCs w:val="20"/>
          <w:lang w:val="en-US" w:eastAsia="zh-CN"/>
        </w:rPr>
        <w:t>级</w:t>
      </w:r>
      <w:r>
        <w:rPr>
          <w:rFonts w:hint="eastAsia" w:ascii="宋体" w:hAnsi="宋体" w:eastAsia="宋体" w:cs="宋体"/>
          <w:spacing w:val="6"/>
          <w:sz w:val="20"/>
          <w:szCs w:val="20"/>
          <w:lang w:val="en-US" w:eastAsia="zh-CN"/>
        </w:rPr>
        <w:t>A类</w:t>
      </w:r>
      <w:r>
        <w:rPr>
          <w:rFonts w:hint="default" w:ascii="宋体" w:hAnsi="宋体" w:eastAsia="宋体" w:cs="宋体"/>
          <w:spacing w:val="6"/>
          <w:sz w:val="20"/>
          <w:szCs w:val="20"/>
          <w:lang w:val="en-US" w:eastAsia="zh-CN"/>
        </w:rPr>
        <w:t>出水，水质需</w:t>
      </w:r>
      <w:r>
        <w:rPr>
          <w:rFonts w:hint="eastAsia" w:ascii="宋体" w:hAnsi="宋体" w:eastAsia="宋体" w:cs="宋体"/>
          <w:spacing w:val="6"/>
          <w:sz w:val="20"/>
          <w:szCs w:val="20"/>
          <w:lang w:val="en-US" w:eastAsia="zh-CN"/>
        </w:rPr>
        <w:t>符合表6.3.1规定。</w:t>
      </w:r>
    </w:p>
    <w:p>
      <w:pPr>
        <w:widowControl/>
        <w:kinsoku w:val="0"/>
        <w:autoSpaceDE w:val="0"/>
        <w:autoSpaceDN w:val="0"/>
        <w:adjustRightInd w:val="0"/>
        <w:snapToGrid w:val="0"/>
        <w:spacing w:before="218" w:line="330" w:lineRule="auto"/>
        <w:ind w:right="34" w:firstLine="4"/>
        <w:jc w:val="left"/>
        <w:textAlignment w:val="baseline"/>
        <w:rPr>
          <w:rFonts w:hint="default" w:ascii="宋体" w:hAnsi="宋体" w:eastAsia="宋体" w:cs="宋体"/>
          <w:spacing w:val="6"/>
          <w:sz w:val="20"/>
          <w:szCs w:val="20"/>
          <w:lang w:val="en-US" w:eastAsia="zh-CN"/>
        </w:rPr>
      </w:pPr>
    </w:p>
    <w:p>
      <w:pPr>
        <w:pStyle w:val="4"/>
        <w:jc w:val="center"/>
      </w:pPr>
    </w:p>
    <w:p>
      <w:pPr>
        <w:pStyle w:val="4"/>
        <w:jc w:val="center"/>
        <w:rPr>
          <w:rFonts w:hint="default" w:eastAsia="黑体"/>
          <w:lang w:val="en-US" w:eastAsia="zh-CN"/>
        </w:rPr>
      </w:pPr>
      <w:r>
        <w:t xml:space="preserve">表 </w:t>
      </w:r>
      <w:r>
        <w:rPr>
          <w:rFonts w:hint="eastAsia"/>
          <w:lang w:val="en-US" w:eastAsia="zh-CN"/>
        </w:rPr>
        <w:t>6.3.1 进水水质要求</w:t>
      </w:r>
    </w:p>
    <w:tbl>
      <w:tblPr>
        <w:tblStyle w:val="9"/>
        <w:tblW w:w="0" w:type="auto"/>
        <w:jc w:val="center"/>
        <w:tblLayout w:type="fixed"/>
        <w:tblCellMar>
          <w:top w:w="0" w:type="dxa"/>
          <w:left w:w="0" w:type="dxa"/>
          <w:bottom w:w="0" w:type="dxa"/>
          <w:right w:w="0" w:type="dxa"/>
        </w:tblCellMar>
      </w:tblPr>
      <w:tblGrid>
        <w:gridCol w:w="606"/>
        <w:gridCol w:w="2372"/>
        <w:gridCol w:w="1009"/>
        <w:gridCol w:w="1983"/>
      </w:tblGrid>
      <w:tr>
        <w:tblPrEx>
          <w:tblCellMar>
            <w:top w:w="0" w:type="dxa"/>
            <w:left w:w="0" w:type="dxa"/>
            <w:bottom w:w="0" w:type="dxa"/>
            <w:right w:w="0" w:type="dxa"/>
          </w:tblCellMar>
        </w:tblPrEx>
        <w:trPr>
          <w:trHeight w:val="90" w:hRule="atLeast"/>
          <w:tblHeader/>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8"/>
                <w:szCs w:val="18"/>
                <w:lang w:val="en-US" w:eastAsia="zh-CN"/>
              </w:rPr>
            </w:pPr>
            <w:r>
              <w:rPr>
                <w:rFonts w:hint="eastAsia" w:asciiTheme="minorEastAsia" w:hAnsiTheme="minorEastAsia" w:eastAsiaTheme="minorEastAsia" w:cstheme="minorEastAsia"/>
                <w:b/>
                <w:bCs/>
                <w:sz w:val="18"/>
                <w:szCs w:val="18"/>
                <w:lang w:val="en-US" w:eastAsia="zh-CN"/>
              </w:rPr>
              <w:t>序号</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8"/>
                <w:szCs w:val="18"/>
                <w:lang w:val="en-US" w:eastAsia="zh-CN"/>
              </w:rPr>
            </w:pPr>
            <w:r>
              <w:rPr>
                <w:rFonts w:hint="eastAsia" w:asciiTheme="minorEastAsia" w:hAnsiTheme="minorEastAsia" w:eastAsiaTheme="minorEastAsia" w:cstheme="minorEastAsia"/>
                <w:b/>
                <w:bCs/>
                <w:sz w:val="18"/>
                <w:szCs w:val="18"/>
                <w:lang w:val="en-US" w:eastAsia="zh-CN"/>
              </w:rPr>
              <w:t>基本控制项目</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8"/>
                <w:szCs w:val="18"/>
                <w:lang w:val="en-US" w:eastAsia="zh-CN"/>
              </w:rPr>
            </w:pPr>
            <w:r>
              <w:rPr>
                <w:rFonts w:hint="eastAsia" w:asciiTheme="minorEastAsia" w:hAnsiTheme="minorEastAsia" w:eastAsiaTheme="minorEastAsia" w:cstheme="minorEastAsia"/>
                <w:b/>
                <w:bCs/>
                <w:sz w:val="18"/>
                <w:szCs w:val="18"/>
                <w:lang w:val="en-US" w:eastAsia="zh-CN"/>
              </w:rPr>
              <w:t>单位</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8"/>
                <w:szCs w:val="18"/>
                <w:lang w:val="en-US" w:eastAsia="zh-CN"/>
              </w:rPr>
            </w:pPr>
            <w:r>
              <w:rPr>
                <w:rFonts w:hint="eastAsia" w:asciiTheme="minorEastAsia" w:hAnsiTheme="minorEastAsia" w:eastAsiaTheme="minorEastAsia" w:cstheme="minorEastAsia"/>
                <w:b/>
                <w:bCs/>
                <w:sz w:val="18"/>
                <w:szCs w:val="18"/>
                <w:lang w:val="en-US" w:eastAsia="zh-CN"/>
              </w:rPr>
              <w:t>参数</w:t>
            </w:r>
          </w:p>
        </w:tc>
      </w:tr>
      <w:tr>
        <w:tblPrEx>
          <w:tblCellMar>
            <w:top w:w="0" w:type="dxa"/>
            <w:left w:w="0" w:type="dxa"/>
            <w:bottom w:w="0" w:type="dxa"/>
            <w:right w:w="0" w:type="dxa"/>
          </w:tblCellMar>
        </w:tblPrEx>
        <w:trPr>
          <w:trHeight w:val="177" w:hRule="atLeast"/>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化学需氧量（COD（Cr））</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mg/L</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小于等于60</w:t>
            </w:r>
          </w:p>
        </w:tc>
      </w:tr>
      <w:tr>
        <w:tblPrEx>
          <w:tblCellMar>
            <w:top w:w="0" w:type="dxa"/>
            <w:left w:w="0" w:type="dxa"/>
            <w:bottom w:w="0" w:type="dxa"/>
            <w:right w:w="0" w:type="dxa"/>
          </w:tblCellMar>
        </w:tblPrEx>
        <w:trPr>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悬浮物（SS）</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mg/L</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小于等于20</w:t>
            </w:r>
          </w:p>
        </w:tc>
      </w:tr>
      <w:tr>
        <w:tblPrEx>
          <w:tblCellMar>
            <w:top w:w="0" w:type="dxa"/>
            <w:left w:w="0" w:type="dxa"/>
            <w:bottom w:w="0" w:type="dxa"/>
            <w:right w:w="0" w:type="dxa"/>
          </w:tblCellMar>
        </w:tblPrEx>
        <w:trPr>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3</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总氮（以N计）</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mg/L</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小于等于15</w:t>
            </w:r>
          </w:p>
        </w:tc>
      </w:tr>
      <w:tr>
        <w:tblPrEx>
          <w:tblCellMar>
            <w:top w:w="0" w:type="dxa"/>
            <w:left w:w="0" w:type="dxa"/>
            <w:bottom w:w="0" w:type="dxa"/>
            <w:right w:w="0" w:type="dxa"/>
          </w:tblCellMar>
        </w:tblPrEx>
        <w:trPr>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4</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氨氮（以N计）</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mg/L</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小于等于5</w:t>
            </w:r>
          </w:p>
        </w:tc>
      </w:tr>
      <w:tr>
        <w:tblPrEx>
          <w:tblCellMar>
            <w:top w:w="0" w:type="dxa"/>
            <w:left w:w="0" w:type="dxa"/>
            <w:bottom w:w="0" w:type="dxa"/>
            <w:right w:w="0" w:type="dxa"/>
          </w:tblCellMar>
        </w:tblPrEx>
        <w:trPr>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5</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总磷（以P计）</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mg/L</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小于等于0.5</w:t>
            </w:r>
          </w:p>
        </w:tc>
      </w:tr>
      <w:tr>
        <w:tblPrEx>
          <w:tblCellMar>
            <w:top w:w="0" w:type="dxa"/>
            <w:left w:w="0" w:type="dxa"/>
            <w:bottom w:w="0" w:type="dxa"/>
            <w:right w:w="0" w:type="dxa"/>
          </w:tblCellMar>
        </w:tblPrEx>
        <w:trPr>
          <w:trHeight w:val="381" w:hRule="atLeast"/>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6</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PH</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6～9</w:t>
            </w:r>
          </w:p>
        </w:tc>
      </w:tr>
      <w:tr>
        <w:tblPrEx>
          <w:tblCellMar>
            <w:top w:w="0" w:type="dxa"/>
            <w:left w:w="0" w:type="dxa"/>
            <w:bottom w:w="0" w:type="dxa"/>
            <w:right w:w="0" w:type="dxa"/>
          </w:tblCellMar>
        </w:tblPrEx>
        <w:trPr>
          <w:trHeight w:val="239" w:hRule="atLeast"/>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7</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氯离子</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mg/L</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1500</w:t>
            </w:r>
          </w:p>
        </w:tc>
      </w:tr>
      <w:tr>
        <w:tblPrEx>
          <w:tblCellMar>
            <w:top w:w="0" w:type="dxa"/>
            <w:left w:w="0" w:type="dxa"/>
            <w:bottom w:w="0" w:type="dxa"/>
            <w:right w:w="0" w:type="dxa"/>
          </w:tblCellMar>
        </w:tblPrEx>
        <w:trPr>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8</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溶解性总固体（TDS）</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mg/L</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小于等于4000</w:t>
            </w:r>
          </w:p>
        </w:tc>
      </w:tr>
      <w:tr>
        <w:tblPrEx>
          <w:tblCellMar>
            <w:top w:w="0" w:type="dxa"/>
            <w:left w:w="0" w:type="dxa"/>
            <w:bottom w:w="0" w:type="dxa"/>
            <w:right w:w="0" w:type="dxa"/>
          </w:tblCellMar>
        </w:tblPrEx>
        <w:trPr>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9</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介质温度</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10～35</w:t>
            </w:r>
          </w:p>
        </w:tc>
      </w:tr>
      <w:tr>
        <w:tblPrEx>
          <w:tblCellMar>
            <w:top w:w="0" w:type="dxa"/>
            <w:left w:w="0" w:type="dxa"/>
            <w:bottom w:w="0" w:type="dxa"/>
            <w:right w:w="0" w:type="dxa"/>
          </w:tblCellMar>
        </w:tblPrEx>
        <w:trPr>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10</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SiO2</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mg/L</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25</w:t>
            </w:r>
          </w:p>
        </w:tc>
      </w:tr>
      <w:tr>
        <w:tblPrEx>
          <w:tblCellMar>
            <w:top w:w="0" w:type="dxa"/>
            <w:left w:w="0" w:type="dxa"/>
            <w:bottom w:w="0" w:type="dxa"/>
            <w:right w:w="0" w:type="dxa"/>
          </w:tblCellMar>
        </w:tblPrEx>
        <w:trPr>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11</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碱度</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mg/L</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200</w:t>
            </w:r>
          </w:p>
        </w:tc>
      </w:tr>
      <w:tr>
        <w:tblPrEx>
          <w:tblCellMar>
            <w:top w:w="0" w:type="dxa"/>
            <w:left w:w="0" w:type="dxa"/>
            <w:bottom w:w="0" w:type="dxa"/>
            <w:right w:w="0" w:type="dxa"/>
          </w:tblCellMar>
        </w:tblPrEx>
        <w:trPr>
          <w:jc w:val="center"/>
        </w:trPr>
        <w:tc>
          <w:tcPr>
            <w:tcW w:w="60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12</w:t>
            </w:r>
          </w:p>
        </w:tc>
        <w:tc>
          <w:tcPr>
            <w:tcW w:w="237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硬度</w:t>
            </w:r>
          </w:p>
        </w:tc>
        <w:tc>
          <w:tcPr>
            <w:tcW w:w="1009"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mg/L</w:t>
            </w:r>
          </w:p>
        </w:tc>
        <w:tc>
          <w:tcPr>
            <w:tcW w:w="198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200</w:t>
            </w:r>
          </w:p>
        </w:tc>
      </w:tr>
    </w:tbl>
    <w:p>
      <w:pPr>
        <w:pStyle w:val="5"/>
        <w:spacing w:before="159" w:line="231" w:lineRule="auto"/>
        <w:jc w:val="center"/>
        <w:outlineLvl w:val="0"/>
        <w:rPr>
          <w:rFonts w:hint="eastAsia"/>
          <w:spacing w:val="6"/>
          <w:sz w:val="20"/>
          <w:szCs w:val="20"/>
          <w:lang w:val="en-US" w:eastAsia="zh-CN"/>
        </w:rPr>
      </w:pPr>
      <w:bookmarkStart w:id="56" w:name="_Toc29612"/>
      <w:bookmarkStart w:id="57" w:name="_Toc24160"/>
      <w:r>
        <w:rPr>
          <w:rFonts w:hint="eastAsia"/>
          <w:spacing w:val="6"/>
          <w:sz w:val="20"/>
          <w:szCs w:val="20"/>
          <w:lang w:val="en-US" w:eastAsia="zh-CN"/>
        </w:rPr>
        <w:t>6.4 超滤</w:t>
      </w:r>
      <w:r>
        <w:rPr>
          <w:rFonts w:hint="default"/>
          <w:spacing w:val="6"/>
          <w:sz w:val="20"/>
          <w:szCs w:val="20"/>
          <w:lang w:val="en-US" w:eastAsia="en-US"/>
        </w:rPr>
        <w:t>系统</w:t>
      </w:r>
      <w:bookmarkEnd w:id="56"/>
      <w:bookmarkEnd w:id="57"/>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b/>
          <w:bCs/>
          <w:spacing w:val="6"/>
          <w:sz w:val="20"/>
          <w:szCs w:val="20"/>
        </w:rPr>
        <w:t>.1</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采用外压式PVDF超滤膜组件，</w:t>
      </w:r>
      <w:r>
        <w:rPr>
          <w:rFonts w:hint="eastAsia" w:ascii="宋体" w:hAnsi="宋体" w:eastAsia="宋体" w:cs="宋体"/>
          <w:snapToGrid w:val="0"/>
          <w:color w:val="000000"/>
          <w:spacing w:val="6"/>
          <w:kern w:val="0"/>
          <w:sz w:val="20"/>
          <w:szCs w:val="20"/>
          <w:lang w:val="en-US" w:eastAsia="zh-CN"/>
        </w:rPr>
        <w:t>考虑原水水质波动和冬季运行温度低的实际情况，超滤膜的运行通量值建议不得大于35 L/（m2·h），保证膜元件正常运行和合理的清洗周期。</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2</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配备反洗泵、空压机（鼓风机）及化学清洗装置。反洗泵流量为超滤产水量的1.5倍，扬程0.2MPa</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0.3MPa；化学清洗罐材质为玻璃钢，容积满足单组膜清洗需求。</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3</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超滤</w:t>
      </w:r>
      <w:r>
        <w:rPr>
          <w:rFonts w:hint="eastAsia" w:ascii="宋体" w:hAnsi="宋体" w:eastAsia="宋体" w:cs="宋体"/>
          <w:snapToGrid w:val="0"/>
          <w:color w:val="000000"/>
          <w:spacing w:val="6"/>
          <w:kern w:val="0"/>
          <w:sz w:val="20"/>
          <w:szCs w:val="20"/>
          <w:lang w:val="en-US" w:eastAsia="zh-CN"/>
        </w:rPr>
        <w:t>系统</w:t>
      </w:r>
      <w:r>
        <w:rPr>
          <w:rFonts w:ascii="宋体" w:hAnsi="宋体" w:eastAsia="宋体" w:cs="宋体"/>
          <w:snapToGrid w:val="0"/>
          <w:color w:val="000000"/>
          <w:spacing w:val="6"/>
          <w:kern w:val="0"/>
          <w:sz w:val="20"/>
          <w:szCs w:val="20"/>
          <w:lang w:val="en-US" w:eastAsia="zh-CN"/>
        </w:rPr>
        <w:t>由超滤膜组件、支架、相应的阀门、管道及配套的仪表组成</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每套超滤装置应保证恒流出水</w:t>
      </w:r>
      <w:r>
        <w:rPr>
          <w:rFonts w:hint="eastAsia" w:ascii="宋体" w:hAnsi="宋体" w:eastAsia="宋体" w:cs="宋体"/>
          <w:snapToGrid w:val="0"/>
          <w:color w:val="000000"/>
          <w:spacing w:val="6"/>
          <w:kern w:val="0"/>
          <w:sz w:val="20"/>
          <w:szCs w:val="20"/>
          <w:lang w:val="en-US" w:eastAsia="zh-CN"/>
        </w:rPr>
        <w:t>。</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超滤运行及反洗实现自动控制，根据水池水位自动调控，停用后能延时自动冲洗。</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根据需要设取样点，取样点的数量及位置能有效地诊断并确定系统的运行状况。每套取样阀门集中布置在一个盘面上，便于取样。测量配置点及数量等要满足系统的安全、稳定、可靠运行需要。</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6</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超滤膜系统配备完整性检测装置，能够及时检测超滤膜组件发生的断丝情况，并能对断丝进行精确定位和修补。</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7</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超滤的</w:t>
      </w:r>
      <w:r>
        <w:rPr>
          <w:rFonts w:hint="eastAsia" w:ascii="宋体" w:hAnsi="宋体" w:eastAsia="宋体" w:cs="宋体"/>
          <w:snapToGrid w:val="0"/>
          <w:color w:val="000000"/>
          <w:spacing w:val="6"/>
          <w:kern w:val="0"/>
          <w:sz w:val="20"/>
          <w:szCs w:val="20"/>
          <w:lang w:val="en-US" w:eastAsia="zh-CN"/>
        </w:rPr>
        <w:t>产</w:t>
      </w:r>
      <w:r>
        <w:rPr>
          <w:rFonts w:ascii="宋体" w:hAnsi="宋体" w:eastAsia="宋体" w:cs="宋体"/>
          <w:snapToGrid w:val="0"/>
          <w:color w:val="000000"/>
          <w:spacing w:val="6"/>
          <w:kern w:val="0"/>
          <w:sz w:val="20"/>
          <w:szCs w:val="20"/>
          <w:lang w:val="en-US" w:eastAsia="zh-CN"/>
        </w:rPr>
        <w:t>水</w:t>
      </w:r>
      <w:r>
        <w:rPr>
          <w:rFonts w:hint="eastAsia" w:ascii="宋体" w:hAnsi="宋体" w:eastAsia="宋体" w:cs="宋体"/>
          <w:snapToGrid w:val="0"/>
          <w:color w:val="000000"/>
          <w:spacing w:val="6"/>
          <w:kern w:val="0"/>
          <w:sz w:val="20"/>
          <w:szCs w:val="20"/>
          <w:lang w:val="en-US" w:eastAsia="zh-CN"/>
        </w:rPr>
        <w:t>量</w:t>
      </w:r>
      <w:r>
        <w:rPr>
          <w:rFonts w:ascii="宋体" w:hAnsi="宋体" w:eastAsia="宋体" w:cs="宋体"/>
          <w:snapToGrid w:val="0"/>
          <w:color w:val="000000"/>
          <w:spacing w:val="6"/>
          <w:kern w:val="0"/>
          <w:sz w:val="20"/>
          <w:szCs w:val="20"/>
          <w:lang w:val="en-US" w:eastAsia="zh-CN"/>
        </w:rPr>
        <w:t>应达到系统净出水的要求，为此应将所有反洗时间内损失的产水量以及反洗消耗的水量叠加在运行出水上</w:t>
      </w:r>
      <w:r>
        <w:rPr>
          <w:rFonts w:hint="eastAsia" w:ascii="宋体" w:hAnsi="宋体" w:eastAsia="宋体" w:cs="宋体"/>
          <w:snapToGrid w:val="0"/>
          <w:color w:val="000000"/>
          <w:spacing w:val="6"/>
          <w:kern w:val="0"/>
          <w:sz w:val="20"/>
          <w:szCs w:val="20"/>
          <w:lang w:val="en-US" w:eastAsia="zh-CN"/>
        </w:rPr>
        <w:t>，同时要考虑离线清洗时对总体产水量的影响，</w:t>
      </w:r>
      <w:r>
        <w:rPr>
          <w:rFonts w:ascii="宋体" w:hAnsi="宋体" w:eastAsia="宋体" w:cs="宋体"/>
          <w:snapToGrid w:val="0"/>
          <w:color w:val="000000"/>
          <w:spacing w:val="6"/>
          <w:kern w:val="0"/>
          <w:sz w:val="20"/>
          <w:szCs w:val="20"/>
          <w:lang w:val="en-US" w:eastAsia="zh-CN"/>
        </w:rPr>
        <w:t>根据水质条件及运行经验提出反洗时间、反洗周期和反洗水耗，</w:t>
      </w:r>
      <w:r>
        <w:rPr>
          <w:rFonts w:hint="eastAsia" w:ascii="宋体" w:hAnsi="宋体" w:eastAsia="宋体" w:cs="宋体"/>
          <w:snapToGrid w:val="0"/>
          <w:color w:val="000000"/>
          <w:spacing w:val="6"/>
          <w:kern w:val="0"/>
          <w:sz w:val="20"/>
          <w:szCs w:val="20"/>
          <w:lang w:val="en-US" w:eastAsia="zh-CN"/>
        </w:rPr>
        <w:t>按下式6.4.7</w:t>
      </w:r>
      <w:r>
        <w:rPr>
          <w:rFonts w:ascii="宋体" w:hAnsi="宋体" w:eastAsia="宋体" w:cs="宋体"/>
          <w:snapToGrid w:val="0"/>
          <w:color w:val="000000"/>
          <w:spacing w:val="6"/>
          <w:kern w:val="0"/>
          <w:sz w:val="20"/>
          <w:szCs w:val="20"/>
          <w:lang w:val="en-US" w:eastAsia="zh-CN"/>
        </w:rPr>
        <w:t>计算出超滤主装置的出水。</w:t>
      </w:r>
    </w:p>
    <w:p>
      <w:pPr>
        <w:widowControl/>
        <w:kinsoku w:val="0"/>
        <w:autoSpaceDE w:val="0"/>
        <w:autoSpaceDN w:val="0"/>
        <w:adjustRightInd w:val="0"/>
        <w:snapToGrid w:val="0"/>
        <w:spacing w:before="218" w:line="330" w:lineRule="auto"/>
        <w:ind w:right="34" w:firstLine="4"/>
        <w:jc w:val="center"/>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position w:val="-24"/>
          <w:sz w:val="20"/>
          <w:szCs w:val="20"/>
          <w:lang w:val="en-US" w:eastAsia="zh-CN"/>
        </w:rPr>
        <w:object>
          <v:shape id="_x0000_i1025" o:spt="75" type="#_x0000_t75" style="height:31pt;width:244pt;" o:ole="t" filled="f" o:preferrelative="t" stroked="f" coordsize="21600,21600">
            <v:path/>
            <v:fill on="f" focussize="0,0"/>
            <v:stroke on="f"/>
            <v:imagedata r:id="rId30" o:title=""/>
            <o:lock v:ext="edit" aspectratio="t"/>
            <w10:wrap type="none"/>
            <w10:anchorlock/>
          </v:shape>
          <o:OLEObject Type="Embed" ProgID="Equation.KSEE3" ShapeID="_x0000_i1025" DrawAspect="Content" ObjectID="_1468075725" r:id="rId29">
            <o:LockedField>false</o:LockedField>
          </o:OLEObject>
        </w:object>
      </w:r>
      <w:r>
        <w:rPr>
          <w:rFonts w:hint="eastAsia" w:ascii="宋体" w:hAnsi="宋体" w:eastAsia="宋体" w:cs="宋体"/>
          <w:snapToGrid w:val="0"/>
          <w:color w:val="000000"/>
          <w:spacing w:val="6"/>
          <w:kern w:val="0"/>
          <w:sz w:val="20"/>
          <w:szCs w:val="20"/>
          <w:lang w:val="en-US" w:eastAsia="zh-CN"/>
        </w:rPr>
        <w:t>(6.4.7)</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式中：</w:t>
      </w:r>
      <w:r>
        <w:rPr>
          <w:rFonts w:hint="eastAsia" w:ascii="宋体" w:hAnsi="宋体" w:eastAsia="宋体" w:cs="宋体"/>
          <w:snapToGrid w:val="0"/>
          <w:color w:val="000000"/>
          <w:spacing w:val="6"/>
          <w:kern w:val="0"/>
          <w:position w:val="-12"/>
          <w:sz w:val="20"/>
          <w:szCs w:val="20"/>
          <w:lang w:val="en-US" w:eastAsia="zh-CN"/>
        </w:rPr>
        <w:object>
          <v:shape id="_x0000_i1026" o:spt="75" type="#_x0000_t75" style="height:18pt;width:26pt;" o:ole="t" filled="f" o:preferrelative="t" stroked="f" coordsize="21600,21600">
            <v:path/>
            <v:fill on="f" focussize="0,0"/>
            <v:stroke on="f"/>
            <v:imagedata r:id="rId32" o:title=""/>
            <o:lock v:ext="edit" aspectratio="t"/>
            <w10:wrap type="none"/>
            <w10:anchorlock/>
          </v:shape>
          <o:OLEObject Type="Embed" ProgID="Equation.KSEE3" ShapeID="_x0000_i1026" DrawAspect="Content" ObjectID="_1468075726" r:id="rId31">
            <o:LockedField>false</o:LockedField>
          </o:OLEObject>
        </w:object>
      </w:r>
      <w:r>
        <w:rPr>
          <w:rFonts w:hint="eastAsia" w:ascii="宋体" w:hAnsi="宋体" w:eastAsia="宋体" w:cs="宋体"/>
          <w:snapToGrid w:val="0"/>
          <w:color w:val="000000"/>
          <w:spacing w:val="6"/>
          <w:kern w:val="0"/>
          <w:sz w:val="20"/>
          <w:szCs w:val="20"/>
          <w:lang w:val="en-US" w:eastAsia="zh-CN"/>
        </w:rPr>
        <w:t>——超滤单日净产水量，m³（立方米）；</w:t>
      </w:r>
    </w:p>
    <w:p>
      <w:pPr>
        <w:widowControl/>
        <w:kinsoku w:val="0"/>
        <w:autoSpaceDE w:val="0"/>
        <w:autoSpaceDN w:val="0"/>
        <w:adjustRightInd w:val="0"/>
        <w:snapToGrid w:val="0"/>
        <w:spacing w:before="218" w:line="330" w:lineRule="auto"/>
        <w:ind w:right="34" w:firstLine="4"/>
        <w:jc w:val="left"/>
        <w:textAlignment w:val="baseline"/>
        <w:rPr>
          <w:rFonts w:hint="eastAsia" w:asciiTheme="minorEastAsia" w:hAnsiTheme="minorEastAsia" w:eastAsiaTheme="minorEastAsia" w:cstheme="minorEastAsia"/>
          <w:sz w:val="16"/>
          <w:szCs w:val="16"/>
          <w:lang w:val="en-US" w:eastAsia="zh-CN"/>
        </w:rPr>
      </w:pPr>
      <w:r>
        <w:rPr>
          <w:rFonts w:hint="eastAsia" w:ascii="宋体" w:hAnsi="宋体" w:eastAsia="宋体" w:cs="宋体"/>
          <w:snapToGrid w:val="0"/>
          <w:color w:val="000000"/>
          <w:spacing w:val="6"/>
          <w:kern w:val="0"/>
          <w:sz w:val="20"/>
          <w:szCs w:val="20"/>
          <w:lang w:val="en-US" w:eastAsia="zh-CN"/>
        </w:rPr>
        <w:t xml:space="preserve">       </w:t>
      </w:r>
      <m:oMath>
        <m:r>
          <m:rPr/>
          <w:rPr>
            <w:rFonts w:hint="default" w:ascii="Cambria Math" w:hAnsi="Cambria Math" w:eastAsia="宋体" w:cs="宋体"/>
            <w:snapToGrid w:val="0"/>
            <w:color w:val="000000"/>
            <w:spacing w:val="6"/>
            <w:kern w:val="0"/>
            <w:sz w:val="20"/>
            <w:szCs w:val="20"/>
            <w:lang w:val="en-US" w:eastAsia="zh-CN" w:bidi="ar-SA"/>
          </w:rPr>
          <m:t>J</m:t>
        </m:r>
      </m:oMath>
      <w:r>
        <w:rPr>
          <w:rFonts w:hint="eastAsia" w:hAnsi="Cambria Math" w:eastAsia="宋体" w:cs="宋体"/>
          <w:i w:val="0"/>
          <w:snapToGrid w:val="0"/>
          <w:color w:val="000000"/>
          <w:spacing w:val="6"/>
          <w:kern w:val="0"/>
          <w:sz w:val="20"/>
          <w:szCs w:val="20"/>
          <w:lang w:val="en-US" w:eastAsia="zh-CN" w:bidi="ar-SA"/>
        </w:rPr>
        <w:t xml:space="preserve">     </w:t>
      </w:r>
      <w:r>
        <w:rPr>
          <w:rFonts w:hint="eastAsia" w:ascii="宋体" w:hAnsi="宋体" w:eastAsia="宋体" w:cs="宋体"/>
          <w:snapToGrid w:val="0"/>
          <w:color w:val="000000"/>
          <w:spacing w:val="6"/>
          <w:kern w:val="0"/>
          <w:sz w:val="20"/>
          <w:szCs w:val="20"/>
          <w:lang w:val="en-US" w:eastAsia="zh-CN"/>
        </w:rPr>
        <w:t>——膜通量，L/（㎡·h）（升每平方米每小时）；</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Theme="minorEastAsia" w:hAnsiTheme="minorEastAsia" w:eastAsiaTheme="minorEastAsia" w:cstheme="minorEastAsia"/>
          <w:sz w:val="16"/>
          <w:szCs w:val="16"/>
          <w:lang w:val="en-US" w:eastAsia="zh-CN"/>
        </w:rPr>
        <w:t xml:space="preserve">         </w:t>
      </w:r>
      <m:oMath>
        <m:r>
          <m:rPr/>
          <w:rPr>
            <w:rFonts w:hint="default" w:ascii="Cambria Math" w:hAnsi="Cambria Math" w:eastAsiaTheme="minorEastAsia" w:cstheme="minorEastAsia"/>
            <w:snapToGrid w:val="0"/>
            <w:color w:val="000000"/>
            <w:kern w:val="0"/>
            <w:sz w:val="16"/>
            <w:szCs w:val="16"/>
            <w:lang w:val="en-US" w:eastAsia="zh-CN" w:bidi="ar-SA"/>
          </w:rPr>
          <m:t>A</m:t>
        </m:r>
      </m:oMath>
      <w:r>
        <w:rPr>
          <w:rFonts w:hint="eastAsia" w:hAnsi="Cambria Math" w:eastAsiaTheme="minorEastAsia" w:cstheme="minorEastAsia"/>
          <w:i w:val="0"/>
          <w:snapToGrid w:val="0"/>
          <w:color w:val="000000"/>
          <w:kern w:val="0"/>
          <w:sz w:val="16"/>
          <w:szCs w:val="16"/>
          <w:lang w:val="en-US" w:eastAsia="zh-CN" w:bidi="ar-SA"/>
        </w:rPr>
        <w:t xml:space="preserve">      </w:t>
      </w:r>
      <w:r>
        <w:rPr>
          <w:rFonts w:hint="eastAsia" w:ascii="宋体" w:hAnsi="宋体" w:eastAsia="宋体" w:cs="宋体"/>
          <w:snapToGrid w:val="0"/>
          <w:color w:val="000000"/>
          <w:spacing w:val="6"/>
          <w:kern w:val="0"/>
          <w:sz w:val="20"/>
          <w:szCs w:val="20"/>
          <w:lang w:val="en-US" w:eastAsia="zh-CN"/>
        </w:rPr>
        <w:t>——有效膜面积，㎡（平方米）；</w:t>
      </w:r>
    </w:p>
    <w:p>
      <w:pPr>
        <w:widowControl/>
        <w:kinsoku w:val="0"/>
        <w:autoSpaceDE w:val="0"/>
        <w:autoSpaceDN w:val="0"/>
        <w:adjustRightInd w:val="0"/>
        <w:snapToGrid w:val="0"/>
        <w:spacing w:before="218" w:line="330" w:lineRule="auto"/>
        <w:ind w:right="34" w:firstLine="636" w:firstLineChars="300"/>
        <w:jc w:val="left"/>
        <w:textAlignment w:val="baseline"/>
        <w:rPr>
          <w:rFonts w:hint="eastAsia" w:ascii="宋体" w:hAnsi="宋体" w:eastAsia="宋体" w:cs="宋体"/>
          <w:snapToGrid w:val="0"/>
          <w:color w:val="000000"/>
          <w:spacing w:val="6"/>
          <w:kern w:val="0"/>
          <w:sz w:val="20"/>
          <w:szCs w:val="20"/>
          <w:lang w:val="en-US" w:eastAsia="zh-CN"/>
        </w:rPr>
      </w:pPr>
      <w:r>
        <w:rPr>
          <w:rFonts w:hint="default" w:ascii="宋体" w:hAnsi="宋体" w:eastAsia="宋体" w:cs="宋体"/>
          <w:snapToGrid w:val="0"/>
          <w:color w:val="000000"/>
          <w:spacing w:val="6"/>
          <w:kern w:val="0"/>
          <w:position w:val="-12"/>
          <w:sz w:val="20"/>
          <w:szCs w:val="20"/>
          <w:lang w:val="en-US" w:eastAsia="zh-CN"/>
        </w:rPr>
        <w:object>
          <v:shape id="_x0000_i1027" o:spt="75" type="#_x0000_t75" style="height:18pt;width:24pt;" o:ole="t" filled="f" o:preferrelative="t" stroked="f" coordsize="21600,21600">
            <v:path/>
            <v:fill on="f" focussize="0,0"/>
            <v:stroke on="f"/>
            <v:imagedata r:id="rId34" o:title=""/>
            <o:lock v:ext="edit" aspectratio="t"/>
            <w10:wrap type="none"/>
            <w10:anchorlock/>
          </v:shape>
          <o:OLEObject Type="Embed" ProgID="Equation.KSEE3" ShapeID="_x0000_i1027" DrawAspect="Content" ObjectID="_1468075727" r:id="rId33">
            <o:LockedField>false</o:LockedField>
          </o:OLEObject>
        </w:object>
      </w:r>
      <w:r>
        <w:rPr>
          <w:rFonts w:hint="eastAsia" w:hAnsi="Cambria Math" w:eastAsiaTheme="minorEastAsia" w:cstheme="minorEastAsia"/>
          <w:i w:val="0"/>
          <w:snapToGrid w:val="0"/>
          <w:color w:val="000000"/>
          <w:kern w:val="0"/>
          <w:sz w:val="16"/>
          <w:szCs w:val="16"/>
          <w:lang w:val="en-US" w:eastAsia="zh-CN" w:bidi="ar-SA"/>
        </w:rPr>
        <w:t xml:space="preserve"> </w:t>
      </w:r>
      <w:r>
        <w:rPr>
          <w:rFonts w:hint="eastAsia" w:ascii="宋体" w:hAnsi="宋体" w:eastAsia="宋体" w:cs="宋体"/>
          <w:snapToGrid w:val="0"/>
          <w:color w:val="000000"/>
          <w:spacing w:val="6"/>
          <w:kern w:val="0"/>
          <w:sz w:val="20"/>
          <w:szCs w:val="20"/>
          <w:lang w:val="en-US" w:eastAsia="zh-CN"/>
        </w:rPr>
        <w:t>——超滤单日反洗总用时间，h（小时）；</w:t>
      </w:r>
    </w:p>
    <w:p>
      <w:pPr>
        <w:widowControl/>
        <w:kinsoku w:val="0"/>
        <w:autoSpaceDE w:val="0"/>
        <w:autoSpaceDN w:val="0"/>
        <w:adjustRightInd w:val="0"/>
        <w:snapToGrid w:val="0"/>
        <w:spacing w:before="218" w:line="330" w:lineRule="auto"/>
        <w:ind w:right="34" w:firstLine="636" w:firstLineChars="300"/>
        <w:jc w:val="left"/>
        <w:textAlignment w:val="baseline"/>
        <w:rPr>
          <w:rFonts w:hint="eastAsia" w:ascii="宋体" w:hAnsi="宋体" w:eastAsia="宋体" w:cs="宋体"/>
          <w:snapToGrid w:val="0"/>
          <w:color w:val="000000"/>
          <w:spacing w:val="6"/>
          <w:kern w:val="0"/>
          <w:sz w:val="20"/>
          <w:szCs w:val="20"/>
          <w:lang w:val="en-US" w:eastAsia="zh-CN"/>
        </w:rPr>
      </w:pPr>
      <w:r>
        <w:rPr>
          <w:rFonts w:hint="default" w:ascii="宋体" w:hAnsi="宋体" w:eastAsia="宋体" w:cs="宋体"/>
          <w:snapToGrid w:val="0"/>
          <w:color w:val="000000"/>
          <w:spacing w:val="6"/>
          <w:kern w:val="0"/>
          <w:position w:val="-14"/>
          <w:sz w:val="20"/>
          <w:szCs w:val="20"/>
          <w:lang w:val="en-US" w:eastAsia="zh-CN"/>
        </w:rPr>
        <w:object>
          <v:shape id="_x0000_i1028" o:spt="75" type="#_x0000_t75" style="height:19pt;width:24pt;" o:ole="t" filled="f" o:preferrelative="t" stroked="f" coordsize="21600,21600">
            <v:path/>
            <v:fill on="f" focussize="0,0"/>
            <v:stroke on="f"/>
            <v:imagedata r:id="rId36" o:title=""/>
            <o:lock v:ext="edit" aspectratio="t"/>
            <w10:wrap type="none"/>
            <w10:anchorlock/>
          </v:shape>
          <o:OLEObject Type="Embed" ProgID="Equation.KSEE3" ShapeID="_x0000_i1028" DrawAspect="Content" ObjectID="_1468075728" r:id="rId35">
            <o:LockedField>false</o:LockedField>
          </o:OLEObject>
        </w:object>
      </w:r>
      <w:r>
        <w:rPr>
          <w:rFonts w:hint="eastAsia" w:hAnsi="Cambria Math" w:eastAsiaTheme="minorEastAsia" w:cstheme="minorEastAsia"/>
          <w:i w:val="0"/>
          <w:snapToGrid w:val="0"/>
          <w:color w:val="000000"/>
          <w:kern w:val="0"/>
          <w:sz w:val="16"/>
          <w:szCs w:val="16"/>
          <w:lang w:val="en-US" w:eastAsia="zh-CN" w:bidi="ar-SA"/>
        </w:rPr>
        <w:t xml:space="preserve"> </w:t>
      </w:r>
      <w:r>
        <w:rPr>
          <w:rFonts w:hint="eastAsia" w:ascii="宋体" w:hAnsi="宋体" w:eastAsia="宋体" w:cs="宋体"/>
          <w:snapToGrid w:val="0"/>
          <w:color w:val="000000"/>
          <w:spacing w:val="6"/>
          <w:kern w:val="0"/>
          <w:sz w:val="20"/>
          <w:szCs w:val="20"/>
          <w:lang w:val="en-US" w:eastAsia="zh-CN"/>
        </w:rPr>
        <w:t>——超滤单日清洗总用时间，h（小时）；</w:t>
      </w:r>
    </w:p>
    <w:p>
      <w:pPr>
        <w:widowControl/>
        <w:kinsoku w:val="0"/>
        <w:autoSpaceDE w:val="0"/>
        <w:autoSpaceDN w:val="0"/>
        <w:adjustRightInd w:val="0"/>
        <w:snapToGrid w:val="0"/>
        <w:spacing w:before="218" w:line="330" w:lineRule="auto"/>
        <w:ind w:right="34" w:firstLine="636" w:firstLineChars="300"/>
        <w:jc w:val="left"/>
        <w:textAlignment w:val="baseline"/>
        <w:rPr>
          <w:rFonts w:hint="eastAsia" w:ascii="宋体" w:hAnsi="宋体" w:eastAsia="宋体" w:cs="宋体"/>
          <w:snapToGrid w:val="0"/>
          <w:color w:val="000000"/>
          <w:spacing w:val="6"/>
          <w:kern w:val="0"/>
          <w:sz w:val="20"/>
          <w:szCs w:val="20"/>
          <w:lang w:val="en-US" w:eastAsia="zh-CN"/>
        </w:rPr>
      </w:pPr>
      <w:r>
        <w:rPr>
          <w:rFonts w:hint="default" w:ascii="宋体" w:hAnsi="宋体" w:eastAsia="宋体" w:cs="宋体"/>
          <w:snapToGrid w:val="0"/>
          <w:color w:val="000000"/>
          <w:spacing w:val="6"/>
          <w:kern w:val="0"/>
          <w:position w:val="-12"/>
          <w:sz w:val="20"/>
          <w:szCs w:val="20"/>
          <w:lang w:val="en-US" w:eastAsia="zh-CN"/>
        </w:rPr>
        <w:object>
          <v:shape id="_x0000_i1029" o:spt="75" type="#_x0000_t75" style="height:18pt;width:27pt;" o:ole="t" filled="f" o:preferrelative="t" stroked="f" coordsize="21600,21600">
            <v:path/>
            <v:fill on="f" focussize="0,0"/>
            <v:stroke on="f"/>
            <v:imagedata r:id="rId38" o:title=""/>
            <o:lock v:ext="edit" aspectratio="t"/>
            <w10:wrap type="none"/>
            <w10:anchorlock/>
          </v:shape>
          <o:OLEObject Type="Embed" ProgID="Equation.KSEE3" ShapeID="_x0000_i1029" DrawAspect="Content" ObjectID="_1468075729" r:id="rId37">
            <o:LockedField>false</o:LockedField>
          </o:OLEObject>
        </w:object>
      </w:r>
      <w:r>
        <w:rPr>
          <w:rFonts w:hint="eastAsia" w:hAnsi="Cambria Math" w:eastAsiaTheme="minorEastAsia" w:cstheme="minorEastAsia"/>
          <w:i w:val="0"/>
          <w:snapToGrid w:val="0"/>
          <w:color w:val="000000"/>
          <w:kern w:val="0"/>
          <w:sz w:val="16"/>
          <w:szCs w:val="16"/>
          <w:lang w:val="en-US" w:eastAsia="zh-CN" w:bidi="ar-SA"/>
        </w:rPr>
        <w:t xml:space="preserve"> </w:t>
      </w:r>
      <w:r>
        <w:rPr>
          <w:rFonts w:hint="eastAsia" w:ascii="宋体" w:hAnsi="宋体" w:eastAsia="宋体" w:cs="宋体"/>
          <w:snapToGrid w:val="0"/>
          <w:color w:val="000000"/>
          <w:spacing w:val="6"/>
          <w:kern w:val="0"/>
          <w:sz w:val="20"/>
          <w:szCs w:val="20"/>
          <w:lang w:val="en-US" w:eastAsia="zh-CN"/>
        </w:rPr>
        <w:t>——超滤单日反洗总用水量，m³（立方米）；</w:t>
      </w:r>
    </w:p>
    <w:p>
      <w:pPr>
        <w:widowControl/>
        <w:kinsoku w:val="0"/>
        <w:autoSpaceDE w:val="0"/>
        <w:autoSpaceDN w:val="0"/>
        <w:adjustRightInd w:val="0"/>
        <w:snapToGrid w:val="0"/>
        <w:spacing w:before="218" w:line="330" w:lineRule="auto"/>
        <w:ind w:right="34" w:firstLine="636" w:firstLineChars="300"/>
        <w:jc w:val="left"/>
        <w:textAlignment w:val="baseline"/>
        <w:rPr>
          <w:rFonts w:hint="default" w:ascii="宋体" w:hAnsi="宋体" w:eastAsia="宋体" w:cs="宋体"/>
          <w:snapToGrid w:val="0"/>
          <w:color w:val="000000"/>
          <w:spacing w:val="6"/>
          <w:kern w:val="0"/>
          <w:sz w:val="20"/>
          <w:szCs w:val="20"/>
          <w:lang w:val="en-US" w:eastAsia="zh-CN"/>
        </w:rPr>
      </w:pPr>
      <w:r>
        <w:rPr>
          <w:rFonts w:hint="default" w:ascii="宋体" w:hAnsi="宋体" w:eastAsia="宋体" w:cs="宋体"/>
          <w:snapToGrid w:val="0"/>
          <w:color w:val="000000"/>
          <w:spacing w:val="6"/>
          <w:kern w:val="0"/>
          <w:position w:val="-14"/>
          <w:sz w:val="20"/>
          <w:szCs w:val="20"/>
          <w:lang w:val="en-US" w:eastAsia="zh-CN"/>
        </w:rPr>
        <w:object>
          <v:shape id="_x0000_i1030" o:spt="75" type="#_x0000_t75" style="height:19pt;width:27pt;" o:ole="t" filled="f" o:preferrelative="t" stroked="f" coordsize="21600,21600">
            <v:path/>
            <v:fill on="f" focussize="0,0"/>
            <v:stroke on="f"/>
            <v:imagedata r:id="rId40" o:title=""/>
            <o:lock v:ext="edit" aspectratio="t"/>
            <w10:wrap type="none"/>
            <w10:anchorlock/>
          </v:shape>
          <o:OLEObject Type="Embed" ProgID="Equation.KSEE3" ShapeID="_x0000_i1030" DrawAspect="Content" ObjectID="_1468075730" r:id="rId39">
            <o:LockedField>false</o:LockedField>
          </o:OLEObject>
        </w:object>
      </w:r>
      <w:r>
        <w:rPr>
          <w:rFonts w:hint="eastAsia" w:hAnsi="Cambria Math" w:eastAsiaTheme="minorEastAsia" w:cstheme="minorEastAsia"/>
          <w:i w:val="0"/>
          <w:snapToGrid w:val="0"/>
          <w:color w:val="000000"/>
          <w:kern w:val="0"/>
          <w:sz w:val="16"/>
          <w:szCs w:val="16"/>
          <w:lang w:val="en-US" w:eastAsia="zh-CN" w:bidi="ar-SA"/>
        </w:rPr>
        <w:t xml:space="preserve"> </w:t>
      </w:r>
      <w:r>
        <w:rPr>
          <w:rFonts w:hint="eastAsia" w:ascii="宋体" w:hAnsi="宋体" w:eastAsia="宋体" w:cs="宋体"/>
          <w:snapToGrid w:val="0"/>
          <w:color w:val="000000"/>
          <w:spacing w:val="6"/>
          <w:kern w:val="0"/>
          <w:sz w:val="20"/>
          <w:szCs w:val="20"/>
          <w:lang w:val="en-US" w:eastAsia="zh-CN"/>
        </w:rPr>
        <w:t>——超滤单日清洗总用水量，m³（立方米）。</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8</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超滤膜选型</w:t>
      </w:r>
    </w:p>
    <w:p>
      <w:pPr>
        <w:widowControl/>
        <w:kinsoku w:val="0"/>
        <w:autoSpaceDE w:val="0"/>
        <w:autoSpaceDN w:val="0"/>
        <w:adjustRightInd w:val="0"/>
        <w:snapToGrid w:val="0"/>
        <w:spacing w:before="218" w:line="330" w:lineRule="auto"/>
        <w:ind w:right="34" w:firstLine="424" w:firstLineChars="200"/>
        <w:jc w:val="left"/>
        <w:textAlignment w:val="baseline"/>
        <w:rPr>
          <w:rFonts w:ascii="宋体" w:hAnsi="宋体" w:eastAsia="宋体" w:cs="宋体"/>
          <w:spacing w:val="6"/>
          <w:sz w:val="20"/>
          <w:szCs w:val="20"/>
        </w:rPr>
      </w:pPr>
      <w:r>
        <w:rPr>
          <w:rFonts w:hint="eastAsia" w:ascii="宋体" w:hAnsi="宋体" w:eastAsia="宋体" w:cs="宋体"/>
          <w:spacing w:val="6"/>
          <w:sz w:val="20"/>
          <w:szCs w:val="20"/>
          <w:lang w:val="en-US" w:eastAsia="zh-CN"/>
        </w:rPr>
        <w:t xml:space="preserve">1 </w:t>
      </w:r>
      <w:r>
        <w:rPr>
          <w:rFonts w:ascii="宋体" w:hAnsi="宋体" w:eastAsia="宋体" w:cs="宋体"/>
          <w:snapToGrid w:val="0"/>
          <w:color w:val="000000"/>
          <w:spacing w:val="6"/>
          <w:kern w:val="0"/>
          <w:sz w:val="20"/>
          <w:szCs w:val="20"/>
          <w:lang w:val="en-US" w:eastAsia="zh-CN"/>
        </w:rPr>
        <w:t>根据水质特点及场地条件，提供两种超滤膜选型方案，</w:t>
      </w:r>
      <w:r>
        <w:rPr>
          <w:rFonts w:hint="eastAsia" w:ascii="宋体" w:hAnsi="宋体" w:eastAsia="宋体" w:cs="宋体"/>
          <w:snapToGrid w:val="0"/>
          <w:color w:val="000000"/>
          <w:spacing w:val="6"/>
          <w:kern w:val="0"/>
          <w:sz w:val="20"/>
          <w:szCs w:val="20"/>
          <w:lang w:val="en-US" w:eastAsia="zh-CN"/>
        </w:rPr>
        <w:t>按表6.4.8的规定确定，</w:t>
      </w:r>
      <w:r>
        <w:rPr>
          <w:rFonts w:ascii="宋体" w:hAnsi="宋体" w:eastAsia="宋体" w:cs="宋体"/>
          <w:snapToGrid w:val="0"/>
          <w:color w:val="000000"/>
          <w:spacing w:val="6"/>
          <w:kern w:val="0"/>
          <w:sz w:val="20"/>
          <w:szCs w:val="20"/>
          <w:lang w:val="en-US" w:eastAsia="zh-CN"/>
        </w:rPr>
        <w:t>核心参数满足产水水质要求：</w:t>
      </w:r>
    </w:p>
    <w:p>
      <w:pPr>
        <w:pStyle w:val="4"/>
        <w:jc w:val="center"/>
      </w:pPr>
    </w:p>
    <w:p>
      <w:pPr>
        <w:pStyle w:val="4"/>
        <w:jc w:val="center"/>
      </w:pPr>
    </w:p>
    <w:p>
      <w:pPr>
        <w:pStyle w:val="4"/>
        <w:jc w:val="center"/>
        <w:rPr>
          <w:rFonts w:hint="default" w:eastAsia="黑体"/>
          <w:lang w:val="en-US" w:eastAsia="zh-CN"/>
        </w:rPr>
      </w:pPr>
      <w:r>
        <w:t xml:space="preserve">表 </w:t>
      </w:r>
      <w:r>
        <w:rPr>
          <w:rFonts w:hint="eastAsia"/>
          <w:lang w:val="en-US" w:eastAsia="zh-CN"/>
        </w:rPr>
        <w:t>6.4.8 超滤膜选型及要求</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1336"/>
        <w:gridCol w:w="1201"/>
        <w:gridCol w:w="1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超滤膜</w:t>
            </w:r>
          </w:p>
        </w:tc>
        <w:tc>
          <w:tcPr>
            <w:tcW w:w="133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浸没式</w:t>
            </w:r>
          </w:p>
        </w:tc>
        <w:tc>
          <w:tcPr>
            <w:tcW w:w="1201"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柱式</w:t>
            </w: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产水规模（m³/h）</w:t>
            </w:r>
          </w:p>
        </w:tc>
        <w:tc>
          <w:tcPr>
            <w:tcW w:w="1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200～800</w:t>
            </w:r>
          </w:p>
        </w:tc>
        <w:tc>
          <w:tcPr>
            <w:tcW w:w="120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200～800</w:t>
            </w: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根据工艺需求制定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膜材质</w:t>
            </w:r>
          </w:p>
        </w:tc>
        <w:tc>
          <w:tcPr>
            <w:tcW w:w="1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增强型PVDF</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（抗污染）</w:t>
            </w:r>
          </w:p>
        </w:tc>
        <w:tc>
          <w:tcPr>
            <w:tcW w:w="120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高强度PVDF</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（耐氧化）</w:t>
            </w: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膜孔径</w:t>
            </w:r>
          </w:p>
        </w:tc>
        <w:tc>
          <w:tcPr>
            <w:tcW w:w="253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0.01μm～0.1μm</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确保出水SDI</w:t>
            </w:r>
            <w:r>
              <w:rPr>
                <w:rFonts w:hint="eastAsia" w:asciiTheme="minorEastAsia" w:hAnsiTheme="minorEastAsia" w:eastAsiaTheme="minorEastAsia" w:cstheme="minorEastAsia"/>
                <w:sz w:val="16"/>
                <w:szCs w:val="16"/>
                <w:lang w:val="en-US" w:eastAsia="zh-CN"/>
              </w:rPr>
              <w:t>小于等于</w:t>
            </w:r>
            <w:r>
              <w:rPr>
                <w:rFonts w:hint="eastAsia" w:asciiTheme="minorEastAsia" w:hAnsiTheme="minorEastAsia" w:eastAsiaTheme="minorEastAsia" w:cstheme="minorEastAsia"/>
                <w:sz w:val="16"/>
                <w:szCs w:val="16"/>
              </w:rPr>
              <w:t>3</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rPr>
              <w:t>浊度</w:t>
            </w:r>
            <w:r>
              <w:rPr>
                <w:rFonts w:hint="eastAsia" w:asciiTheme="minorEastAsia" w:hAnsiTheme="minorEastAsia" w:eastAsiaTheme="minorEastAsia" w:cstheme="minorEastAsia"/>
                <w:sz w:val="16"/>
                <w:szCs w:val="16"/>
                <w:lang w:val="en-US" w:eastAsia="zh-CN"/>
              </w:rPr>
              <w:t>小于等于</w:t>
            </w:r>
            <w:r>
              <w:rPr>
                <w:rFonts w:hint="eastAsia" w:asciiTheme="minorEastAsia" w:hAnsiTheme="minorEastAsia" w:eastAsiaTheme="minorEastAsia" w:cstheme="minorEastAsia"/>
                <w:sz w:val="16"/>
                <w:szCs w:val="16"/>
              </w:rPr>
              <w:t>0.1NTU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膜丝膜面积（㎡）</w:t>
            </w:r>
          </w:p>
        </w:tc>
        <w:tc>
          <w:tcPr>
            <w:tcW w:w="1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40～55</w:t>
            </w:r>
          </w:p>
        </w:tc>
        <w:tc>
          <w:tcPr>
            <w:tcW w:w="120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60～80</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膜系统平均通量</w:t>
            </w:r>
          </w:p>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L/（㎡·h）</w:t>
            </w:r>
          </w:p>
        </w:tc>
        <w:tc>
          <w:tcPr>
            <w:tcW w:w="1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28～35</w:t>
            </w:r>
          </w:p>
        </w:tc>
        <w:tc>
          <w:tcPr>
            <w:tcW w:w="120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28～35</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除反洗、清洗等操作外，计算净产水时间求最高通量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膜组件工作间歇设定</w:t>
            </w:r>
          </w:p>
        </w:tc>
        <w:tc>
          <w:tcPr>
            <w:tcW w:w="1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过滤15min/气水反洗0.4min</w:t>
            </w:r>
          </w:p>
        </w:tc>
        <w:tc>
          <w:tcPr>
            <w:tcW w:w="120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过滤50min/气水反洗0.5min</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rPr>
              <w:t>运行方式</w:t>
            </w:r>
          </w:p>
        </w:tc>
        <w:tc>
          <w:tcPr>
            <w:tcW w:w="1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rPr>
              <w:t>负压抽吸产水，重力反洗</w:t>
            </w:r>
          </w:p>
        </w:tc>
        <w:tc>
          <w:tcPr>
            <w:tcW w:w="120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rPr>
              <w:t>正压过滤，压力反洗</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清洗药剂及浓度</w:t>
            </w:r>
          </w:p>
        </w:tc>
        <w:tc>
          <w:tcPr>
            <w:tcW w:w="253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NaClO溶液，（200～5000）ppm</w:t>
            </w:r>
          </w:p>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柠檬酸/草酸，（1000～20000）ppm</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根据污堵情况选择洗膜方式与药剂浓度</w:t>
            </w:r>
          </w:p>
          <w:p>
            <w:pPr>
              <w:keepNext w:val="0"/>
              <w:keepLines w:val="0"/>
              <w:pageBreakBefore w:val="0"/>
              <w:widowControl w:val="0"/>
              <w:kinsoku/>
              <w:wordWrap/>
              <w:overflowPunct/>
              <w:topLinePunct w:val="0"/>
              <w:autoSpaceDE/>
              <w:autoSpaceDN/>
              <w:bidi w:val="0"/>
              <w:adjustRightInd/>
              <w:snapToGrid/>
              <w:spacing w:before="120" w:after="120" w:line="240" w:lineRule="auto"/>
              <w:ind w:left="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清洗pH范围：2～12</w:t>
            </w:r>
          </w:p>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最大清洗温度：35℃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维护性清洗时间</w:t>
            </w:r>
          </w:p>
        </w:tc>
        <w:tc>
          <w:tcPr>
            <w:tcW w:w="253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（0.5～4）h</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根据污堵情况清洗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维护性清洗频率</w:t>
            </w:r>
          </w:p>
        </w:tc>
        <w:tc>
          <w:tcPr>
            <w:tcW w:w="253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（1～2）d</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根据污堵情况清洗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恢复性清洗时间</w:t>
            </w:r>
          </w:p>
        </w:tc>
        <w:tc>
          <w:tcPr>
            <w:tcW w:w="253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（6～12）h</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根据污堵情况清洗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恢复性清洗频率</w:t>
            </w:r>
          </w:p>
        </w:tc>
        <w:tc>
          <w:tcPr>
            <w:tcW w:w="253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（1～2）月</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根据污堵情况清洗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一般运行跨膜压差</w:t>
            </w:r>
          </w:p>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（kPa）</w:t>
            </w:r>
          </w:p>
        </w:tc>
        <w:tc>
          <w:tcPr>
            <w:tcW w:w="1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小于65</w:t>
            </w:r>
          </w:p>
        </w:tc>
        <w:tc>
          <w:tcPr>
            <w:tcW w:w="120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小于100</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default"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跨膜压差超过限值，压差增长迅速，产水能力严重下降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曝气量/曝气压力</w:t>
            </w:r>
          </w:p>
        </w:tc>
        <w:tc>
          <w:tcPr>
            <w:tcW w:w="1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（2100～3360）Nm³/h</w:t>
            </w:r>
          </w:p>
        </w:tc>
        <w:tc>
          <w:tcPr>
            <w:tcW w:w="120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（0.5-0.65）MPa</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default"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最大运行温度</w:t>
            </w:r>
          </w:p>
        </w:tc>
        <w:tc>
          <w:tcPr>
            <w:tcW w:w="253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40℃</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运行pH值范围</w:t>
            </w:r>
          </w:p>
        </w:tc>
        <w:tc>
          <w:tcPr>
            <w:tcW w:w="253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6～9</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default"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w:t>
            </w:r>
          </w:p>
        </w:tc>
      </w:tr>
    </w:tbl>
    <w:p>
      <w:pPr>
        <w:pStyle w:val="4"/>
        <w:jc w:val="center"/>
        <w:rPr>
          <w:rFonts w:hint="default" w:eastAsia="黑体"/>
          <w:lang w:val="en-US" w:eastAsia="zh-CN"/>
        </w:rPr>
      </w:pPr>
      <w:r>
        <w:t xml:space="preserve">表 </w:t>
      </w:r>
      <w:r>
        <w:rPr>
          <w:rFonts w:hint="eastAsia"/>
          <w:lang w:val="en-US" w:eastAsia="zh-CN"/>
        </w:rPr>
        <w:t>6.4.8 超滤膜选型及要求</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2"/>
        <w:gridCol w:w="1336"/>
        <w:gridCol w:w="1201"/>
        <w:gridCol w:w="1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超滤膜</w:t>
            </w:r>
          </w:p>
        </w:tc>
        <w:tc>
          <w:tcPr>
            <w:tcW w:w="1336"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浸没式</w:t>
            </w:r>
          </w:p>
        </w:tc>
        <w:tc>
          <w:tcPr>
            <w:tcW w:w="1201"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柱式</w:t>
            </w:r>
          </w:p>
        </w:tc>
        <w:tc>
          <w:tcPr>
            <w:tcW w:w="1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rPr>
              <w:t>适用场景</w:t>
            </w:r>
          </w:p>
        </w:tc>
        <w:tc>
          <w:tcPr>
            <w:tcW w:w="1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rPr>
              <w:t>进水SS波动大、场地充足</w:t>
            </w:r>
          </w:p>
        </w:tc>
        <w:tc>
          <w:tcPr>
            <w:tcW w:w="120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rPr>
              <w:t>进水水质稳定、场地紧凑</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default"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en-US" w:bidi="ar-SA"/>
              </w:rPr>
            </w:pPr>
            <w:r>
              <w:rPr>
                <w:rFonts w:hint="eastAsia" w:asciiTheme="minorEastAsia" w:hAnsiTheme="minorEastAsia" w:eastAsiaTheme="minorEastAsia" w:cstheme="minorEastAsia"/>
                <w:sz w:val="16"/>
                <w:szCs w:val="16"/>
              </w:rPr>
              <w:t>产水水质</w:t>
            </w:r>
          </w:p>
        </w:tc>
        <w:tc>
          <w:tcPr>
            <w:tcW w:w="253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浊度</w:t>
            </w:r>
            <w:r>
              <w:rPr>
                <w:rFonts w:hint="eastAsia" w:asciiTheme="minorEastAsia" w:hAnsiTheme="minorEastAsia" w:eastAsiaTheme="minorEastAsia" w:cstheme="minorEastAsia"/>
                <w:sz w:val="16"/>
                <w:szCs w:val="16"/>
                <w:lang w:val="en-US" w:eastAsia="zh-CN"/>
              </w:rPr>
              <w:t>小于等于</w:t>
            </w:r>
            <w:r>
              <w:rPr>
                <w:rFonts w:hint="eastAsia" w:asciiTheme="minorEastAsia" w:hAnsiTheme="minorEastAsia" w:eastAsiaTheme="minorEastAsia" w:cstheme="minorEastAsia"/>
                <w:sz w:val="16"/>
                <w:szCs w:val="16"/>
              </w:rPr>
              <w:t>0.1NTU，</w:t>
            </w:r>
          </w:p>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rPr>
              <w:t>SDI</w:t>
            </w:r>
            <w:r>
              <w:rPr>
                <w:rFonts w:hint="eastAsia" w:asciiTheme="minorEastAsia" w:hAnsiTheme="minorEastAsia" w:eastAsiaTheme="minorEastAsia" w:cstheme="minorEastAsia"/>
                <w:sz w:val="16"/>
                <w:szCs w:val="16"/>
                <w:lang w:val="en-US" w:eastAsia="zh-CN"/>
              </w:rPr>
              <w:t>小于等于</w:t>
            </w:r>
            <w:r>
              <w:rPr>
                <w:rFonts w:hint="eastAsia" w:asciiTheme="minorEastAsia" w:hAnsiTheme="minorEastAsia" w:eastAsiaTheme="minorEastAsia" w:cstheme="minorEastAsia"/>
                <w:sz w:val="16"/>
                <w:szCs w:val="16"/>
              </w:rPr>
              <w:t>3</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rPr>
              <w:t>使用寿命</w:t>
            </w:r>
          </w:p>
        </w:tc>
        <w:tc>
          <w:tcPr>
            <w:tcW w:w="1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w:t>
            </w:r>
            <w:r>
              <w:rPr>
                <w:rFonts w:hint="eastAsia" w:asciiTheme="minorEastAsia" w:hAnsiTheme="minorEastAsia" w:eastAsiaTheme="minorEastAsia" w:cstheme="minorEastAsia"/>
                <w:sz w:val="16"/>
                <w:szCs w:val="16"/>
              </w:rPr>
              <w:t>3年</w:t>
            </w:r>
          </w:p>
        </w:tc>
        <w:tc>
          <w:tcPr>
            <w:tcW w:w="1201"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rPr>
              <w:t>90%</w:t>
            </w:r>
          </w:p>
        </w:tc>
        <w:tc>
          <w:tcPr>
            <w:tcW w:w="195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120" w:after="120"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rPr>
              <w:t>满足连续运行要求，化学清洗后通量恢复率</w:t>
            </w:r>
            <w:r>
              <w:rPr>
                <w:rFonts w:hint="eastAsia" w:asciiTheme="minorEastAsia" w:hAnsiTheme="minorEastAsia" w:eastAsiaTheme="minorEastAsia" w:cstheme="minorEastAsia"/>
                <w:sz w:val="16"/>
                <w:szCs w:val="16"/>
                <w:lang w:val="en-US" w:eastAsia="zh-CN"/>
              </w:rPr>
              <w:t>大于等于</w:t>
            </w:r>
          </w:p>
        </w:tc>
      </w:tr>
    </w:tbl>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9</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反洗</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1 超滤在运行中由于水中各类物质的污染，超滤的透膜压差(TMP)会上升。当其达到设定值时就需要对超滤膜进行反洗，以降低透膜压差。超滤的反洗和化学清洗都是在线进行的。</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2 反冲洗系统主要设备应包括反洗泵、阀门等，超滤反洗罐根据工艺需要设置。</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3 反冲洗水源为超滤产水。</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4 超滤反冲洗单元由程序控制自动运行，设置反洗泵，反洗泵设有联锁保护，应充分考虑当一套超滤装置反洗时，高压泵、反渗透装置、超滤产水池水位及在运行超滤装置的自动调节和保护等。</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5 超滤反洗水泵的出口管线应考虑设置过滤器，以避免反洗水中的机械性杂质进入超滤膜丝，对超滤膜丝造成损伤，过滤器的精度小于等于200μm，需考虑便于拆卸、清洗。</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p>
    <w:p>
      <w:pPr>
        <w:widowControl/>
        <w:kinsoku w:val="0"/>
        <w:autoSpaceDE w:val="0"/>
        <w:autoSpaceDN w:val="0"/>
        <w:adjustRightInd w:val="0"/>
        <w:snapToGrid w:val="0"/>
        <w:spacing w:before="218" w:line="330" w:lineRule="auto"/>
        <w:ind w:right="34" w:firstLine="424" w:firstLineChars="20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pacing w:val="6"/>
          <w:sz w:val="20"/>
          <w:szCs w:val="20"/>
          <w:lang w:val="en-US" w:eastAsia="zh-CN"/>
        </w:rPr>
        <w:t xml:space="preserve">6 </w:t>
      </w:r>
      <w:r>
        <w:rPr>
          <w:rFonts w:ascii="宋体" w:hAnsi="宋体" w:eastAsia="宋体" w:cs="宋体"/>
          <w:snapToGrid w:val="0"/>
          <w:color w:val="000000"/>
          <w:spacing w:val="6"/>
          <w:kern w:val="0"/>
          <w:sz w:val="20"/>
          <w:szCs w:val="20"/>
          <w:lang w:val="en-US" w:eastAsia="zh-CN"/>
        </w:rPr>
        <w:t>反洗系统采用气水联合反洗模式。常规水反洗周期15</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50min，反洗泵选用卧式离心泵，流量为膜组件产水量的2.5倍，扬程30m，材质为316L不锈钢，反洗压力0.2MPa，单次反洗时间30</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60s。</w:t>
      </w:r>
    </w:p>
    <w:p>
      <w:pPr>
        <w:widowControl/>
        <w:kinsoku w:val="0"/>
        <w:autoSpaceDE w:val="0"/>
        <w:autoSpaceDN w:val="0"/>
        <w:adjustRightInd w:val="0"/>
        <w:snapToGrid w:val="0"/>
        <w:spacing w:before="218" w:line="330" w:lineRule="auto"/>
        <w:ind w:right="34" w:firstLine="424" w:firstLineChars="20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 xml:space="preserve">7 </w:t>
      </w:r>
      <w:r>
        <w:rPr>
          <w:rFonts w:ascii="宋体" w:hAnsi="宋体" w:eastAsia="宋体" w:cs="宋体"/>
          <w:snapToGrid w:val="0"/>
          <w:color w:val="000000"/>
          <w:spacing w:val="6"/>
          <w:kern w:val="0"/>
          <w:sz w:val="20"/>
          <w:szCs w:val="20"/>
          <w:lang w:val="en-US" w:eastAsia="zh-CN"/>
        </w:rPr>
        <w:t>气洗与水洗同时进行，柱式超滤配套气擦洗鼓风机与空气储罐保证气洗压力，浸没式超滤配合空气/磁悬浮鼓风机提供反洗压力与风量，风机风量65</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75Nm³/min，气洗强度15L/(m²・s)，气洗时间30</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60s。</w:t>
      </w:r>
    </w:p>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4</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10</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化学清洗</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1 化学清洗包括在线清洗CIP和加强清洗CEB两种，均由PLC控制自动完成。</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2 化学清洗溶液采用超滤产水或反渗透产水配制。</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3 清洗单元设备包括清洗溶液罐（采用电加热设备）、清洗泵及配套阀门、仪表等装置。</w:t>
      </w:r>
    </w:p>
    <w:p>
      <w:pPr>
        <w:widowControl/>
        <w:kinsoku w:val="0"/>
        <w:autoSpaceDE w:val="0"/>
        <w:autoSpaceDN w:val="0"/>
        <w:adjustRightInd w:val="0"/>
        <w:snapToGrid w:val="0"/>
        <w:spacing w:before="218" w:line="330" w:lineRule="auto"/>
        <w:ind w:right="34" w:firstLine="424" w:firstLineChars="20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pacing w:val="6"/>
          <w:sz w:val="20"/>
          <w:szCs w:val="20"/>
          <w:lang w:val="en-US" w:eastAsia="zh-CN"/>
        </w:rPr>
        <w:t xml:space="preserve">4 </w:t>
      </w:r>
      <w:r>
        <w:rPr>
          <w:rFonts w:ascii="宋体" w:hAnsi="宋体" w:eastAsia="宋体" w:cs="宋体"/>
          <w:snapToGrid w:val="0"/>
          <w:color w:val="000000"/>
          <w:spacing w:val="6"/>
          <w:kern w:val="0"/>
          <w:sz w:val="20"/>
          <w:szCs w:val="20"/>
          <w:lang w:val="en-US" w:eastAsia="zh-CN"/>
        </w:rPr>
        <w:t>化学清洗分为维护性清洗与恢复性清洗，周期分别为1</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3天与1</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2个月，采用“碱性清洗+酸性清洗”交替方式。</w:t>
      </w:r>
    </w:p>
    <w:p>
      <w:pPr>
        <w:widowControl/>
        <w:kinsoku w:val="0"/>
        <w:autoSpaceDE w:val="0"/>
        <w:autoSpaceDN w:val="0"/>
        <w:adjustRightInd w:val="0"/>
        <w:snapToGrid w:val="0"/>
        <w:spacing w:before="218" w:line="330" w:lineRule="auto"/>
        <w:ind w:right="34" w:firstLine="424" w:firstLineChars="20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 xml:space="preserve">5 </w:t>
      </w:r>
      <w:r>
        <w:rPr>
          <w:rFonts w:ascii="宋体" w:hAnsi="宋体" w:eastAsia="宋体" w:cs="宋体"/>
          <w:snapToGrid w:val="0"/>
          <w:color w:val="000000"/>
          <w:spacing w:val="6"/>
          <w:kern w:val="0"/>
          <w:sz w:val="20"/>
          <w:szCs w:val="20"/>
          <w:lang w:val="en-US" w:eastAsia="zh-CN"/>
        </w:rPr>
        <w:t>碱性清洗采用200</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5000ppm次氯酸钠溶液，清洗温度25</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30℃；酸性清洗采用1000</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20000mg/L 柠檬酸溶液，调节pH值至2.0</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2.5。</w:t>
      </w:r>
    </w:p>
    <w:p>
      <w:pPr>
        <w:widowControl/>
        <w:kinsoku w:val="0"/>
        <w:autoSpaceDE w:val="0"/>
        <w:autoSpaceDN w:val="0"/>
        <w:adjustRightInd w:val="0"/>
        <w:snapToGrid w:val="0"/>
        <w:spacing w:before="218" w:line="330" w:lineRule="auto"/>
        <w:ind w:right="34" w:firstLine="424" w:firstLineChars="200"/>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 xml:space="preserve">6 </w:t>
      </w:r>
      <w:r>
        <w:rPr>
          <w:rFonts w:ascii="宋体" w:hAnsi="宋体" w:eastAsia="宋体" w:cs="宋体"/>
          <w:snapToGrid w:val="0"/>
          <w:color w:val="000000"/>
          <w:spacing w:val="6"/>
          <w:kern w:val="0"/>
          <w:sz w:val="20"/>
          <w:szCs w:val="20"/>
          <w:lang w:val="en-US" w:eastAsia="zh-CN"/>
        </w:rPr>
        <w:t>清洗后采用产水冲洗至出水pH值恢复至6.5</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7.5，膜通量需恢复至初始值的90%以上，产水SDI</w:t>
      </w:r>
      <w:r>
        <w:rPr>
          <w:rFonts w:hint="eastAsia" w:ascii="宋体" w:hAnsi="宋体" w:eastAsia="宋体" w:cs="宋体"/>
          <w:snapToGrid w:val="0"/>
          <w:color w:val="000000"/>
          <w:spacing w:val="6"/>
          <w:kern w:val="0"/>
          <w:sz w:val="20"/>
          <w:szCs w:val="20"/>
          <w:lang w:val="en-US" w:eastAsia="zh-CN"/>
        </w:rPr>
        <w:t>小于等于</w:t>
      </w:r>
      <w:r>
        <w:rPr>
          <w:rFonts w:ascii="宋体" w:hAnsi="宋体" w:eastAsia="宋体" w:cs="宋体"/>
          <w:snapToGrid w:val="0"/>
          <w:color w:val="000000"/>
          <w:spacing w:val="6"/>
          <w:kern w:val="0"/>
          <w:sz w:val="20"/>
          <w:szCs w:val="20"/>
          <w:lang w:val="en-US" w:eastAsia="zh-CN"/>
        </w:rPr>
        <w:t>3，浊度</w:t>
      </w:r>
      <w:r>
        <w:rPr>
          <w:rFonts w:hint="eastAsia" w:ascii="宋体" w:hAnsi="宋体" w:eastAsia="宋体" w:cs="宋体"/>
          <w:snapToGrid w:val="0"/>
          <w:color w:val="000000"/>
          <w:spacing w:val="6"/>
          <w:kern w:val="0"/>
          <w:sz w:val="20"/>
          <w:szCs w:val="20"/>
          <w:lang w:val="en-US" w:eastAsia="zh-CN"/>
        </w:rPr>
        <w:t>小于等于</w:t>
      </w:r>
      <w:r>
        <w:rPr>
          <w:rFonts w:ascii="宋体" w:hAnsi="宋体" w:eastAsia="宋体" w:cs="宋体"/>
          <w:snapToGrid w:val="0"/>
          <w:color w:val="000000"/>
          <w:spacing w:val="6"/>
          <w:kern w:val="0"/>
          <w:sz w:val="20"/>
          <w:szCs w:val="20"/>
          <w:lang w:val="en-US" w:eastAsia="zh-CN"/>
        </w:rPr>
        <w:t>0.1NTU。</w:t>
      </w:r>
    </w:p>
    <w:p>
      <w:pPr>
        <w:pStyle w:val="5"/>
        <w:spacing w:before="159" w:line="231" w:lineRule="auto"/>
        <w:jc w:val="center"/>
        <w:outlineLvl w:val="0"/>
        <w:rPr>
          <w:rFonts w:hint="eastAsia"/>
          <w:spacing w:val="6"/>
          <w:sz w:val="20"/>
          <w:szCs w:val="20"/>
          <w:lang w:val="en-US" w:eastAsia="zh-CN"/>
        </w:rPr>
      </w:pPr>
    </w:p>
    <w:p>
      <w:pPr>
        <w:pStyle w:val="5"/>
        <w:spacing w:before="159" w:line="231" w:lineRule="auto"/>
        <w:jc w:val="center"/>
        <w:outlineLvl w:val="0"/>
        <w:rPr>
          <w:rFonts w:hint="eastAsia"/>
          <w:spacing w:val="6"/>
          <w:sz w:val="20"/>
          <w:szCs w:val="20"/>
          <w:lang w:val="en-US" w:eastAsia="zh-CN"/>
        </w:rPr>
      </w:pPr>
      <w:bookmarkStart w:id="58" w:name="_Toc16429"/>
      <w:bookmarkStart w:id="59" w:name="_Toc14580"/>
      <w:r>
        <w:rPr>
          <w:rFonts w:hint="eastAsia"/>
          <w:spacing w:val="6"/>
          <w:sz w:val="20"/>
          <w:szCs w:val="20"/>
          <w:lang w:val="en-US" w:eastAsia="zh-CN"/>
        </w:rPr>
        <w:t>6.5 反渗透</w:t>
      </w:r>
      <w:r>
        <w:rPr>
          <w:rFonts w:hint="default"/>
          <w:spacing w:val="6"/>
          <w:sz w:val="20"/>
          <w:szCs w:val="20"/>
          <w:lang w:val="en-US" w:eastAsia="en-US"/>
        </w:rPr>
        <w:t>系统</w:t>
      </w:r>
      <w:bookmarkEnd w:id="58"/>
      <w:bookmarkEnd w:id="59"/>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.1</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选用卷式芳香聚酰胺复合反渗透膜，单支膜元件产水量1.5m³/h</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2.5m³/h，脱盐率</w:t>
      </w:r>
      <w:r>
        <w:rPr>
          <w:rFonts w:hint="eastAsia" w:ascii="宋体" w:hAnsi="宋体" w:eastAsia="宋体" w:cs="宋体"/>
          <w:snapToGrid w:val="0"/>
          <w:color w:val="000000"/>
          <w:spacing w:val="6"/>
          <w:kern w:val="0"/>
          <w:sz w:val="20"/>
          <w:szCs w:val="20"/>
          <w:lang w:val="en-US" w:eastAsia="zh-CN"/>
        </w:rPr>
        <w:t>大于等于</w:t>
      </w:r>
      <w:r>
        <w:rPr>
          <w:rFonts w:ascii="宋体" w:hAnsi="宋体" w:eastAsia="宋体" w:cs="宋体"/>
          <w:snapToGrid w:val="0"/>
          <w:color w:val="000000"/>
          <w:spacing w:val="6"/>
          <w:kern w:val="0"/>
          <w:sz w:val="20"/>
          <w:szCs w:val="20"/>
          <w:lang w:val="en-US" w:eastAsia="zh-CN"/>
        </w:rPr>
        <w:t>99%，设计通量20L/(m²・h)</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25L/(m²・h)，运行压力0.5MPa</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1.4MPa，回收率75</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80%。</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2</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进水需满足：SDI</w:t>
      </w:r>
      <w:r>
        <w:rPr>
          <w:rFonts w:hint="eastAsia" w:ascii="宋体" w:hAnsi="宋体" w:eastAsia="宋体" w:cs="宋体"/>
          <w:snapToGrid w:val="0"/>
          <w:color w:val="000000"/>
          <w:spacing w:val="6"/>
          <w:kern w:val="0"/>
          <w:sz w:val="20"/>
          <w:szCs w:val="20"/>
          <w:lang w:val="en-US" w:eastAsia="zh-CN"/>
        </w:rPr>
        <w:t>小于等于</w:t>
      </w:r>
      <w:r>
        <w:rPr>
          <w:rFonts w:ascii="宋体" w:hAnsi="宋体" w:eastAsia="宋体" w:cs="宋体"/>
          <w:snapToGrid w:val="0"/>
          <w:color w:val="000000"/>
          <w:spacing w:val="6"/>
          <w:kern w:val="0"/>
          <w:sz w:val="20"/>
          <w:szCs w:val="20"/>
          <w:lang w:val="en-US" w:eastAsia="zh-CN"/>
        </w:rPr>
        <w:t>3，余氯</w:t>
      </w:r>
      <w:r>
        <w:rPr>
          <w:rFonts w:hint="eastAsia" w:ascii="宋体" w:hAnsi="宋体" w:eastAsia="宋体" w:cs="宋体"/>
          <w:snapToGrid w:val="0"/>
          <w:color w:val="000000"/>
          <w:spacing w:val="6"/>
          <w:kern w:val="0"/>
          <w:sz w:val="20"/>
          <w:szCs w:val="20"/>
          <w:lang w:val="en-US" w:eastAsia="zh-CN"/>
        </w:rPr>
        <w:t>小于等于</w:t>
      </w:r>
      <w:r>
        <w:rPr>
          <w:rFonts w:ascii="宋体" w:hAnsi="宋体" w:eastAsia="宋体" w:cs="宋体"/>
          <w:snapToGrid w:val="0"/>
          <w:color w:val="000000"/>
          <w:spacing w:val="6"/>
          <w:kern w:val="0"/>
          <w:sz w:val="20"/>
          <w:szCs w:val="20"/>
          <w:lang w:val="en-US" w:eastAsia="zh-CN"/>
        </w:rPr>
        <w:t>0.1mg/L，pH值6.5</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7.5。</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napToGrid w:val="0"/>
          <w:color w:val="000000"/>
          <w:spacing w:val="6"/>
          <w:kern w:val="0"/>
          <w:sz w:val="20"/>
          <w:szCs w:val="20"/>
          <w:lang w:val="en-US" w:eastAsia="zh-CN"/>
        </w:rPr>
        <w:t xml:space="preserve">6.5.3 </w:t>
      </w:r>
      <w:r>
        <w:rPr>
          <w:rFonts w:hint="eastAsia" w:ascii="宋体" w:hAnsi="宋体" w:eastAsia="宋体" w:cs="宋体"/>
          <w:snapToGrid w:val="0"/>
          <w:color w:val="000000"/>
          <w:spacing w:val="6"/>
          <w:kern w:val="0"/>
          <w:sz w:val="20"/>
          <w:szCs w:val="20"/>
          <w:lang w:val="en-US" w:eastAsia="zh-CN"/>
        </w:rPr>
        <w:t>系统要求实现全自动化操作，要求实现反渗透膜组产水恒流量运行模式。</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napToGrid w:val="0"/>
          <w:color w:val="000000"/>
          <w:spacing w:val="6"/>
          <w:kern w:val="0"/>
          <w:sz w:val="20"/>
          <w:szCs w:val="20"/>
          <w:lang w:val="en-US" w:eastAsia="zh-CN"/>
        </w:rPr>
        <w:t>6.5.4</w:t>
      </w:r>
      <w:r>
        <w:rPr>
          <w:rFonts w:hint="eastAsia" w:ascii="宋体" w:hAnsi="宋体" w:eastAsia="宋体" w:cs="宋体"/>
          <w:snapToGrid w:val="0"/>
          <w:color w:val="000000"/>
          <w:spacing w:val="6"/>
          <w:kern w:val="0"/>
          <w:sz w:val="20"/>
          <w:szCs w:val="20"/>
          <w:lang w:val="en-US" w:eastAsia="zh-CN"/>
        </w:rPr>
        <w:t xml:space="preserve"> 反渗透系统高压泵、段间泵应至少留有10～15%的富裕量，以克服随着运行时间增长可能出现的膜出力下降的问题。高压泵出口装设电动慢开门装置(控制阀门开启速度)和压力开关，以防膜组件受高压水的冲击，并在压力高时报警及停泵。高压泵进口装压力开关，压力低时报警及停泵。高压泵及附件的材料均采用SS316L不锈钢。密封装置采用防腐材料、机械密封。反渗透进水泵、高压泵、段间泵、冲洗泵变频控制。段间需设置段间压力变送器，数据上传至控制室。</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反渗透膜为标准8英寸膜，膜壳应采用6芯或7芯玻璃钢膜壳。反渗透膜组件按照一级二段的方式连接，段内并联、段间串联，根据工艺情况设置段间增压泵。</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6</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反渗透系统应保证连续稳定的供水量，系统能力宜富裕20%～30%。每套系列反渗透装置配置独立保安过滤器，保安过滤器的精度宜5μm或10μm。</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7</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装置应设有程序启停装置，停用后能延时自动冲洗。反渗透系统监测点及数量等要满足系统的安全、稳定、可靠运行需要。</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8</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膜组件安装在组合架上，组合架上应配备全部管道、接头。</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9</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反渗透产水管上应装设爆破膜及压力变送器并配备涡街流量计、不合格水自动排放阀门以及止回阀，反渗透浓水排水管上有流量控制阀，并配备电磁流量计，以控制水的回收率。</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10</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反渗透设备产水管、浓水管、二段进水管应设取样点，取样点的数量及位置能有效地诊断并确定系统的缺陷。</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11</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保安过滤器</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1 滤芯要求：可清洗重复利用；有效过滤面积大，纳污容量高；最高耐受压差需到达0.4MPa；滤芯精度需小于等于5μm；采用特殊设计密封圈，安装和拆卸滤芯时轻松不费力，可实现单人手动快速操作。</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spacing w:val="6"/>
          <w:sz w:val="20"/>
          <w:szCs w:val="20"/>
          <w:lang w:val="en-US" w:eastAsia="zh-CN"/>
        </w:rPr>
        <w:t>2 保安过滤器要求：过流材质可选用非金属材料，强耐腐蚀性能，适用于海水等腐蚀性液体过滤；配备阀门可实现不断流地逐支更换滤芯；壳体清洗简单无死角，减少有机物等杂质二次污染；配备专用扳手，拆装滤芯省时省力；配备自动正洗功能，以有效延长滤芯使用周期。</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12</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反渗透膜选型</w:t>
      </w:r>
    </w:p>
    <w:p>
      <w:pPr>
        <w:widowControl/>
        <w:kinsoku w:val="0"/>
        <w:autoSpaceDE w:val="0"/>
        <w:autoSpaceDN w:val="0"/>
        <w:adjustRightInd w:val="0"/>
        <w:snapToGrid w:val="0"/>
        <w:spacing w:before="218" w:line="330" w:lineRule="auto"/>
        <w:ind w:right="34" w:firstLine="424" w:firstLineChars="200"/>
        <w:jc w:val="left"/>
        <w:textAlignment w:val="baseline"/>
        <w:rPr>
          <w:rFonts w:ascii="宋体" w:hAnsi="宋体" w:eastAsia="宋体" w:cs="宋体"/>
          <w:spacing w:val="6"/>
          <w:sz w:val="20"/>
          <w:szCs w:val="20"/>
        </w:rPr>
      </w:pPr>
      <w:r>
        <w:rPr>
          <w:rFonts w:hint="eastAsia" w:ascii="宋体" w:hAnsi="宋体" w:eastAsia="宋体" w:cs="宋体"/>
          <w:spacing w:val="6"/>
          <w:sz w:val="20"/>
          <w:szCs w:val="20"/>
          <w:lang w:val="en-US" w:eastAsia="zh-CN"/>
        </w:rPr>
        <w:t xml:space="preserve">1 </w:t>
      </w:r>
      <w:r>
        <w:rPr>
          <w:rFonts w:ascii="宋体" w:hAnsi="宋体" w:eastAsia="宋体" w:cs="宋体"/>
          <w:snapToGrid w:val="0"/>
          <w:color w:val="000000"/>
          <w:spacing w:val="6"/>
          <w:kern w:val="0"/>
          <w:sz w:val="20"/>
          <w:szCs w:val="20"/>
          <w:lang w:val="en-US" w:eastAsia="zh-CN"/>
        </w:rPr>
        <w:t>结合市政一级A类污水处理尾端含盐量特点（电导率1500μs/cm</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4000μs/cm），选用低污染芳香聚酰胺复合反渗透膜，</w:t>
      </w:r>
      <w:r>
        <w:rPr>
          <w:rFonts w:hint="eastAsia" w:ascii="宋体" w:hAnsi="宋体" w:eastAsia="宋体" w:cs="宋体"/>
          <w:snapToGrid w:val="0"/>
          <w:color w:val="000000"/>
          <w:spacing w:val="6"/>
          <w:kern w:val="0"/>
          <w:sz w:val="20"/>
          <w:szCs w:val="20"/>
          <w:lang w:val="en-US" w:eastAsia="zh-CN"/>
        </w:rPr>
        <w:t>按表6.5.12的规定确定</w:t>
      </w:r>
      <w:r>
        <w:rPr>
          <w:rFonts w:ascii="宋体" w:hAnsi="宋体" w:eastAsia="宋体" w:cs="宋体"/>
          <w:snapToGrid w:val="0"/>
          <w:color w:val="000000"/>
          <w:spacing w:val="6"/>
          <w:kern w:val="0"/>
          <w:sz w:val="20"/>
          <w:szCs w:val="20"/>
          <w:lang w:val="en-US" w:eastAsia="zh-CN"/>
        </w:rPr>
        <w:t>推荐两种主流型号及参数：</w:t>
      </w:r>
    </w:p>
    <w:p>
      <w:pPr>
        <w:pStyle w:val="4"/>
        <w:jc w:val="center"/>
        <w:rPr>
          <w:rFonts w:hint="default" w:eastAsia="黑体"/>
          <w:lang w:val="en-US" w:eastAsia="zh-CN"/>
        </w:rPr>
      </w:pPr>
      <w:r>
        <w:t xml:space="preserve">表 </w:t>
      </w:r>
      <w:r>
        <w:rPr>
          <w:rFonts w:hint="eastAsia"/>
          <w:lang w:val="en-US" w:eastAsia="zh-CN"/>
        </w:rPr>
        <w:t>6.5.12 反渗透膜选型及要求</w:t>
      </w:r>
    </w:p>
    <w:tbl>
      <w:tblPr>
        <w:tblStyle w:val="9"/>
        <w:tblW w:w="0" w:type="auto"/>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575"/>
        <w:gridCol w:w="2063"/>
        <w:gridCol w:w="2381"/>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60" w:hRule="atLeast"/>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选型指标</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型号A（高脱盐型）</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型号B（高抗污染型）</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78" w:hRule="atLeast"/>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含盐量要求</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小于2000 ppm</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2000ppm～8000 ppm</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优点</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超低运行压力、高水通水量</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脱盐率高、产水量大、抗污染强</w:t>
            </w:r>
          </w:p>
        </w:tc>
      </w:tr>
    </w:tbl>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b/>
          <w:bCs/>
          <w:spacing w:val="6"/>
          <w:sz w:val="20"/>
          <w:szCs w:val="20"/>
          <w:lang w:val="en-US" w:eastAsia="zh-CN"/>
        </w:rPr>
      </w:pPr>
    </w:p>
    <w:p>
      <w:pPr>
        <w:pStyle w:val="4"/>
        <w:jc w:val="center"/>
        <w:rPr>
          <w:rFonts w:hint="default" w:eastAsia="黑体"/>
          <w:lang w:val="en-US" w:eastAsia="zh-CN"/>
        </w:rPr>
      </w:pPr>
      <w:r>
        <w:t xml:space="preserve">表 </w:t>
      </w:r>
      <w:r>
        <w:rPr>
          <w:rFonts w:hint="eastAsia"/>
          <w:lang w:val="en-US" w:eastAsia="zh-CN"/>
        </w:rPr>
        <w:t>6.5.12 反渗透膜选型及要求</w:t>
      </w:r>
    </w:p>
    <w:tbl>
      <w:tblPr>
        <w:tblStyle w:val="9"/>
        <w:tblW w:w="0" w:type="auto"/>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575"/>
        <w:gridCol w:w="2063"/>
        <w:gridCol w:w="2381"/>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60" w:hRule="atLeast"/>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选型指标</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型号A（高脱盐型）</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型号B（高抗污染型）</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适用环境</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半导体、化工、市政、钢铁、电力、电子等行业</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化工、市政、钢铁、电力、电子等行业的苦咸水淡化、市政污水及工业废水的回用</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膜元件规格</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8英寸×40英寸</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8英寸×40英寸</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有效膜面积</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400ft²（约37.2m²）</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400ft²（约37.2m²）</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标准产水量（25℃）</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41.6m³/d（单支）</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41.6m³/d（单支）</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初始脱盐率</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大于等于99.3%</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大于等于99.4%</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流道宽度</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34-LD mil</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34-LD mil</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最大运行压力</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600psi（4.14MPa ）</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600psi（4.14MPa ）</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default" w:asciiTheme="minorEastAsia" w:hAnsiTheme="minorEastAsia" w:eastAsiaTheme="minorEastAsia" w:cstheme="minorEastAsia"/>
                <w:sz w:val="16"/>
                <w:szCs w:val="16"/>
                <w:lang w:val="en-US" w:eastAsia="zh-CN"/>
              </w:rPr>
              <w:t>最大进水余氯浓度</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 xml:space="preserve">0.1mg/L </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 xml:space="preserve">0.1mg/L </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default" w:asciiTheme="minorEastAsia" w:hAnsiTheme="minorEastAsia" w:eastAsiaTheme="minorEastAsia" w:cstheme="minorEastAsia"/>
                <w:sz w:val="16"/>
                <w:szCs w:val="16"/>
                <w:lang w:val="en-US" w:eastAsia="zh-CN"/>
              </w:rPr>
              <w:t>最高进水温度</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45℃</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45℃</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default" w:asciiTheme="minorEastAsia" w:hAnsiTheme="minorEastAsia" w:eastAsiaTheme="minorEastAsia" w:cstheme="minorEastAsia"/>
                <w:sz w:val="16"/>
                <w:szCs w:val="16"/>
                <w:lang w:val="en-US" w:eastAsia="zh-CN"/>
              </w:rPr>
              <w:t xml:space="preserve">连续运行pH </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default" w:asciiTheme="minorEastAsia" w:hAnsiTheme="minorEastAsia" w:eastAsiaTheme="minorEastAsia" w:cstheme="minorEastAsia"/>
                <w:sz w:val="16"/>
                <w:szCs w:val="16"/>
                <w:lang w:val="en-US" w:eastAsia="zh-CN"/>
              </w:rPr>
              <w:t xml:space="preserve">3～10 </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default" w:asciiTheme="minorEastAsia" w:hAnsiTheme="minorEastAsia" w:eastAsiaTheme="minorEastAsia" w:cstheme="minorEastAsia"/>
                <w:sz w:val="16"/>
                <w:szCs w:val="16"/>
                <w:lang w:val="en-US" w:eastAsia="zh-CN"/>
              </w:rPr>
              <w:t xml:space="preserve">3～10 </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178" w:hRule="atLeast"/>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napToGrid w:val="0"/>
                <w:color w:val="000000"/>
                <w:kern w:val="0"/>
                <w:sz w:val="16"/>
                <w:szCs w:val="16"/>
                <w:lang w:val="en-US" w:eastAsia="zh-CN" w:bidi="ar-SA"/>
              </w:rPr>
            </w:pPr>
            <w:r>
              <w:rPr>
                <w:rFonts w:hint="default" w:asciiTheme="minorEastAsia" w:hAnsiTheme="minorEastAsia" w:eastAsiaTheme="minorEastAsia" w:cstheme="minorEastAsia"/>
                <w:sz w:val="16"/>
                <w:szCs w:val="16"/>
                <w:lang w:val="en-US" w:eastAsia="zh-CN"/>
              </w:rPr>
              <w:t>化学清洗时最大pH</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2～12</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2～12</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napToGrid w:val="0"/>
                <w:color w:val="000000"/>
                <w:kern w:val="0"/>
                <w:sz w:val="16"/>
                <w:szCs w:val="16"/>
                <w:lang w:val="en-US" w:eastAsia="zh-CN" w:bidi="ar-SA"/>
              </w:rPr>
            </w:pPr>
            <w:r>
              <w:rPr>
                <w:rFonts w:hint="default" w:asciiTheme="minorEastAsia" w:hAnsiTheme="minorEastAsia" w:eastAsiaTheme="minorEastAsia" w:cstheme="minorEastAsia"/>
                <w:sz w:val="16"/>
                <w:szCs w:val="16"/>
                <w:lang w:val="en-US" w:eastAsia="zh-CN"/>
              </w:rPr>
              <w:t xml:space="preserve">最大进水浊度： </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1NTU</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1NTU</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napToGrid w:val="0"/>
                <w:color w:val="000000"/>
                <w:kern w:val="0"/>
                <w:sz w:val="16"/>
                <w:szCs w:val="16"/>
                <w:lang w:val="en-US" w:eastAsia="zh-CN" w:bidi="ar-SA"/>
              </w:rPr>
            </w:pPr>
            <w:r>
              <w:rPr>
                <w:rFonts w:hint="default" w:asciiTheme="minorEastAsia" w:hAnsiTheme="minorEastAsia" w:eastAsiaTheme="minorEastAsia" w:cstheme="minorEastAsia"/>
                <w:sz w:val="16"/>
                <w:szCs w:val="16"/>
                <w:lang w:val="en-US" w:eastAsia="zh-CN"/>
              </w:rPr>
              <w:t>最大进水SDI</w:t>
            </w:r>
            <w:r>
              <w:rPr>
                <w:rFonts w:hint="eastAsia" w:asciiTheme="minorEastAsia" w:hAnsiTheme="minorEastAsia" w:eastAsiaTheme="minorEastAsia" w:cstheme="minorEastAsia"/>
                <w:sz w:val="16"/>
                <w:szCs w:val="16"/>
                <w:lang w:val="en-US" w:eastAsia="zh-CN"/>
              </w:rPr>
              <w:t>（</w:t>
            </w:r>
            <w:r>
              <w:rPr>
                <w:rFonts w:hint="default" w:asciiTheme="minorEastAsia" w:hAnsiTheme="minorEastAsia" w:eastAsiaTheme="minorEastAsia" w:cstheme="minorEastAsia"/>
                <w:sz w:val="16"/>
                <w:szCs w:val="16"/>
                <w:lang w:val="en-US" w:eastAsia="zh-CN"/>
              </w:rPr>
              <w:t>15</w:t>
            </w:r>
            <w:r>
              <w:rPr>
                <w:rFonts w:hint="eastAsia" w:asciiTheme="minorEastAsia" w:hAnsiTheme="minorEastAsia" w:eastAsiaTheme="minorEastAsia" w:cstheme="minorEastAsia"/>
                <w:sz w:val="16"/>
                <w:szCs w:val="16"/>
                <w:lang w:val="en-US" w:eastAsia="zh-CN"/>
              </w:rPr>
              <w:t>）</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default" w:asciiTheme="minorEastAsia" w:hAnsiTheme="minorEastAsia" w:eastAsiaTheme="minorEastAsia" w:cstheme="minorEastAsia"/>
                <w:sz w:val="16"/>
                <w:szCs w:val="16"/>
                <w:lang w:val="en-US" w:eastAsia="zh-CN"/>
              </w:rPr>
              <w:t>5</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5</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default" w:asciiTheme="minorEastAsia" w:hAnsiTheme="minorEastAsia" w:eastAsiaTheme="minorEastAsia" w:cstheme="minorEastAsia"/>
                <w:sz w:val="16"/>
                <w:szCs w:val="16"/>
                <w:lang w:val="en-US" w:eastAsia="zh-CN"/>
              </w:rPr>
              <w:t>最大进水流量</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17.0m³/h</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17.0m³/h</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default" w:asciiTheme="minorEastAsia" w:hAnsiTheme="minorEastAsia" w:eastAsiaTheme="minorEastAsia" w:cstheme="minorEastAsia"/>
                <w:sz w:val="16"/>
                <w:szCs w:val="16"/>
                <w:lang w:val="en-US" w:eastAsia="zh-CN"/>
              </w:rPr>
              <w:t>单支膜元件最大压降</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napToGrid w:val="0"/>
                <w:color w:val="000000"/>
                <w:kern w:val="0"/>
                <w:sz w:val="16"/>
                <w:szCs w:val="16"/>
                <w:lang w:val="en-US" w:eastAsia="zh-CN" w:bidi="ar-SA"/>
              </w:rPr>
            </w:pPr>
            <w:r>
              <w:rPr>
                <w:rFonts w:hint="default" w:asciiTheme="minorEastAsia" w:hAnsiTheme="minorEastAsia" w:eastAsiaTheme="minorEastAsia" w:cstheme="minorEastAsia"/>
                <w:sz w:val="16"/>
                <w:szCs w:val="16"/>
                <w:lang w:val="en-US" w:eastAsia="zh-CN"/>
              </w:rPr>
              <w:t>15</w:t>
            </w:r>
            <w:r>
              <w:rPr>
                <w:rFonts w:hint="eastAsia" w:asciiTheme="minorEastAsia" w:hAnsiTheme="minorEastAsia" w:eastAsiaTheme="minorEastAsia" w:cstheme="minorEastAsia"/>
                <w:sz w:val="16"/>
                <w:szCs w:val="16"/>
                <w:lang w:val="en-US" w:eastAsia="zh-CN"/>
              </w:rPr>
              <w:t>psi（0.10MPa）</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default" w:asciiTheme="minorEastAsia" w:hAnsiTheme="minorEastAsia" w:eastAsiaTheme="minorEastAsia" w:cstheme="minorEastAsia"/>
                <w:sz w:val="16"/>
                <w:szCs w:val="16"/>
                <w:lang w:val="en-US" w:eastAsia="zh-CN"/>
              </w:rPr>
              <w:t>15</w:t>
            </w:r>
            <w:r>
              <w:rPr>
                <w:rFonts w:hint="eastAsia" w:asciiTheme="minorEastAsia" w:hAnsiTheme="minorEastAsia" w:eastAsiaTheme="minorEastAsia" w:cstheme="minorEastAsia"/>
                <w:sz w:val="16"/>
                <w:szCs w:val="16"/>
                <w:lang w:val="en-US" w:eastAsia="zh-CN"/>
              </w:rPr>
              <w:t>psi（0.10MPa）</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使用寿命</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大于等于5年</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大于等于5年</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质保期内最低脱盐率</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大于等于98%</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大于等于98%</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寿命期内最低脱盐率</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大于等于95%</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大于等于95%</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回收率</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大于等于75%</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大于等于75%</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膜通量</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小于等于17.5L/（㎡·h））</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小于等于17.5L/（㎡·h））</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15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清洗周期</w:t>
            </w:r>
          </w:p>
        </w:tc>
        <w:tc>
          <w:tcPr>
            <w:tcW w:w="206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大于等于1个月</w:t>
            </w:r>
          </w:p>
        </w:tc>
        <w:tc>
          <w:tcPr>
            <w:tcW w:w="238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大于等于1个月</w:t>
            </w:r>
          </w:p>
        </w:tc>
      </w:tr>
    </w:tbl>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napToGrid w:val="0"/>
          <w:color w:val="000000"/>
          <w:spacing w:val="6"/>
          <w:kern w:val="0"/>
          <w:sz w:val="20"/>
          <w:szCs w:val="20"/>
          <w:lang w:val="en-US" w:eastAsia="zh-CN"/>
        </w:rPr>
        <w:t xml:space="preserve">6.5.13 </w:t>
      </w:r>
      <w:r>
        <w:rPr>
          <w:rFonts w:hint="eastAsia" w:ascii="宋体" w:hAnsi="宋体" w:eastAsia="宋体" w:cs="宋体"/>
          <w:snapToGrid w:val="0"/>
          <w:color w:val="000000"/>
          <w:spacing w:val="6"/>
          <w:kern w:val="0"/>
          <w:sz w:val="20"/>
          <w:szCs w:val="20"/>
          <w:lang w:val="en-US" w:eastAsia="zh-CN"/>
        </w:rPr>
        <w:t>冲洗系统</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1 反渗透系统应具有使用其产品水自动冲洗膜表面的功能，冲洗周期、冲洗时间及强度等根据系统要求确定。</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2 冲洗系统包括冲洗泵、自动阀门、管道、仪表等。冲洗管上需配备压力变送器、放空阀、流量计等。反渗透冲洗管需增加压力变送器，上传至控制室。</w:t>
      </w:r>
    </w:p>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14</w:t>
      </w:r>
      <w:r>
        <w:rPr>
          <w:rFonts w:ascii="宋体" w:hAnsi="宋体" w:eastAsia="宋体" w:cs="宋体"/>
          <w:spacing w:val="6"/>
          <w:sz w:val="20"/>
          <w:szCs w:val="20"/>
        </w:rPr>
        <w:t xml:space="preserve"> </w:t>
      </w:r>
      <w:r>
        <w:rPr>
          <w:rFonts w:hint="eastAsia" w:ascii="宋体" w:hAnsi="宋体" w:eastAsia="宋体" w:cs="宋体"/>
          <w:spacing w:val="6"/>
          <w:sz w:val="20"/>
          <w:szCs w:val="20"/>
          <w:lang w:val="en-US" w:eastAsia="zh-CN"/>
        </w:rPr>
        <w:t>化学清洗</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1 化学清洗装置包括有清洗溶液罐、清洗泵、保安过滤器以及系统内管道、阀门，并分别留有至反渗透装置的接口。</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2 化学清洗装置的材质应能适用于所有的清洗液。</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3 化学清洗涉及到固体药剂的投加时，需增加化料器。</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4 当出现以下情况时，应对反渗透膜进行化学清洗：</w:t>
      </w:r>
    </w:p>
    <w:p>
      <w:pPr>
        <w:widowControl/>
        <w:numPr>
          <w:ilvl w:val="0"/>
          <w:numId w:val="0"/>
        </w:numPr>
        <w:kinsoku w:val="0"/>
        <w:autoSpaceDE w:val="0"/>
        <w:autoSpaceDN w:val="0"/>
        <w:adjustRightInd w:val="0"/>
        <w:snapToGrid w:val="0"/>
        <w:spacing w:before="218" w:line="330" w:lineRule="auto"/>
        <w:ind w:right="34" w:rightChars="0" w:firstLine="636" w:firstLineChars="3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（1）在正常给水压力下，产水量较正常值下降10%～15%；</w:t>
      </w:r>
    </w:p>
    <w:p>
      <w:pPr>
        <w:widowControl/>
        <w:numPr>
          <w:ilvl w:val="0"/>
          <w:numId w:val="0"/>
        </w:numPr>
        <w:kinsoku w:val="0"/>
        <w:autoSpaceDE w:val="0"/>
        <w:autoSpaceDN w:val="0"/>
        <w:adjustRightInd w:val="0"/>
        <w:snapToGrid w:val="0"/>
        <w:spacing w:before="218" w:line="330" w:lineRule="auto"/>
        <w:ind w:left="598" w:leftChars="285" w:right="34" w:rightChars="0" w:firstLine="0" w:firstLineChars="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（2）为维持正常的产水量，经温度校正后的给水压力增加10%～15%；</w:t>
      </w:r>
    </w:p>
    <w:p>
      <w:pPr>
        <w:widowControl/>
        <w:numPr>
          <w:ilvl w:val="0"/>
          <w:numId w:val="0"/>
        </w:numPr>
        <w:kinsoku w:val="0"/>
        <w:autoSpaceDE w:val="0"/>
        <w:autoSpaceDN w:val="0"/>
        <w:adjustRightInd w:val="0"/>
        <w:snapToGrid w:val="0"/>
        <w:spacing w:before="218" w:line="330" w:lineRule="auto"/>
        <w:ind w:right="34" w:rightChars="0" w:firstLine="636" w:firstLineChars="3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（3）透盐率增加10%～15%；</w:t>
      </w:r>
    </w:p>
    <w:p>
      <w:pPr>
        <w:widowControl/>
        <w:numPr>
          <w:ilvl w:val="0"/>
          <w:numId w:val="0"/>
        </w:numPr>
        <w:kinsoku w:val="0"/>
        <w:autoSpaceDE w:val="0"/>
        <w:autoSpaceDN w:val="0"/>
        <w:adjustRightInd w:val="0"/>
        <w:snapToGrid w:val="0"/>
        <w:spacing w:before="218" w:line="330" w:lineRule="auto"/>
        <w:ind w:right="34" w:rightChars="0" w:firstLine="636" w:firstLineChars="3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（4）系统各段之间压差明显增加。</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5 作为维护措施，每隔1～2个月进行一次化学清洗。采用反渗透碱性清洗剂进行碱性清洗，温度维持在35℃左右，投加氢氧化钠调节pH至12左右，分段循环清洗；采用酸性清洗剂进行酸性清洗，投加盐酸调节pH至2左右，分段循环清洗。清洗压力维持在0.3MPa左右。</w:t>
      </w:r>
    </w:p>
    <w:p>
      <w:pPr>
        <w:widowControl/>
        <w:kinsoku w:val="0"/>
        <w:autoSpaceDE w:val="0"/>
        <w:autoSpaceDN w:val="0"/>
        <w:adjustRightInd w:val="0"/>
        <w:snapToGrid w:val="0"/>
        <w:spacing w:before="218" w:line="330" w:lineRule="auto"/>
        <w:ind w:right="34" w:firstLine="0" w:firstLineChars="0"/>
        <w:jc w:val="left"/>
        <w:textAlignment w:val="baseline"/>
        <w:rPr>
          <w:rFonts w:hint="default"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15</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bidi="ar-SA"/>
        </w:rPr>
        <w:t>系统配套阻垢剂、还原剂、杀菌剂、盐酸（若硬度、PH高投加）加药单元，各单元独立设置加药泵、药罐及搅拌装置，实现药剂精准投加。</w:t>
      </w:r>
    </w:p>
    <w:p>
      <w:pPr>
        <w:pStyle w:val="5"/>
        <w:spacing w:before="159" w:line="231" w:lineRule="auto"/>
        <w:jc w:val="center"/>
        <w:outlineLvl w:val="0"/>
        <w:rPr>
          <w:rFonts w:hint="eastAsia"/>
          <w:spacing w:val="6"/>
          <w:sz w:val="20"/>
          <w:szCs w:val="20"/>
          <w:lang w:val="en-US" w:eastAsia="zh-CN"/>
        </w:rPr>
      </w:pPr>
      <w:bookmarkStart w:id="60" w:name="_Toc25507"/>
      <w:bookmarkStart w:id="61" w:name="_Toc5725"/>
      <w:r>
        <w:rPr>
          <w:rFonts w:hint="eastAsia"/>
          <w:spacing w:val="6"/>
          <w:sz w:val="20"/>
          <w:szCs w:val="20"/>
          <w:lang w:val="en-US" w:eastAsia="zh-CN"/>
        </w:rPr>
        <w:t>6.6 加药</w:t>
      </w:r>
      <w:r>
        <w:rPr>
          <w:rFonts w:hint="default"/>
          <w:spacing w:val="6"/>
          <w:sz w:val="20"/>
          <w:szCs w:val="20"/>
          <w:lang w:val="en-US" w:eastAsia="en-US"/>
        </w:rPr>
        <w:t>系统</w:t>
      </w:r>
      <w:bookmarkEnd w:id="60"/>
      <w:bookmarkEnd w:id="61"/>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bidi="ar-SA"/>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.1</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bidi="ar-SA"/>
        </w:rPr>
        <w:t>工艺系统配套相应加药系统，设置加药泵、药剂储罐。相关药剂按表6.6.1规定确定。</w:t>
      </w:r>
    </w:p>
    <w:p>
      <w:pPr>
        <w:pStyle w:val="4"/>
        <w:jc w:val="center"/>
        <w:rPr>
          <w:rFonts w:hint="default" w:eastAsia="黑体"/>
          <w:lang w:val="en-US" w:eastAsia="zh-CN"/>
        </w:rPr>
      </w:pPr>
      <w:r>
        <w:t xml:space="preserve">表 </w:t>
      </w:r>
      <w:r>
        <w:rPr>
          <w:rFonts w:hint="eastAsia"/>
          <w:lang w:val="en-US" w:eastAsia="zh-CN"/>
        </w:rPr>
        <w:t>6.6.1 药剂用途及浓度</w:t>
      </w:r>
    </w:p>
    <w:tbl>
      <w:tblPr>
        <w:tblStyle w:val="10"/>
        <w:tblW w:w="5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1182"/>
        <w:gridCol w:w="1390"/>
        <w:gridCol w:w="2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药剂</w:t>
            </w:r>
          </w:p>
        </w:tc>
        <w:tc>
          <w:tcPr>
            <w:tcW w:w="118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作用</w:t>
            </w:r>
          </w:p>
        </w:tc>
        <w:tc>
          <w:tcPr>
            <w:tcW w:w="139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投加量</w:t>
            </w:r>
          </w:p>
        </w:tc>
        <w:tc>
          <w:tcPr>
            <w:tcW w:w="2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阻垢剂</w:t>
            </w:r>
          </w:p>
        </w:tc>
        <w:tc>
          <w:tcPr>
            <w:tcW w:w="118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缓解无机盐结垢</w:t>
            </w:r>
          </w:p>
        </w:tc>
        <w:tc>
          <w:tcPr>
            <w:tcW w:w="139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以进水量计算0.2ppm</w:t>
            </w:r>
          </w:p>
        </w:tc>
        <w:tc>
          <w:tcPr>
            <w:tcW w:w="2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对皮肤轻微刺激性，造成严重眼刺激。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杀菌剂</w:t>
            </w:r>
          </w:p>
        </w:tc>
        <w:tc>
          <w:tcPr>
            <w:tcW w:w="118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缓解系统出现微生物污染</w:t>
            </w:r>
          </w:p>
        </w:tc>
        <w:tc>
          <w:tcPr>
            <w:tcW w:w="139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冲击性投加</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（2周一次）</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40ppm</w:t>
            </w:r>
          </w:p>
        </w:tc>
        <w:tc>
          <w:tcPr>
            <w:tcW w:w="2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吞咽并进入呼吸道可能有害。造成严重皮肤灼伤和眼损伤。长期或重复接触可能对器官造成伤害。对水生生物有毒，并具有长期持续影响。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还原剂</w:t>
            </w:r>
          </w:p>
        </w:tc>
        <w:tc>
          <w:tcPr>
            <w:tcW w:w="118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防止系统接触到余氯膜元件被氧化降解</w:t>
            </w:r>
          </w:p>
        </w:tc>
        <w:tc>
          <w:tcPr>
            <w:tcW w:w="139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以ORP200mv</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计算投加量</w:t>
            </w:r>
          </w:p>
        </w:tc>
        <w:tc>
          <w:tcPr>
            <w:tcW w:w="2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对皮肤、眼、呼吸道有刺激性，可引起过敏反应。可引起角膜损害，导致失明。可引起哮喘；大量口服引起恶心、腹痛、腹泻、循环衰竭、中枢神经抑制。</w:t>
            </w:r>
          </w:p>
        </w:tc>
      </w:tr>
    </w:tbl>
    <w:p>
      <w:pPr>
        <w:pStyle w:val="4"/>
        <w:jc w:val="center"/>
      </w:pPr>
    </w:p>
    <w:p>
      <w:pPr>
        <w:pStyle w:val="4"/>
        <w:jc w:val="center"/>
      </w:pPr>
    </w:p>
    <w:p>
      <w:pPr>
        <w:pStyle w:val="4"/>
        <w:jc w:val="center"/>
        <w:rPr>
          <w:rFonts w:hint="default" w:eastAsia="黑体"/>
          <w:lang w:val="en-US" w:eastAsia="zh-CN"/>
        </w:rPr>
      </w:pPr>
      <w:r>
        <w:t xml:space="preserve">表 </w:t>
      </w:r>
      <w:r>
        <w:rPr>
          <w:rFonts w:hint="eastAsia"/>
          <w:lang w:val="en-US" w:eastAsia="zh-CN"/>
        </w:rPr>
        <w:t>6.6.1 药剂用途及浓度</w:t>
      </w:r>
    </w:p>
    <w:tbl>
      <w:tblPr>
        <w:tblStyle w:val="10"/>
        <w:tblW w:w="5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1182"/>
        <w:gridCol w:w="1390"/>
        <w:gridCol w:w="2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药剂</w:t>
            </w:r>
          </w:p>
        </w:tc>
        <w:tc>
          <w:tcPr>
            <w:tcW w:w="118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作用</w:t>
            </w:r>
          </w:p>
        </w:tc>
        <w:tc>
          <w:tcPr>
            <w:tcW w:w="139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投加量</w:t>
            </w:r>
          </w:p>
        </w:tc>
        <w:tc>
          <w:tcPr>
            <w:tcW w:w="2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危害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盐酸</w:t>
            </w:r>
          </w:p>
        </w:tc>
        <w:tc>
          <w:tcPr>
            <w:tcW w:w="118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缓解无机盐结垢，保持进水偏酸性</w:t>
            </w:r>
          </w:p>
        </w:tc>
        <w:tc>
          <w:tcPr>
            <w:tcW w:w="139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以硬度或PH计算投加量</w:t>
            </w:r>
          </w:p>
        </w:tc>
        <w:tc>
          <w:tcPr>
            <w:tcW w:w="2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遇氰化物能产生剧毒的氰化氢气体。具有较强的腐蚀性。接触其蒸气或烟雾，可引起急性中毒。眼和皮肤接触可致灼伤，吸入、食入有害。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氢氧化钠</w:t>
            </w:r>
          </w:p>
        </w:tc>
        <w:tc>
          <w:tcPr>
            <w:tcW w:w="118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为保证系统出水呈中性</w:t>
            </w:r>
          </w:p>
        </w:tc>
        <w:tc>
          <w:tcPr>
            <w:tcW w:w="139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以PH计算投加量</w:t>
            </w:r>
          </w:p>
        </w:tc>
        <w:tc>
          <w:tcPr>
            <w:tcW w:w="2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heme="minorEastAsia" w:hAnsiTheme="minorEastAsia" w:eastAsiaTheme="minorEastAsia" w:cstheme="minorEastAsia"/>
                <w:sz w:val="16"/>
                <w:szCs w:val="16"/>
                <w:lang w:val="en-US" w:eastAsia="zh-CN"/>
              </w:rPr>
            </w:pPr>
            <w:r>
              <w:rPr>
                <w:rFonts w:hint="default" w:asciiTheme="minorEastAsia" w:hAnsiTheme="minorEastAsia" w:eastAsiaTheme="minorEastAsia" w:cstheme="minorEastAsia"/>
                <w:sz w:val="16"/>
                <w:szCs w:val="16"/>
                <w:lang w:val="en-US" w:eastAsia="zh-CN"/>
              </w:rPr>
              <w:t>与酸发生中和反应并放热。本品有强烈刺激和腐蚀性。粉尘刺激眼和呼吸道，腐蚀鼻中隔；皮肤和眼直接接触可引起灼伤；误服可造成消化道灼伤，粘膜糜烂、出血和休克。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柠檬酸</w:t>
            </w:r>
          </w:p>
        </w:tc>
        <w:tc>
          <w:tcPr>
            <w:tcW w:w="118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有机酸清洗剂，能有效地清除无机垢</w:t>
            </w:r>
          </w:p>
        </w:tc>
        <w:tc>
          <w:tcPr>
            <w:tcW w:w="139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以PH或超滤污堵情况使用药剂</w:t>
            </w:r>
          </w:p>
        </w:tc>
        <w:tc>
          <w:tcPr>
            <w:tcW w:w="2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具有刺激作用。工业使用中，接触者可能引起湿疹。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5"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次氯酸钠</w:t>
            </w:r>
          </w:p>
        </w:tc>
        <w:tc>
          <w:tcPr>
            <w:tcW w:w="1182"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控制超滤水箱内细菌的增长，缓解系统出现微生物污染</w:t>
            </w:r>
          </w:p>
        </w:tc>
        <w:tc>
          <w:tcPr>
            <w:tcW w:w="1390"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以超滤污堵情况与微生物情况计算投加量</w:t>
            </w:r>
          </w:p>
        </w:tc>
        <w:tc>
          <w:tcPr>
            <w:tcW w:w="233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heme="minorEastAsia" w:hAnsiTheme="minorEastAsia" w:eastAsiaTheme="minorEastAsia" w:cstheme="minorEastAsia"/>
                <w:sz w:val="16"/>
                <w:szCs w:val="16"/>
                <w:lang w:val="en-US" w:eastAsia="zh-CN"/>
              </w:rPr>
            </w:pPr>
            <w:r>
              <w:rPr>
                <w:rFonts w:hint="default" w:asciiTheme="minorEastAsia" w:hAnsiTheme="minorEastAsia" w:eastAsiaTheme="minorEastAsia" w:cstheme="minorEastAsia"/>
                <w:sz w:val="16"/>
                <w:szCs w:val="16"/>
                <w:lang w:val="en-US" w:eastAsia="zh-CN"/>
              </w:rPr>
              <w:t>吸入、吸食、经皮吸收健康危害：次氯酸钠放出的游离氯可引起中毒，亦可引起皮肤病。已知本品有</w:t>
            </w:r>
            <w:r>
              <w:rPr>
                <w:rFonts w:hint="eastAsia" w:asciiTheme="minorEastAsia" w:hAnsiTheme="minorEastAsia" w:eastAsiaTheme="minorEastAsia" w:cstheme="minorEastAsia"/>
                <w:sz w:val="16"/>
                <w:szCs w:val="16"/>
                <w:lang w:val="en-US" w:eastAsia="zh-CN"/>
              </w:rPr>
              <w:t>致</w:t>
            </w:r>
            <w:r>
              <w:rPr>
                <w:rFonts w:hint="default" w:asciiTheme="minorEastAsia" w:hAnsiTheme="minorEastAsia" w:eastAsiaTheme="minorEastAsia" w:cstheme="minorEastAsia"/>
                <w:sz w:val="16"/>
                <w:szCs w:val="16"/>
                <w:lang w:val="en-US" w:eastAsia="zh-CN"/>
              </w:rPr>
              <w:t>敏作用。</w:t>
            </w:r>
          </w:p>
        </w:tc>
      </w:tr>
    </w:tbl>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napToGrid w:val="0"/>
          <w:color w:val="000000"/>
          <w:spacing w:val="6"/>
          <w:kern w:val="0"/>
          <w:sz w:val="20"/>
          <w:szCs w:val="20"/>
          <w:lang w:val="en-US" w:eastAsia="zh-CN"/>
        </w:rPr>
        <w:t xml:space="preserve">6.6.2 </w:t>
      </w:r>
      <w:r>
        <w:rPr>
          <w:rFonts w:hint="eastAsia" w:ascii="宋体" w:hAnsi="宋体" w:eastAsia="宋体" w:cs="宋体"/>
          <w:snapToGrid w:val="0"/>
          <w:color w:val="000000"/>
          <w:spacing w:val="6"/>
          <w:kern w:val="0"/>
          <w:sz w:val="20"/>
          <w:szCs w:val="20"/>
          <w:lang w:val="en-US" w:eastAsia="zh-CN"/>
        </w:rPr>
        <w:t>加药系统要求自动控制。加药单元的设计应充分考虑系统的安全性，如药剂贮存、人员操作防护、通风设施、事故应急处置措施等。</w:t>
      </w:r>
    </w:p>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napToGrid w:val="0"/>
          <w:color w:val="000000"/>
          <w:spacing w:val="6"/>
          <w:kern w:val="0"/>
          <w:sz w:val="20"/>
          <w:szCs w:val="20"/>
          <w:lang w:val="en-US" w:eastAsia="zh-CN"/>
        </w:rPr>
        <w:t xml:space="preserve">6.6.3 </w:t>
      </w:r>
      <w:r>
        <w:rPr>
          <w:rFonts w:hint="eastAsia" w:ascii="宋体" w:hAnsi="宋体" w:eastAsia="宋体" w:cs="宋体"/>
          <w:snapToGrid w:val="0"/>
          <w:color w:val="000000"/>
          <w:spacing w:val="6"/>
          <w:kern w:val="0"/>
          <w:sz w:val="20"/>
          <w:szCs w:val="20"/>
          <w:lang w:val="en-US" w:eastAsia="zh-CN"/>
        </w:rPr>
        <w:t>各类药品加药方式为药品注入量根据进水流量或水质变化进行调节。</w:t>
      </w:r>
    </w:p>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napToGrid w:val="0"/>
          <w:color w:val="000000"/>
          <w:spacing w:val="6"/>
          <w:kern w:val="0"/>
          <w:sz w:val="20"/>
          <w:szCs w:val="20"/>
          <w:lang w:val="en-US" w:eastAsia="zh-CN"/>
        </w:rPr>
        <w:t xml:space="preserve">6.6.4 </w:t>
      </w:r>
      <w:r>
        <w:rPr>
          <w:rFonts w:hint="eastAsia" w:ascii="宋体" w:hAnsi="宋体" w:eastAsia="宋体" w:cs="宋体"/>
          <w:snapToGrid w:val="0"/>
          <w:color w:val="000000"/>
          <w:spacing w:val="6"/>
          <w:kern w:val="0"/>
          <w:sz w:val="20"/>
          <w:szCs w:val="20"/>
          <w:lang w:val="en-US" w:eastAsia="zh-CN"/>
        </w:rPr>
        <w:t>各类药品注入装置分别设计成单元形式。泵与溶液罐一一对应，不能互相混用。</w:t>
      </w:r>
    </w:p>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5</w:t>
      </w:r>
      <w:r>
        <w:rPr>
          <w:rFonts w:ascii="宋体" w:hAnsi="宋体" w:eastAsia="宋体" w:cs="宋体"/>
          <w:spacing w:val="6"/>
          <w:sz w:val="20"/>
          <w:szCs w:val="20"/>
        </w:rPr>
        <w:t xml:space="preserve"> </w:t>
      </w:r>
      <w:r>
        <w:rPr>
          <w:rFonts w:ascii="宋体" w:hAnsi="宋体" w:eastAsia="宋体" w:cs="宋体"/>
          <w:snapToGrid w:val="0"/>
          <w:color w:val="000000"/>
          <w:spacing w:val="6"/>
          <w:kern w:val="0"/>
          <w:sz w:val="20"/>
          <w:szCs w:val="20"/>
          <w:lang w:val="en-US" w:eastAsia="zh-CN"/>
        </w:rPr>
        <w:t>加药泵选型：</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1 计量泵进口设滤网，并设置标定柱。出口应装设脉冲缓冲器、安全阀（计量泵内部已设计有过压保护者除外），脉冲缓冲器上应带压力表。药品注入点应设管式混合器。</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2 计量泵必须耐药液腐蚀。</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3 根据药剂投加量采用数字计量泵或隔膜计量泵，带自动变频调节，流量调节范围0%～100%，精度1%，计量泵具有手动冲程调节功能。阻垢剂计量泵流量根据反渗透进水流量确定（按进水100m³/h配1.2L/h流量泵），扬程40m，材质为PVDF；还原剂计量泵流量为阻垢剂泵的1.2倍，扬程40m，接触介质部分采用PVDF；杀菌剂计量泵流量按产水100m³/h配1.8L/h流量泵，扬程40m，材质为PVDF。相关加药泵配备变频控制功能，与进水流量信号联动，实现比例投加。</w:t>
      </w:r>
    </w:p>
    <w:p>
      <w:pPr>
        <w:widowControl/>
        <w:kinsoku w:val="0"/>
        <w:autoSpaceDE w:val="0"/>
        <w:autoSpaceDN w:val="0"/>
        <w:adjustRightInd w:val="0"/>
        <w:snapToGrid w:val="0"/>
        <w:spacing w:before="218" w:line="330" w:lineRule="auto"/>
        <w:ind w:right="34"/>
        <w:jc w:val="left"/>
        <w:textAlignment w:val="baseline"/>
        <w:rPr>
          <w:rFonts w:ascii="宋体" w:hAnsi="宋体" w:eastAsia="宋体" w:cs="宋体"/>
          <w:snapToGrid w:val="0"/>
          <w:color w:val="000000"/>
          <w:spacing w:val="6"/>
          <w:kern w:val="0"/>
          <w:sz w:val="20"/>
          <w:szCs w:val="20"/>
          <w:lang w:val="en-US" w:eastAsia="zh-CN"/>
        </w:rPr>
      </w:pPr>
      <w:r>
        <w:rPr>
          <w:rFonts w:hint="eastAsia" w:ascii="宋体" w:hAnsi="宋体" w:eastAsia="宋体" w:cs="宋体"/>
          <w:b/>
          <w:bCs/>
          <w:snapToGrid w:val="0"/>
          <w:color w:val="000000"/>
          <w:spacing w:val="6"/>
          <w:kern w:val="0"/>
          <w:sz w:val="20"/>
          <w:szCs w:val="20"/>
          <w:lang w:val="en-US" w:eastAsia="zh-CN"/>
        </w:rPr>
        <w:t>6</w:t>
      </w:r>
      <w:r>
        <w:rPr>
          <w:rFonts w:hint="eastAsia" w:ascii="宋体" w:hAnsi="宋体" w:eastAsia="宋体" w:cs="宋体"/>
          <w:b/>
          <w:bCs/>
          <w:spacing w:val="6"/>
          <w:sz w:val="20"/>
          <w:szCs w:val="20"/>
          <w:lang w:val="en-US" w:eastAsia="zh-CN"/>
        </w:rPr>
        <w:t xml:space="preserve">.6.6 </w:t>
      </w:r>
      <w:r>
        <w:rPr>
          <w:rFonts w:hint="eastAsia" w:ascii="宋体" w:hAnsi="宋体" w:eastAsia="宋体" w:cs="宋体"/>
          <w:snapToGrid w:val="0"/>
          <w:color w:val="000000"/>
          <w:spacing w:val="6"/>
          <w:kern w:val="0"/>
          <w:sz w:val="20"/>
          <w:szCs w:val="20"/>
          <w:lang w:val="en-US" w:eastAsia="zh-CN"/>
        </w:rPr>
        <w:t>药</w:t>
      </w:r>
      <w:r>
        <w:rPr>
          <w:rFonts w:ascii="宋体" w:hAnsi="宋体" w:eastAsia="宋体" w:cs="宋体"/>
          <w:snapToGrid w:val="0"/>
          <w:color w:val="000000"/>
          <w:spacing w:val="6"/>
          <w:kern w:val="0"/>
          <w:sz w:val="20"/>
          <w:szCs w:val="20"/>
          <w:lang w:val="en-US" w:eastAsia="zh-CN"/>
        </w:rPr>
        <w:t>罐选型：</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1 每套加药装置至少设2台溶液罐，药品溶液罐的容积满足72h的药品用量，且容积不小于1.0m³。</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2 箱外壁装带远传功能磁翻板液位计，液位显示信号进入控制室。</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3 溶液罐本体材质为PE。溶液罐设有溢流、排污、进水、出液、回流液等接口。</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4 溶液罐应根据投加物料状态考虑设置电动搅拌溶解装置。</w:t>
      </w:r>
    </w:p>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5 药剂储罐应选用抗腐蚀材质，其设计应符合相关容器设计规范的要求。</w:t>
      </w:r>
    </w:p>
    <w:p>
      <w:pPr>
        <w:pStyle w:val="5"/>
        <w:spacing w:before="159" w:line="231" w:lineRule="auto"/>
        <w:jc w:val="center"/>
        <w:outlineLvl w:val="0"/>
        <w:rPr>
          <w:rFonts w:hint="eastAsia"/>
          <w:spacing w:val="6"/>
          <w:sz w:val="20"/>
          <w:szCs w:val="20"/>
          <w:lang w:val="en-US" w:eastAsia="zh-CN"/>
        </w:rPr>
      </w:pPr>
      <w:bookmarkStart w:id="62" w:name="_Toc25656"/>
      <w:bookmarkStart w:id="63" w:name="_Toc12465"/>
      <w:r>
        <w:rPr>
          <w:rFonts w:hint="eastAsia"/>
          <w:spacing w:val="6"/>
          <w:sz w:val="20"/>
          <w:szCs w:val="20"/>
          <w:lang w:val="en-US" w:eastAsia="zh-CN"/>
        </w:rPr>
        <w:t>6.7 产水水质要求</w:t>
      </w:r>
      <w:bookmarkEnd w:id="62"/>
      <w:bookmarkEnd w:id="63"/>
    </w:p>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b/>
          <w:bCs/>
          <w:spacing w:val="6"/>
          <w:sz w:val="20"/>
          <w:szCs w:val="20"/>
          <w:lang w:val="en-US" w:eastAsia="zh-CN"/>
        </w:rPr>
      </w:pPr>
    </w:p>
    <w:p>
      <w:pPr>
        <w:widowControl/>
        <w:kinsoku w:val="0"/>
        <w:autoSpaceDE w:val="0"/>
        <w:autoSpaceDN w:val="0"/>
        <w:adjustRightInd w:val="0"/>
        <w:snapToGrid w:val="0"/>
        <w:spacing w:before="218" w:line="330" w:lineRule="auto"/>
        <w:ind w:right="34"/>
        <w:jc w:val="left"/>
        <w:textAlignment w:val="baseline"/>
        <w:rPr>
          <w:rFonts w:hint="eastAsia" w:ascii="宋体" w:hAnsi="宋体" w:eastAsia="宋体" w:cs="宋体"/>
          <w:spacing w:val="6"/>
          <w:sz w:val="20"/>
          <w:szCs w:val="20"/>
          <w:lang w:val="en-US" w:eastAsia="zh-CN"/>
        </w:rPr>
      </w:pPr>
      <w:r>
        <w:rPr>
          <w:rFonts w:hint="eastAsia" w:ascii="宋体" w:hAnsi="宋体" w:eastAsia="宋体" w:cs="宋体"/>
          <w:b/>
          <w:bCs/>
          <w:spacing w:val="6"/>
          <w:sz w:val="20"/>
          <w:szCs w:val="20"/>
          <w:lang w:val="en-US" w:eastAsia="zh-CN"/>
        </w:rPr>
        <w:t>6</w:t>
      </w:r>
      <w:r>
        <w:rPr>
          <w:rFonts w:ascii="宋体" w:hAnsi="宋体" w:eastAsia="宋体" w:cs="宋体"/>
          <w:b/>
          <w:bCs/>
          <w:spacing w:val="6"/>
          <w:sz w:val="20"/>
          <w:szCs w:val="20"/>
        </w:rPr>
        <w:t>.</w:t>
      </w:r>
      <w:r>
        <w:rPr>
          <w:rFonts w:hint="eastAsia" w:ascii="宋体" w:hAnsi="宋体" w:eastAsia="宋体" w:cs="宋体"/>
          <w:b/>
          <w:bCs/>
          <w:spacing w:val="6"/>
          <w:sz w:val="20"/>
          <w:szCs w:val="20"/>
          <w:lang w:val="en-US" w:eastAsia="zh-CN"/>
        </w:rPr>
        <w:t>7.1</w:t>
      </w:r>
      <w:r>
        <w:rPr>
          <w:rFonts w:ascii="宋体" w:hAnsi="宋体" w:eastAsia="宋体" w:cs="宋体"/>
          <w:spacing w:val="6"/>
          <w:sz w:val="20"/>
          <w:szCs w:val="20"/>
        </w:rPr>
        <w:t xml:space="preserve"> </w:t>
      </w:r>
      <w:r>
        <w:rPr>
          <w:rFonts w:hint="eastAsia" w:ascii="宋体" w:hAnsi="宋体" w:eastAsia="宋体" w:cs="宋体"/>
          <w:snapToGrid w:val="0"/>
          <w:color w:val="000000"/>
          <w:spacing w:val="6"/>
          <w:kern w:val="0"/>
          <w:sz w:val="20"/>
          <w:szCs w:val="20"/>
          <w:lang w:val="en-US" w:eastAsia="zh-CN"/>
        </w:rPr>
        <w:t>反渗透系统产水作为高品质再生水，需满足《城市污水再生利用工业用水水质》（GB/T 19923）及山东省相关企业、用户特殊用水需求，核心指标符合表6.7.1规定：</w:t>
      </w:r>
    </w:p>
    <w:p>
      <w:pPr>
        <w:pStyle w:val="4"/>
        <w:jc w:val="center"/>
        <w:rPr>
          <w:rFonts w:hint="default" w:eastAsia="黑体"/>
          <w:lang w:val="en-US" w:eastAsia="zh-CN"/>
        </w:rPr>
      </w:pPr>
      <w:r>
        <w:t xml:space="preserve">表 </w:t>
      </w:r>
      <w:r>
        <w:rPr>
          <w:rFonts w:hint="eastAsia"/>
          <w:lang w:val="en-US" w:eastAsia="zh-CN"/>
        </w:rPr>
        <w:t>6.7.1 产水水质要求</w:t>
      </w:r>
    </w:p>
    <w:tbl>
      <w:tblPr>
        <w:tblStyle w:val="9"/>
        <w:tblW w:w="0" w:type="auto"/>
        <w:jc w:val="center"/>
        <w:tblLayout w:type="fixed"/>
        <w:tblCellMar>
          <w:top w:w="0" w:type="dxa"/>
          <w:left w:w="0" w:type="dxa"/>
          <w:bottom w:w="0" w:type="dxa"/>
          <w:right w:w="0" w:type="dxa"/>
        </w:tblCellMar>
      </w:tblPr>
      <w:tblGrid>
        <w:gridCol w:w="635"/>
        <w:gridCol w:w="2036"/>
        <w:gridCol w:w="918"/>
        <w:gridCol w:w="2190"/>
      </w:tblGrid>
      <w:tr>
        <w:tblPrEx>
          <w:tblCellMar>
            <w:top w:w="0" w:type="dxa"/>
            <w:left w:w="0" w:type="dxa"/>
            <w:bottom w:w="0" w:type="dxa"/>
            <w:right w:w="0" w:type="dxa"/>
          </w:tblCellMar>
        </w:tblPrEx>
        <w:trPr>
          <w:trHeight w:val="334" w:hRule="atLeast"/>
          <w:tblHeade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序号</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基本控制项目</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单位</w:t>
            </w: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参数</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化学需氧量（COD（Cr））</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mg/L</w:t>
            </w: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小于等于2</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2</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氨氮（以N计）</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mg/L</w:t>
            </w: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小于等于0.5</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3</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PH</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6～7.5</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4</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氯离子</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mg/L</w:t>
            </w: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6～9月份小于等于45，</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其他月份小于等于35</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5</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溶解性总固体（TDS）</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mg/L</w:t>
            </w: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120</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6</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色度</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小于等于10</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7</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浊度</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NTU</w:t>
            </w: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小于等于0.5</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8</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总铁</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mg/L</w:t>
            </w: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0.05</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9</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硝酸根离子（NO₃﹣）</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mg/L</w:t>
            </w: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10</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10</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电导率</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us/cm</w:t>
            </w: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小于等于200</w:t>
            </w:r>
          </w:p>
        </w:tc>
      </w:tr>
      <w:tr>
        <w:tblPrEx>
          <w:tblCellMar>
            <w:top w:w="0" w:type="dxa"/>
            <w:left w:w="0" w:type="dxa"/>
            <w:bottom w:w="0" w:type="dxa"/>
            <w:right w:w="0" w:type="dxa"/>
          </w:tblCellMar>
        </w:tblPrEx>
        <w:trPr>
          <w:jc w:val="center"/>
        </w:trPr>
        <w:tc>
          <w:tcPr>
            <w:tcW w:w="635"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11</w:t>
            </w:r>
          </w:p>
        </w:tc>
        <w:tc>
          <w:tcPr>
            <w:tcW w:w="20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余氯</w:t>
            </w:r>
          </w:p>
        </w:tc>
        <w:tc>
          <w:tcPr>
            <w:tcW w:w="9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mg/L</w:t>
            </w:r>
          </w:p>
        </w:tc>
        <w:tc>
          <w:tcPr>
            <w:tcW w:w="2190" w:type="dxa"/>
            <w:tcBorders>
              <w:top w:val="single" w:color="000000" w:themeColor="text1" w:sz="4" w:space="0"/>
              <w:left w:val="single" w:color="000000" w:themeColor="text1" w:sz="4" w:space="0"/>
              <w:bottom w:val="single" w:color="000000" w:themeColor="text1" w:sz="4" w:space="0"/>
              <w:right w:val="single" w:color="000000" w:themeColor="text1" w:sz="4" w:space="0"/>
            </w:tcBorders>
            <w:noWrap w:val="0"/>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大于0.05</w:t>
            </w:r>
          </w:p>
        </w:tc>
      </w:tr>
    </w:tbl>
    <w:p>
      <w:pPr>
        <w:widowControl/>
        <w:kinsoku w:val="0"/>
        <w:autoSpaceDE w:val="0"/>
        <w:autoSpaceDN w:val="0"/>
        <w:adjustRightInd w:val="0"/>
        <w:snapToGrid w:val="0"/>
        <w:spacing w:before="218" w:line="330" w:lineRule="auto"/>
        <w:ind w:right="34"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p>
    <w:p>
      <w:pPr>
        <w:spacing w:line="330" w:lineRule="auto"/>
        <w:rPr>
          <w:rFonts w:ascii="宋体" w:hAnsi="宋体" w:eastAsia="宋体" w:cs="宋体"/>
          <w:sz w:val="20"/>
          <w:szCs w:val="20"/>
        </w:rPr>
      </w:pPr>
    </w:p>
    <w:p>
      <w:pPr>
        <w:spacing w:line="330" w:lineRule="auto"/>
        <w:rPr>
          <w:rFonts w:ascii="宋体" w:hAnsi="宋体" w:eastAsia="宋体" w:cs="宋体"/>
          <w:sz w:val="20"/>
          <w:szCs w:val="20"/>
        </w:rPr>
        <w:sectPr>
          <w:headerReference r:id="rId11" w:type="default"/>
          <w:footerReference r:id="rId12" w:type="default"/>
          <w:pgSz w:w="7938" w:h="11510"/>
          <w:pgMar w:top="400" w:right="965" w:bottom="894" w:left="972" w:header="0" w:footer="732" w:gutter="0"/>
          <w:pgNumType w:fmt="decimal"/>
          <w:cols w:space="720" w:num="1"/>
        </w:sectPr>
      </w:pPr>
    </w:p>
    <w:p>
      <w:pPr>
        <w:spacing w:before="91" w:line="220" w:lineRule="auto"/>
        <w:jc w:val="center"/>
        <w:outlineLvl w:val="0"/>
        <w:rPr>
          <w:rFonts w:hint="eastAsia" w:ascii="宋体" w:hAnsi="宋体" w:eastAsia="宋体" w:cs="宋体"/>
          <w:sz w:val="28"/>
          <w:szCs w:val="28"/>
          <w:lang w:eastAsia="zh-CN"/>
        </w:rPr>
      </w:pPr>
      <w:bookmarkStart w:id="64" w:name="_Toc27690"/>
      <w:bookmarkStart w:id="65" w:name="_Toc32727"/>
      <w:r>
        <w:rPr>
          <w:rFonts w:hint="eastAsia" w:ascii="Times New Roman" w:hAnsi="Times New Roman" w:eastAsia="宋体" w:cs="Times New Roman"/>
          <w:b/>
          <w:bCs/>
          <w:spacing w:val="-8"/>
          <w:sz w:val="28"/>
          <w:szCs w:val="28"/>
          <w:lang w:val="en-US" w:eastAsia="zh-CN"/>
        </w:rPr>
        <w:t>7</w:t>
      </w:r>
      <w:r>
        <w:rPr>
          <w:rFonts w:ascii="Times New Roman" w:hAnsi="Times New Roman" w:eastAsia="Times New Roman" w:cs="Times New Roman"/>
          <w:b/>
          <w:bCs/>
          <w:spacing w:val="10"/>
          <w:sz w:val="28"/>
          <w:szCs w:val="28"/>
        </w:rPr>
        <w:t xml:space="preserve">  </w:t>
      </w:r>
      <w:r>
        <w:rPr>
          <w:rFonts w:hint="eastAsia" w:ascii="宋体" w:hAnsi="宋体" w:eastAsia="宋体" w:cs="宋体"/>
          <w:b/>
          <w:bCs/>
          <w:snapToGrid w:val="0"/>
          <w:color w:val="000000"/>
          <w:spacing w:val="-8"/>
          <w:kern w:val="0"/>
          <w:sz w:val="28"/>
          <w:szCs w:val="28"/>
          <w:lang w:val="en-US" w:eastAsia="zh-CN" w:bidi="ar-SA"/>
        </w:rPr>
        <w:t>设备选型安装</w:t>
      </w:r>
      <w:bookmarkEnd w:id="64"/>
      <w:bookmarkEnd w:id="65"/>
    </w:p>
    <w:p>
      <w:pPr>
        <w:pStyle w:val="5"/>
        <w:spacing w:before="159" w:line="231" w:lineRule="auto"/>
        <w:jc w:val="center"/>
        <w:outlineLvl w:val="0"/>
        <w:rPr>
          <w:rFonts w:hint="eastAsia"/>
          <w:spacing w:val="6"/>
          <w:sz w:val="20"/>
          <w:szCs w:val="20"/>
          <w:lang w:val="en-US" w:eastAsia="zh-CN"/>
        </w:rPr>
      </w:pPr>
      <w:bookmarkStart w:id="66" w:name="_Toc31259"/>
      <w:bookmarkStart w:id="67" w:name="_Toc29702"/>
      <w:r>
        <w:rPr>
          <w:rFonts w:hint="eastAsia"/>
          <w:spacing w:val="6"/>
          <w:sz w:val="20"/>
          <w:szCs w:val="20"/>
          <w:lang w:val="en-US" w:eastAsia="zh-CN"/>
        </w:rPr>
        <w:t>7.1  一般规定</w:t>
      </w:r>
      <w:bookmarkEnd w:id="66"/>
      <w:bookmarkEnd w:id="67"/>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.1.1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设备安装应符合下列规定：</w:t>
      </w:r>
    </w:p>
    <w:p>
      <w:pPr>
        <w:widowControl/>
        <w:kinsoku w:val="0"/>
        <w:autoSpaceDE w:val="0"/>
        <w:autoSpaceDN w:val="0"/>
        <w:adjustRightInd w:val="0"/>
        <w:snapToGrid w:val="0"/>
        <w:spacing w:before="219" w:line="228" w:lineRule="auto"/>
        <w:ind w:left="5"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1 安装前应认真阅读设备、器具、产品等有关技术文件、图纸、说明书、使用手册等文件。</w:t>
      </w:r>
    </w:p>
    <w:p>
      <w:pPr>
        <w:widowControl/>
        <w:kinsoku w:val="0"/>
        <w:autoSpaceDE w:val="0"/>
        <w:autoSpaceDN w:val="0"/>
        <w:adjustRightInd w:val="0"/>
        <w:snapToGrid w:val="0"/>
        <w:spacing w:before="219" w:line="228" w:lineRule="auto"/>
        <w:ind w:left="5"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2 应编制安装方案，对安装过程各个环节实行严格的质量控制与质量验收。</w:t>
      </w:r>
    </w:p>
    <w:p>
      <w:pPr>
        <w:widowControl/>
        <w:kinsoku w:val="0"/>
        <w:autoSpaceDE w:val="0"/>
        <w:autoSpaceDN w:val="0"/>
        <w:adjustRightInd w:val="0"/>
        <w:snapToGrid w:val="0"/>
        <w:spacing w:before="219" w:line="228" w:lineRule="auto"/>
        <w:ind w:left="5"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3 设备与基础的连接安装应符合现行国家标准《机械设备安装工程施工及验收通用规范》GB50231的规定。</w:t>
      </w:r>
    </w:p>
    <w:p>
      <w:pPr>
        <w:widowControl/>
        <w:kinsoku w:val="0"/>
        <w:autoSpaceDE w:val="0"/>
        <w:autoSpaceDN w:val="0"/>
        <w:adjustRightInd w:val="0"/>
        <w:snapToGrid w:val="0"/>
        <w:spacing w:before="219" w:line="228" w:lineRule="auto"/>
        <w:ind w:left="5"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4 大型设备的吊装作业应符合现行行业标准《建筑施工起重吊装工程安全技术规范》JGJ276的规定。</w:t>
      </w:r>
    </w:p>
    <w:p>
      <w:pPr>
        <w:widowControl/>
        <w:kinsoku w:val="0"/>
        <w:autoSpaceDE w:val="0"/>
        <w:autoSpaceDN w:val="0"/>
        <w:adjustRightInd w:val="0"/>
        <w:snapToGrid w:val="0"/>
        <w:spacing w:before="219" w:line="228" w:lineRule="auto"/>
        <w:ind w:left="5" w:firstLine="424" w:firstLineChars="200"/>
        <w:jc w:val="left"/>
        <w:textAlignment w:val="baseline"/>
        <w:rPr>
          <w:rFonts w:hint="default"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5 管道安装应符合现行国家标准《给水排水管道工程施工及验收规范》GB50268、《工业金属管道工程施工质量验收规范》GB 50184的规定。</w:t>
      </w:r>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.1.</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设备安装质量检验应符合下列规定：</w:t>
      </w:r>
    </w:p>
    <w:p>
      <w:pPr>
        <w:widowControl/>
        <w:kinsoku w:val="0"/>
        <w:autoSpaceDE w:val="0"/>
        <w:autoSpaceDN w:val="0"/>
        <w:adjustRightInd w:val="0"/>
        <w:snapToGrid w:val="0"/>
        <w:spacing w:before="219" w:line="228" w:lineRule="auto"/>
        <w:ind w:left="5"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1 设备及主要装配件的规格、型号等应符合设计文件要求。</w:t>
      </w:r>
    </w:p>
    <w:p>
      <w:pPr>
        <w:widowControl/>
        <w:kinsoku w:val="0"/>
        <w:autoSpaceDE w:val="0"/>
        <w:autoSpaceDN w:val="0"/>
        <w:adjustRightInd w:val="0"/>
        <w:snapToGrid w:val="0"/>
        <w:spacing w:before="219" w:line="228" w:lineRule="auto"/>
        <w:ind w:left="5"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2 设备附件、专用工具、备品备件应齐全、完整，数量应与装箱单相符。</w:t>
      </w:r>
    </w:p>
    <w:p>
      <w:pPr>
        <w:widowControl/>
        <w:kinsoku w:val="0"/>
        <w:autoSpaceDE w:val="0"/>
        <w:autoSpaceDN w:val="0"/>
        <w:adjustRightInd w:val="0"/>
        <w:snapToGrid w:val="0"/>
        <w:spacing w:before="219" w:line="228" w:lineRule="auto"/>
        <w:ind w:left="5"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3 设备的出厂合格证书、性能检测报告、安装说明书等技术文件应完整。</w:t>
      </w:r>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.1.</w:t>
      </w:r>
      <w:r>
        <w:rPr>
          <w:rFonts w:hint="eastAsia" w:ascii="宋体" w:hAnsi="宋体" w:eastAsia="宋体" w:cs="宋体"/>
          <w:b/>
          <w:bCs/>
          <w:spacing w:val="8"/>
          <w:sz w:val="20"/>
          <w:szCs w:val="20"/>
          <w:lang w:val="en-US" w:eastAsia="zh-CN"/>
        </w:rPr>
        <w:t>3</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设备调试应符合下列规定：</w:t>
      </w:r>
    </w:p>
    <w:p>
      <w:pPr>
        <w:widowControl/>
        <w:kinsoku w:val="0"/>
        <w:autoSpaceDE w:val="0"/>
        <w:autoSpaceDN w:val="0"/>
        <w:adjustRightInd w:val="0"/>
        <w:snapToGrid w:val="0"/>
        <w:spacing w:before="219" w:line="228" w:lineRule="auto"/>
        <w:ind w:left="5"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1 设备试运转应按技术文件的规定执行，并制定调试方案及应急预案。</w:t>
      </w:r>
    </w:p>
    <w:p>
      <w:pPr>
        <w:widowControl/>
        <w:kinsoku w:val="0"/>
        <w:autoSpaceDE w:val="0"/>
        <w:autoSpaceDN w:val="0"/>
        <w:adjustRightInd w:val="0"/>
        <w:snapToGrid w:val="0"/>
        <w:spacing w:before="219" w:line="228" w:lineRule="auto"/>
        <w:ind w:left="5"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2 所有设备和管线在安装时应按技术文件要求完成单机调试，并保存试运行记录。</w:t>
      </w:r>
    </w:p>
    <w:p>
      <w:pPr>
        <w:widowControl/>
        <w:kinsoku w:val="0"/>
        <w:autoSpaceDE w:val="0"/>
        <w:autoSpaceDN w:val="0"/>
        <w:adjustRightInd w:val="0"/>
        <w:snapToGrid w:val="0"/>
        <w:spacing w:before="219" w:line="228" w:lineRule="auto"/>
        <w:ind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3 调试应按工艺流程方向进行。整体调试应在单机调试完毕后，且相关运行参数符合设计文件要求才能进行。</w:t>
      </w:r>
    </w:p>
    <w:p>
      <w:pPr>
        <w:widowControl/>
        <w:kinsoku w:val="0"/>
        <w:autoSpaceDE w:val="0"/>
        <w:autoSpaceDN w:val="0"/>
        <w:adjustRightInd w:val="0"/>
        <w:snapToGrid w:val="0"/>
        <w:spacing w:before="219" w:line="228" w:lineRule="auto"/>
        <w:ind w:left="5" w:firstLine="424" w:firstLineChars="200"/>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4 调试期间如出现故障、异响等紧急情况应立即启动应急预案，并在应急结束后重新调试。</w:t>
      </w:r>
    </w:p>
    <w:p>
      <w:pPr>
        <w:pStyle w:val="5"/>
        <w:spacing w:before="159" w:line="231" w:lineRule="auto"/>
        <w:jc w:val="center"/>
        <w:outlineLvl w:val="0"/>
        <w:rPr>
          <w:rFonts w:hint="eastAsia"/>
          <w:spacing w:val="6"/>
          <w:sz w:val="20"/>
          <w:szCs w:val="20"/>
          <w:lang w:val="en-US" w:eastAsia="zh-CN"/>
        </w:rPr>
      </w:pPr>
      <w:bookmarkStart w:id="68" w:name="_Toc1804"/>
      <w:bookmarkStart w:id="69" w:name="_Toc19928"/>
      <w:r>
        <w:rPr>
          <w:rFonts w:hint="eastAsia"/>
          <w:spacing w:val="6"/>
          <w:sz w:val="20"/>
          <w:szCs w:val="20"/>
          <w:lang w:val="en-US" w:eastAsia="zh-CN"/>
        </w:rPr>
        <w:t>7.2  通用机电设备</w:t>
      </w:r>
      <w:bookmarkEnd w:id="68"/>
      <w:bookmarkEnd w:id="69"/>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鼓风机、空压机、水泵设备安装及质量检验应符合现行国家标准《风机、压缩机、泵安装工程施工及验收规范》GB50275的规定。</w:t>
      </w:r>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搅拌系统装置安装及质量检验应符合现行国家标准《城镇污水处理厂工程质量验收标准》GB50334的规定。</w:t>
      </w:r>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起重设备安装及质量检验应符合现行国家标准《起重设备安装工程施工及验收规范》GB50278的规定。</w:t>
      </w:r>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4</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电力变压器、电缆、开关柜及配电柜的安装及质量检验应符合现行国家标准《电气装置安装工程电力变压器、油浸电抗器、互感器施工及验收规范》GB 50148、《电气装置安装工程低压电器施工及验收规范》GB50254、现行行业标准《电气装置安装工程质量检验及评定规程》DL/T 5161的规定。</w:t>
      </w:r>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5</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仪表、计量装置的安装及质量检验应符合现行国家标准《自动化仪表工程施工及质量验收规范》GB50093的规定。</w:t>
      </w:r>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6</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采用成熟、可靠的控制系统，实现科学化、自动化管理，减轻劳动强度。</w:t>
      </w:r>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7</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工艺处理设备选用结构形式简单、操作管理方便、运行安全可靠的原则。采用高效率、低能耗的工艺处理设备，结合国内、国外设备的性能特点，选用合适的先进设备。</w:t>
      </w:r>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8</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设备选型采用通用产品，运行稳定可靠、效率高、管理方便、维修维护工作量小、价格适中。设计中尽量选用低噪声的动力设备，并适当采取消声、减振措施，防止噪声污染。</w:t>
      </w:r>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9</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设计注重工艺处理系统的灵活性和抗冲击性，提高对进口浓度、处理量变化的适应能力。</w:t>
      </w:r>
    </w:p>
    <w:p>
      <w:pPr>
        <w:pStyle w:val="5"/>
        <w:spacing w:before="159" w:line="231" w:lineRule="auto"/>
        <w:jc w:val="center"/>
        <w:outlineLvl w:val="0"/>
        <w:rPr>
          <w:rFonts w:hint="eastAsia"/>
          <w:spacing w:val="6"/>
          <w:sz w:val="20"/>
          <w:szCs w:val="20"/>
          <w:lang w:val="en-US" w:eastAsia="zh-CN"/>
        </w:rPr>
      </w:pPr>
      <w:bookmarkStart w:id="70" w:name="_Toc477"/>
      <w:bookmarkStart w:id="71" w:name="_Toc19761"/>
      <w:r>
        <w:rPr>
          <w:rFonts w:hint="eastAsia"/>
          <w:spacing w:val="6"/>
          <w:sz w:val="20"/>
          <w:szCs w:val="20"/>
          <w:lang w:val="en-US" w:eastAsia="zh-CN"/>
        </w:rPr>
        <w:t>7.3  设备选型安装</w:t>
      </w:r>
      <w:bookmarkEnd w:id="70"/>
      <w:bookmarkEnd w:id="71"/>
    </w:p>
    <w:p>
      <w:pPr>
        <w:widowControl/>
        <w:kinsoku w:val="0"/>
        <w:autoSpaceDE w:val="0"/>
        <w:autoSpaceDN w:val="0"/>
        <w:adjustRightInd w:val="0"/>
        <w:snapToGrid w:val="0"/>
        <w:spacing w:before="219" w:line="228" w:lineRule="auto"/>
        <w:ind w:left="5"/>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7</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b/>
          <w:bCs/>
          <w:spacing w:val="8"/>
          <w:sz w:val="20"/>
          <w:szCs w:val="20"/>
        </w:rPr>
        <w:t>.1</w:t>
      </w:r>
      <w:r>
        <w:rPr>
          <w:rFonts w:ascii="宋体" w:hAnsi="宋体" w:eastAsia="宋体" w:cs="宋体"/>
          <w:spacing w:val="8"/>
          <w:sz w:val="20"/>
          <w:szCs w:val="20"/>
        </w:rPr>
        <w:t xml:space="preserve"> </w:t>
      </w:r>
      <w:r>
        <w:rPr>
          <w:rFonts w:hint="eastAsia" w:ascii="宋体" w:hAnsi="宋体" w:eastAsia="宋体" w:cs="宋体"/>
          <w:spacing w:val="8"/>
          <w:sz w:val="20"/>
          <w:szCs w:val="20"/>
          <w:lang w:val="en-US" w:eastAsia="zh-CN"/>
        </w:rPr>
        <w:t>按表7.3.1的规定确各水</w:t>
      </w:r>
      <w:r>
        <w:rPr>
          <w:rFonts w:hint="eastAsia" w:ascii="宋体" w:hAnsi="宋体" w:eastAsia="宋体" w:cs="宋体"/>
          <w:snapToGrid w:val="0"/>
          <w:color w:val="000000"/>
          <w:spacing w:val="6"/>
          <w:kern w:val="0"/>
          <w:sz w:val="20"/>
          <w:szCs w:val="20"/>
          <w:lang w:val="en-US" w:eastAsia="zh-CN"/>
        </w:rPr>
        <w:t>水泵型号，所有水泵均应采取水锤防护措施，泵站设置隔音降噪设施，符合工业企业噪声标准。</w:t>
      </w:r>
    </w:p>
    <w:p>
      <w:pPr>
        <w:pStyle w:val="4"/>
        <w:jc w:val="center"/>
      </w:pPr>
    </w:p>
    <w:p>
      <w:pPr>
        <w:pStyle w:val="4"/>
        <w:jc w:val="center"/>
        <w:rPr>
          <w:rFonts w:hint="default" w:eastAsia="黑体"/>
          <w:lang w:val="en-US" w:eastAsia="zh-CN"/>
        </w:rPr>
      </w:pPr>
      <w:r>
        <w:t xml:space="preserve">表 </w:t>
      </w:r>
      <w:r>
        <w:rPr>
          <w:rFonts w:hint="eastAsia"/>
          <w:lang w:val="en-US" w:eastAsia="zh-CN"/>
        </w:rPr>
        <w:t>7.3.1 水泵选型表</w:t>
      </w:r>
    </w:p>
    <w:tbl>
      <w:tblPr>
        <w:tblStyle w:val="9"/>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 w:type="dxa"/>
          <w:bottom w:w="0" w:type="dxa"/>
          <w:right w:w="10" w:type="dxa"/>
        </w:tblCellMar>
      </w:tblPr>
      <w:tblGrid>
        <w:gridCol w:w="1211"/>
        <w:gridCol w:w="2436"/>
        <w:gridCol w:w="200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211" w:type="dxa"/>
            <w:tcBorders>
              <w:tl2br w:val="nil"/>
              <w:tr2bl w:val="nil"/>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水泵类型</w:t>
            </w:r>
          </w:p>
        </w:tc>
        <w:tc>
          <w:tcPr>
            <w:tcW w:w="2436" w:type="dxa"/>
            <w:tcBorders>
              <w:tl2br w:val="nil"/>
              <w:tr2bl w:val="nil"/>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选型要求</w:t>
            </w:r>
          </w:p>
        </w:tc>
        <w:tc>
          <w:tcPr>
            <w:tcW w:w="2009" w:type="dxa"/>
            <w:tcBorders>
              <w:tl2br w:val="nil"/>
              <w:tr2bl w:val="nil"/>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heme="minorEastAsia" w:hAnsiTheme="minorEastAsia" w:eastAsiaTheme="minorEastAsia" w:cstheme="minorEastAsia"/>
                <w:b/>
                <w:bCs/>
                <w:sz w:val="16"/>
                <w:szCs w:val="16"/>
                <w:lang w:val="en-US" w:eastAsia="zh-CN"/>
              </w:rPr>
            </w:pPr>
            <w:r>
              <w:rPr>
                <w:rFonts w:hint="eastAsia" w:asciiTheme="minorEastAsia" w:hAnsiTheme="minorEastAsia" w:eastAsiaTheme="minorEastAsia" w:cstheme="minorEastAsia"/>
                <w:b/>
                <w:bCs/>
                <w:sz w:val="16"/>
                <w:szCs w:val="16"/>
                <w:lang w:val="en-US" w:eastAsia="zh-CN"/>
              </w:rPr>
              <w:t>材质与防护</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211" w:type="dxa"/>
            <w:tcBorders>
              <w:tl2br w:val="nil"/>
              <w:tr2bl w:val="nil"/>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原水提升泵</w:t>
            </w:r>
          </w:p>
        </w:tc>
        <w:tc>
          <w:tcPr>
            <w:tcW w:w="2436" w:type="dxa"/>
            <w:tcBorders>
              <w:tl2br w:val="nil"/>
              <w:tr2bl w:val="nil"/>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流量为最大处理水量的1.1倍</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扬程0.3MPa～0.5MPa</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卧式离心泵，变频电机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需要备用</w:t>
            </w:r>
          </w:p>
        </w:tc>
        <w:tc>
          <w:tcPr>
            <w:tcW w:w="2009" w:type="dxa"/>
            <w:tcBorders>
              <w:tl2br w:val="nil"/>
              <w:tr2bl w:val="nil"/>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泵壳、泵体、叶轮316L不锈钢，防护等级IP55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211" w:type="dxa"/>
            <w:tcBorders>
              <w:tl2br w:val="nil"/>
              <w:tr2bl w:val="nil"/>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超滤产水泵</w:t>
            </w:r>
          </w:p>
        </w:tc>
        <w:tc>
          <w:tcPr>
            <w:tcW w:w="2436" w:type="dxa"/>
            <w:tcBorders>
              <w:tl2br w:val="nil"/>
              <w:tr2bl w:val="nil"/>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流量为超滤产水量的1.1倍</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扬程0.2MPa～0.3MP</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卧式离心泵，变频电机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1对1</w:t>
            </w:r>
          </w:p>
        </w:tc>
        <w:tc>
          <w:tcPr>
            <w:tcW w:w="2009" w:type="dxa"/>
            <w:tcBorders>
              <w:tl2br w:val="nil"/>
              <w:tr2bl w:val="nil"/>
            </w:tcBorders>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泵壳、泵体、叶轮316L不锈钢，防护等级IP55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211"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超滤反洗泵</w:t>
            </w:r>
          </w:p>
        </w:tc>
        <w:tc>
          <w:tcPr>
            <w:tcW w:w="2436"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流量为超滤产水量的1.5倍</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扬程0.2MPa～0.3MPa</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卧式离心泵，变频电机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需要备用</w:t>
            </w:r>
          </w:p>
        </w:tc>
        <w:tc>
          <w:tcPr>
            <w:tcW w:w="2009"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泵壳、泵体、叶轮316L不锈钢，防护等级IP55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211"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反渗透供水泵</w:t>
            </w:r>
          </w:p>
        </w:tc>
        <w:tc>
          <w:tcPr>
            <w:tcW w:w="2436"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流量为反渗透进水量的1.5倍</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扬程0.4MPa～0.6MPa</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卧式离心泵，变频电机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需要备用</w:t>
            </w:r>
          </w:p>
        </w:tc>
        <w:tc>
          <w:tcPr>
            <w:tcW w:w="2009"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泵壳、泵体、叶轮316L不锈钢，防护等级IP55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211"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反渗透高压泵</w:t>
            </w:r>
          </w:p>
        </w:tc>
        <w:tc>
          <w:tcPr>
            <w:tcW w:w="2436"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流量匹配反渗透系统进水需求，扬程2MPa</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卧式离心泵，变频电机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1对1</w:t>
            </w:r>
          </w:p>
        </w:tc>
        <w:tc>
          <w:tcPr>
            <w:tcW w:w="2009"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泵壳、泵体、叶轮316L不锈钢，防护等级IP55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211"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反渗透段间增压泵</w:t>
            </w:r>
          </w:p>
        </w:tc>
        <w:tc>
          <w:tcPr>
            <w:tcW w:w="2436"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流量匹配反渗透系统进水需求，扬程2MPa</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卧式离心泵，变频电机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1对1</w:t>
            </w:r>
          </w:p>
        </w:tc>
        <w:tc>
          <w:tcPr>
            <w:tcW w:w="2009"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泵壳、泵体、叶轮316L不锈钢，防护等级IP55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211"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反渗透清洗泵</w:t>
            </w:r>
          </w:p>
        </w:tc>
        <w:tc>
          <w:tcPr>
            <w:tcW w:w="2436"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流量匹配反渗透系统清洗需求，扬程0.3MPa～0.4MPa</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卧式离心泵，变频电机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工作泵不少于2台</w:t>
            </w:r>
          </w:p>
        </w:tc>
        <w:tc>
          <w:tcPr>
            <w:tcW w:w="2009"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泵壳、泵体、叶轮316L不锈钢，防护等级IP55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211"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反渗透冲洗泵</w:t>
            </w:r>
          </w:p>
        </w:tc>
        <w:tc>
          <w:tcPr>
            <w:tcW w:w="2436"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流量匹配反渗透系统冲洗需求，扬程0.3MPa</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卧式离心泵，变频电机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工作泵不少于2台</w:t>
            </w:r>
          </w:p>
        </w:tc>
        <w:tc>
          <w:tcPr>
            <w:tcW w:w="2009"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叶轮及泵轴304不锈钢</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 w:type="dxa"/>
            <w:bottom w:w="0" w:type="dxa"/>
            <w:right w:w="10" w:type="dxa"/>
          </w:tblCellMar>
        </w:tblPrEx>
        <w:trPr>
          <w:jc w:val="center"/>
        </w:trPr>
        <w:tc>
          <w:tcPr>
            <w:tcW w:w="1211"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送水泵</w:t>
            </w:r>
          </w:p>
        </w:tc>
        <w:tc>
          <w:tcPr>
            <w:tcW w:w="2436"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流量流量按最大供水量确定</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扬程根据供水压力要求调整</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z w:val="16"/>
                <w:szCs w:val="16"/>
                <w:lang w:val="en-US" w:eastAsia="zh-CN"/>
              </w:rPr>
            </w:pPr>
            <w:r>
              <w:rPr>
                <w:rFonts w:hint="eastAsia" w:asciiTheme="minorEastAsia" w:hAnsiTheme="minorEastAsia" w:eastAsiaTheme="minorEastAsia" w:cstheme="minorEastAsia"/>
                <w:sz w:val="16"/>
                <w:szCs w:val="16"/>
                <w:lang w:val="en-US" w:eastAsia="zh-CN"/>
              </w:rPr>
              <w:t>离心泵，变频电机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需要备用</w:t>
            </w:r>
          </w:p>
        </w:tc>
        <w:tc>
          <w:tcPr>
            <w:tcW w:w="2009" w:type="dxa"/>
            <w:tcBorders>
              <w:tl2br w:val="nil"/>
              <w:tr2bl w:val="nil"/>
            </w:tcBorders>
            <w:shd w:val="clear" w:color="auto" w:fill="auto"/>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heme="minorEastAsia" w:hAnsiTheme="minorEastAsia" w:eastAsiaTheme="minorEastAsia" w:cstheme="minorEastAsia"/>
                <w:snapToGrid w:val="0"/>
                <w:color w:val="000000"/>
                <w:kern w:val="0"/>
                <w:sz w:val="16"/>
                <w:szCs w:val="16"/>
                <w:lang w:val="en-US" w:eastAsia="zh-CN" w:bidi="ar-SA"/>
              </w:rPr>
            </w:pPr>
            <w:r>
              <w:rPr>
                <w:rFonts w:hint="eastAsia" w:asciiTheme="minorEastAsia" w:hAnsiTheme="minorEastAsia" w:eastAsiaTheme="minorEastAsia" w:cstheme="minorEastAsia"/>
                <w:sz w:val="16"/>
                <w:szCs w:val="16"/>
                <w:lang w:val="en-US" w:eastAsia="zh-CN"/>
              </w:rPr>
              <w:t>叶轮及泵轴304不锈钢</w:t>
            </w:r>
          </w:p>
        </w:tc>
      </w:tr>
    </w:tbl>
    <w:p>
      <w:pPr>
        <w:bidi w:val="0"/>
        <w:rPr>
          <w:rFonts w:hint="eastAsia" w:ascii="宋体" w:hAnsi="宋体" w:eastAsia="宋体" w:cs="宋体"/>
          <w:b/>
          <w:bCs/>
          <w:spacing w:val="8"/>
          <w:sz w:val="20"/>
          <w:szCs w:val="20"/>
          <w:lang w:val="en-US" w:eastAsia="zh-CN"/>
        </w:rPr>
      </w:pPr>
      <w:bookmarkStart w:id="72" w:name="_Toc22759"/>
      <w:bookmarkStart w:id="73" w:name="_Toc12078"/>
      <w:bookmarkStart w:id="74" w:name="_Toc31336"/>
      <w:bookmarkStart w:id="75" w:name="_Toc13194"/>
      <w:bookmarkStart w:id="76" w:name="_Toc27145"/>
    </w:p>
    <w:p>
      <w:pPr>
        <w:bidi w:val="0"/>
        <w:rPr>
          <w:rFonts w:hint="eastAsia"/>
          <w:lang w:val="en-US" w:eastAsia="zh-CN"/>
        </w:rPr>
      </w:pPr>
      <w:r>
        <w:rPr>
          <w:rFonts w:hint="eastAsia" w:ascii="宋体" w:hAnsi="宋体" w:eastAsia="宋体" w:cs="宋体"/>
          <w:b/>
          <w:bCs/>
          <w:spacing w:val="8"/>
          <w:sz w:val="20"/>
          <w:szCs w:val="20"/>
          <w:lang w:val="en-US" w:eastAsia="zh-CN"/>
        </w:rPr>
        <w:t xml:space="preserve">7.3.2 </w:t>
      </w:r>
      <w:r>
        <w:rPr>
          <w:rFonts w:hint="eastAsia" w:ascii="宋体" w:hAnsi="宋体" w:eastAsia="宋体" w:cs="宋体"/>
          <w:snapToGrid w:val="0"/>
          <w:color w:val="000000"/>
          <w:spacing w:val="6"/>
          <w:kern w:val="0"/>
          <w:sz w:val="20"/>
          <w:szCs w:val="20"/>
          <w:lang w:val="en-US" w:eastAsia="zh-CN"/>
        </w:rPr>
        <w:t>水泵需满足各工艺生产流程对高程的要求，尽量减少提升高度和提升次数，以节约能源。</w:t>
      </w:r>
      <w:bookmarkEnd w:id="72"/>
      <w:bookmarkEnd w:id="73"/>
      <w:bookmarkEnd w:id="74"/>
      <w:bookmarkEnd w:id="75"/>
      <w:bookmarkEnd w:id="76"/>
    </w:p>
    <w:p>
      <w:pPr>
        <w:pStyle w:val="5"/>
        <w:spacing w:before="249" w:line="229" w:lineRule="auto"/>
        <w:jc w:val="left"/>
        <w:outlineLvl w:val="0"/>
        <w:rPr>
          <w:rFonts w:hint="eastAsia" w:ascii="宋体" w:hAnsi="宋体" w:eastAsia="宋体" w:cs="宋体"/>
          <w:snapToGrid w:val="0"/>
          <w:color w:val="000000"/>
          <w:spacing w:val="6"/>
          <w:kern w:val="0"/>
          <w:sz w:val="20"/>
          <w:szCs w:val="20"/>
          <w:lang w:val="en-US" w:eastAsia="zh-CN" w:bidi="ar-SA"/>
        </w:rPr>
      </w:pPr>
    </w:p>
    <w:p>
      <w:pPr>
        <w:pStyle w:val="5"/>
        <w:spacing w:before="159" w:line="231" w:lineRule="auto"/>
        <w:jc w:val="center"/>
        <w:outlineLvl w:val="0"/>
        <w:rPr>
          <w:rFonts w:hint="eastAsia"/>
          <w:spacing w:val="6"/>
          <w:sz w:val="20"/>
          <w:szCs w:val="20"/>
          <w:lang w:val="en-US" w:eastAsia="zh-CN"/>
        </w:rPr>
      </w:pPr>
      <w:bookmarkStart w:id="77" w:name="_Toc6828"/>
      <w:bookmarkStart w:id="78" w:name="_Toc27699"/>
      <w:r>
        <w:rPr>
          <w:rFonts w:hint="eastAsia"/>
          <w:spacing w:val="6"/>
          <w:sz w:val="20"/>
          <w:szCs w:val="20"/>
          <w:lang w:val="en-US" w:eastAsia="zh-CN"/>
        </w:rPr>
        <w:t>7.4 电气系统</w:t>
      </w:r>
      <w:bookmarkEnd w:id="77"/>
      <w:bookmarkEnd w:id="78"/>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7.4.1 </w:t>
      </w:r>
      <w:r>
        <w:rPr>
          <w:rFonts w:hint="eastAsia" w:ascii="宋体" w:hAnsi="宋体" w:eastAsia="宋体" w:cs="宋体"/>
          <w:snapToGrid w:val="0"/>
          <w:color w:val="000000"/>
          <w:spacing w:val="6"/>
          <w:kern w:val="0"/>
          <w:sz w:val="20"/>
          <w:szCs w:val="20"/>
          <w:lang w:val="en-US" w:eastAsia="zh-CN"/>
        </w:rPr>
        <w:t>供配电系统：采用双回路供电（10KV），确保系统连续运行，变压器容量根据总用电负荷（含设备运行及备用负荷）的1.2倍确定，变压器负载率控制在50%。高压柜选用KYN28-12型铠装移开式开关柜，低压柜选用GGD2型，具备过载、短路、漏电保护功能。核心工艺设备（超滤水泵、反渗透高压泵）采用变频控制，变频器选用矢量型，调速范围0Hz～50Hz，电压等级380V，节能率大于等于15%。</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7.4.2 </w:t>
      </w:r>
      <w:r>
        <w:rPr>
          <w:rFonts w:hint="eastAsia" w:ascii="宋体" w:hAnsi="宋体" w:eastAsia="宋体" w:cs="宋体"/>
          <w:snapToGrid w:val="0"/>
          <w:color w:val="000000"/>
          <w:spacing w:val="6"/>
          <w:kern w:val="0"/>
          <w:sz w:val="20"/>
          <w:szCs w:val="20"/>
          <w:lang w:val="en-US" w:eastAsia="zh-CN"/>
        </w:rPr>
        <w:t>控制系统：采用PLC+上位机自动控制系统，实现工艺参数监测、设备启停及故障报警等功能，支持远程设置采样量程、报警上下限等参数。双膜车间及加药间等区域电气设备需符合防水等级IP55。</w:t>
      </w:r>
    </w:p>
    <w:p>
      <w:pPr>
        <w:numPr>
          <w:ilvl w:val="0"/>
          <w:numId w:val="0"/>
        </w:numPr>
        <w:tabs>
          <w:tab w:val="left" w:pos="840"/>
        </w:tabs>
        <w:snapToGrid w:val="0"/>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7.4.3 </w:t>
      </w:r>
      <w:r>
        <w:rPr>
          <w:rFonts w:hint="eastAsia" w:ascii="宋体" w:hAnsi="宋体" w:eastAsia="宋体" w:cs="宋体"/>
          <w:snapToGrid w:val="0"/>
          <w:color w:val="000000"/>
          <w:spacing w:val="6"/>
          <w:kern w:val="0"/>
          <w:sz w:val="20"/>
          <w:szCs w:val="20"/>
          <w:lang w:val="en-US" w:eastAsia="zh-CN"/>
        </w:rPr>
        <w:t>电缆与接地：电缆选用阻燃型交联聚乙烯电缆，敷设采用桥架或穿管方式；系统设置独立接地网，接地电阻小于等于4Ω，仪表接地电阻小于等于1Ω。电缆须有钢管、挠性管防护，电缆配管至接线箱前，须安装泄水盒。其中钢管选用镀锌钢管、挠性管采用尼龙材料内衬钢丝保护型。所有接线电缆端头做防腐处理。</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7.4.4 </w:t>
      </w:r>
      <w:r>
        <w:rPr>
          <w:rFonts w:hint="eastAsia" w:ascii="宋体" w:hAnsi="宋体" w:eastAsia="宋体" w:cs="宋体"/>
          <w:snapToGrid w:val="0"/>
          <w:color w:val="000000"/>
          <w:spacing w:val="6"/>
          <w:kern w:val="0"/>
          <w:sz w:val="20"/>
          <w:szCs w:val="20"/>
          <w:lang w:val="en-US" w:eastAsia="zh-CN"/>
        </w:rPr>
        <w:t>电机：所用低压高压电机选用节能高效型。变频驱动的电机选用同轴风扇，无需外接强制风冷设备，轴承采用绝缘结构或者绝缘轴承，电机绕组按照变频电机标准制造，加强绝缘，充分考虑谐波、低速运转所导致的温升，确保电机在调速范围内，外壳温度不超过电机本身防爆等级所规定的温度级别。变频驱动电机必须按照最新IEC标准与变频器一体进行型式试验。所有电机采用Y系列三相异步电动机或永磁电机，防护等级不低于IP55，绝缘等级F级，选用一级能效等级的电机。电机功率根据系统压力与流量确定，配备相应变频器；潜水电机采用防水密封设计，水下工作寿命大于等于10000h。</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7.4.5 </w:t>
      </w:r>
      <w:r>
        <w:rPr>
          <w:rFonts w:hint="eastAsia" w:ascii="宋体" w:hAnsi="宋体" w:eastAsia="宋体" w:cs="宋体"/>
          <w:snapToGrid w:val="0"/>
          <w:color w:val="000000"/>
          <w:spacing w:val="6"/>
          <w:kern w:val="0"/>
          <w:sz w:val="20"/>
          <w:szCs w:val="20"/>
          <w:lang w:val="en-US" w:eastAsia="zh-CN"/>
        </w:rPr>
        <w:t>电源箱要求：材料及表面采用2.0mm厚的冷轧钢板（特殊情况下采用另行规定），表面经除油/除锈及磷化防锈处理，再进行粉末静电喷塑，涂层厚度60～80um，具有极好的防腐蚀性。柜门开启角度大于等于135°。柜门设计为内铰链带锁。箱内电机回路、馈线回路须配置短路保护、过流保护、过负荷保护、漏电保护，所有塑壳开关、接触器、中间继电器等的辅助触点留有余量。箱上各元件均有抗干扰措施，其中交流指示灯的抗干扰电压不低于AC60V。箱内应预留10%到15%的元件安装空间，以备元件调整用。箱内母线铜排等带电导体不得裸露，必须带有绝缘保护层。箱内设置可靠的接地汇流排和接线端子。箱内一次线按照不小于设备总负荷电流的1.5倍进行选择，二次操作控制回路采用1.5mm²多芯软铜线，电流互感器二次连线不小于2.5mm²，二次端子均采用Phoenix OT冷压型接线端子排，端子内芯为铜芯，端子号标注应清晰规范，标识不易脱落。同一端子不能压接2根线，需要用短接端子，有电流信号输出必须用专用电流端子。箱体应满足下进下出线方式考虑（特殊情况除外），以方便配线安装，进出线口应配置相应密封附件，以达到箱体的整体防爆、防护等级。应满足现场环境的防爆、防护、防腐蚀要求。</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7.4.6 </w:t>
      </w:r>
      <w:r>
        <w:rPr>
          <w:rFonts w:hint="eastAsia" w:ascii="宋体" w:hAnsi="宋体" w:eastAsia="宋体" w:cs="宋体"/>
          <w:snapToGrid w:val="0"/>
          <w:color w:val="000000"/>
          <w:spacing w:val="6"/>
          <w:kern w:val="0"/>
          <w:sz w:val="20"/>
          <w:szCs w:val="20"/>
          <w:lang w:val="en-US" w:eastAsia="zh-CN"/>
        </w:rPr>
        <w:t>接口要求：电气开关柜、MCC柜与PLC之间的设备运行状态点、故障状态点、联锁点、开机信号、停机信号均采用无源点。接点容量为AC/DC 220V  5A。电气开关柜、MCC柜至PLC的二次电流信号为0A～1A。PLC至电气开关柜、MCC柜、辅机柜的模拟信号为4A～20mA。</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7.4.7 </w:t>
      </w:r>
      <w:r>
        <w:rPr>
          <w:rFonts w:hint="eastAsia" w:ascii="宋体" w:hAnsi="宋体" w:eastAsia="宋体" w:cs="宋体"/>
          <w:snapToGrid w:val="0"/>
          <w:color w:val="000000"/>
          <w:spacing w:val="6"/>
          <w:kern w:val="0"/>
          <w:sz w:val="20"/>
          <w:szCs w:val="20"/>
          <w:lang w:val="en-US" w:eastAsia="zh-CN"/>
        </w:rPr>
        <w:t>安装要求：电气设备安装需符合《电气装置安装工程接地装置施工及验收规范》（GB 50169），车间接地电阻小于等于4Ω，设备接地电阻小于等于1Ω。高压柜与低压柜间距大于等于1.5m，操作通道宽度大于等于1.2m。电缆敷设采用桥架+穿管方式，桥架选用镀锌钢板材质，规格根据电缆数量确定，转弯半径大于等于电缆直径的10倍。电机安装时，轴线偏差小于等于0.1mm/m，运行时振动速度小于等于4.5mm/s。</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7.4.8 </w:t>
      </w:r>
      <w:r>
        <w:rPr>
          <w:rFonts w:hint="eastAsia" w:ascii="宋体" w:hAnsi="宋体" w:eastAsia="宋体" w:cs="宋体"/>
          <w:snapToGrid w:val="0"/>
          <w:color w:val="000000"/>
          <w:spacing w:val="6"/>
          <w:kern w:val="0"/>
          <w:sz w:val="20"/>
          <w:szCs w:val="20"/>
          <w:lang w:val="en-US" w:eastAsia="zh-CN"/>
        </w:rPr>
        <w:t>所有电气设备的防护等级IP55，防腐：WF2，</w:t>
      </w:r>
    </w:p>
    <w:p>
      <w:pPr>
        <w:pStyle w:val="5"/>
        <w:spacing w:before="159" w:line="231" w:lineRule="auto"/>
        <w:jc w:val="center"/>
        <w:outlineLvl w:val="0"/>
        <w:rPr>
          <w:rFonts w:hint="eastAsia"/>
          <w:spacing w:val="6"/>
          <w:sz w:val="20"/>
          <w:szCs w:val="20"/>
          <w:lang w:val="en-US" w:eastAsia="zh-CN"/>
        </w:rPr>
      </w:pPr>
      <w:bookmarkStart w:id="79" w:name="_Toc21496"/>
      <w:bookmarkStart w:id="80" w:name="_Toc1449"/>
      <w:r>
        <w:rPr>
          <w:rFonts w:hint="eastAsia"/>
          <w:spacing w:val="6"/>
          <w:sz w:val="20"/>
          <w:szCs w:val="20"/>
          <w:lang w:val="en-US" w:eastAsia="zh-CN"/>
        </w:rPr>
        <w:t>7.5 自控仪表设备选型安装</w:t>
      </w:r>
      <w:bookmarkEnd w:id="79"/>
      <w:bookmarkEnd w:id="80"/>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bookmarkStart w:id="81" w:name="_Toc23823"/>
      <w:bookmarkStart w:id="82" w:name="_Toc13591"/>
      <w:bookmarkStart w:id="83" w:name="_Toc10457"/>
      <w:bookmarkStart w:id="84" w:name="_Toc21801"/>
      <w:bookmarkStart w:id="85" w:name="_Toc16494"/>
      <w:r>
        <w:rPr>
          <w:rFonts w:hint="eastAsia" w:ascii="宋体" w:hAnsi="宋体" w:eastAsia="宋体" w:cs="宋体"/>
          <w:b/>
          <w:bCs/>
          <w:spacing w:val="8"/>
          <w:sz w:val="20"/>
          <w:szCs w:val="20"/>
          <w:lang w:val="en-US" w:eastAsia="zh-CN"/>
        </w:rPr>
        <w:t xml:space="preserve">7.5.1 </w:t>
      </w:r>
      <w:r>
        <w:rPr>
          <w:rFonts w:hint="eastAsia" w:ascii="宋体" w:hAnsi="宋体" w:eastAsia="宋体" w:cs="宋体"/>
          <w:spacing w:val="8"/>
          <w:sz w:val="20"/>
          <w:szCs w:val="20"/>
          <w:lang w:val="en-US" w:eastAsia="zh-CN"/>
        </w:rPr>
        <w:t>系统要求实现全自动化操作。仪表及自控设备选型应根据生产规模、流程特点、操作要求和自动控制水平，选择技术先进、性能可靠、价格合理、售后服务和技术支持良好的仪表和自控设备。</w:t>
      </w:r>
      <w:bookmarkEnd w:id="81"/>
      <w:bookmarkEnd w:id="82"/>
      <w:bookmarkEnd w:id="83"/>
      <w:bookmarkEnd w:id="84"/>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bookmarkStart w:id="86" w:name="_Toc15221"/>
      <w:bookmarkStart w:id="87" w:name="_Toc29206"/>
      <w:bookmarkStart w:id="88" w:name="_Toc7419"/>
      <w:bookmarkStart w:id="89" w:name="_Toc4733"/>
      <w:r>
        <w:rPr>
          <w:rFonts w:hint="eastAsia" w:ascii="宋体" w:hAnsi="宋体" w:eastAsia="宋体" w:cs="宋体"/>
          <w:b/>
          <w:bCs/>
          <w:spacing w:val="8"/>
          <w:sz w:val="20"/>
          <w:szCs w:val="20"/>
          <w:lang w:val="en-US" w:eastAsia="zh-CN"/>
        </w:rPr>
        <w:t xml:space="preserve">7.5.2 </w:t>
      </w:r>
      <w:r>
        <w:rPr>
          <w:rFonts w:hint="eastAsia" w:ascii="宋体" w:hAnsi="宋体" w:eastAsia="宋体" w:cs="宋体"/>
          <w:spacing w:val="8"/>
          <w:sz w:val="20"/>
          <w:szCs w:val="20"/>
          <w:lang w:val="en-US" w:eastAsia="zh-CN"/>
        </w:rPr>
        <w:t>采用PLC系统，PLC内部（CPU模块、以太网模块、AI/AO模块、DI/DO模块、端子排等）必须使用防腐材质。</w:t>
      </w:r>
      <w:bookmarkEnd w:id="86"/>
      <w:bookmarkEnd w:id="87"/>
      <w:bookmarkEnd w:id="88"/>
      <w:bookmarkEnd w:id="89"/>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bookmarkStart w:id="90" w:name="_Toc14707"/>
      <w:bookmarkStart w:id="91" w:name="_Toc21563"/>
      <w:bookmarkStart w:id="92" w:name="_Toc16717"/>
      <w:bookmarkStart w:id="93" w:name="_Toc26932"/>
      <w:r>
        <w:rPr>
          <w:rFonts w:hint="eastAsia" w:ascii="宋体" w:hAnsi="宋体" w:eastAsia="宋体" w:cs="宋体"/>
          <w:b/>
          <w:bCs/>
          <w:spacing w:val="8"/>
          <w:sz w:val="20"/>
          <w:szCs w:val="20"/>
          <w:lang w:val="en-US" w:eastAsia="zh-CN"/>
        </w:rPr>
        <w:t xml:space="preserve">7.5.3 </w:t>
      </w:r>
      <w:r>
        <w:rPr>
          <w:rFonts w:hint="eastAsia" w:ascii="宋体" w:hAnsi="宋体" w:eastAsia="宋体" w:cs="宋体"/>
          <w:spacing w:val="8"/>
          <w:sz w:val="20"/>
          <w:szCs w:val="20"/>
          <w:lang w:val="en-US" w:eastAsia="zh-CN"/>
        </w:rPr>
        <w:t>现场仪表选用智能式仪表。用于FF系统信号的仪表均采用4mA～20mA DC标准信号。仪表选型匹配介质特性，测量精度小于等于0.1%FS，量程按实际工况1.2～1.5倍确定。流量计采用4mA～20mA DC标准信号叠加MODBUS协议。联锁输入条件（温度、压力、流量、液位）要考虑合理延时，具备温度补偿功能。</w:t>
      </w:r>
      <w:bookmarkEnd w:id="90"/>
      <w:bookmarkEnd w:id="91"/>
      <w:bookmarkEnd w:id="92"/>
      <w:bookmarkEnd w:id="93"/>
    </w:p>
    <w:bookmarkEnd w:id="85"/>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b/>
          <w:bCs/>
          <w:spacing w:val="8"/>
          <w:sz w:val="20"/>
          <w:szCs w:val="20"/>
          <w:lang w:val="en-US" w:eastAsia="zh-CN"/>
        </w:rPr>
        <w:t xml:space="preserve">7.5.4 </w:t>
      </w:r>
      <w:r>
        <w:rPr>
          <w:rFonts w:hint="eastAsia" w:ascii="宋体" w:hAnsi="宋体" w:eastAsia="宋体" w:cs="宋体"/>
          <w:spacing w:val="8"/>
          <w:sz w:val="20"/>
          <w:szCs w:val="20"/>
          <w:lang w:val="en-US" w:eastAsia="zh-CN"/>
        </w:rPr>
        <w:t>压力/液位仪表：压力变送器采用单晶硅或无油陶瓷型，量程覆盖系统最高压力1.3倍；液位计选用雷达式或超声波式等，盲区小于等于0.3m，防护等级不低于IP65。</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b/>
          <w:bCs/>
          <w:spacing w:val="8"/>
          <w:sz w:val="20"/>
          <w:szCs w:val="20"/>
          <w:lang w:val="en-US" w:eastAsia="zh-CN"/>
        </w:rPr>
        <w:t xml:space="preserve">7.5.5 </w:t>
      </w:r>
      <w:r>
        <w:rPr>
          <w:rFonts w:hint="eastAsia" w:ascii="宋体" w:hAnsi="宋体" w:eastAsia="宋体" w:cs="宋体"/>
          <w:spacing w:val="8"/>
          <w:sz w:val="20"/>
          <w:szCs w:val="20"/>
          <w:lang w:val="en-US" w:eastAsia="zh-CN"/>
        </w:rPr>
        <w:t>分析仪表：传感器采用耐冲击、抗污染型，响应时间小于等于10s；仪表主机支持故障诊断，供电电压220VAC，输出信号可接入PLC系统。</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b/>
          <w:bCs/>
          <w:spacing w:val="8"/>
          <w:sz w:val="20"/>
          <w:szCs w:val="20"/>
          <w:lang w:val="en-US" w:eastAsia="zh-CN"/>
        </w:rPr>
        <w:t xml:space="preserve">7.5.6 </w:t>
      </w:r>
      <w:r>
        <w:rPr>
          <w:rFonts w:hint="eastAsia" w:ascii="宋体" w:hAnsi="宋体" w:eastAsia="宋体" w:cs="宋体"/>
          <w:spacing w:val="8"/>
          <w:sz w:val="20"/>
          <w:szCs w:val="20"/>
          <w:lang w:val="en-US" w:eastAsia="zh-CN"/>
        </w:rPr>
        <w:t>显示控制仪表：采用带背光LCD屏的数显表，精度小于等于0.2% FS，支持上下限报警，面板防护等级IP65。</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b/>
          <w:bCs/>
          <w:spacing w:val="8"/>
          <w:sz w:val="20"/>
          <w:szCs w:val="20"/>
          <w:lang w:val="en-US" w:eastAsia="zh-CN"/>
        </w:rPr>
        <w:t xml:space="preserve">7.5.7 </w:t>
      </w:r>
      <w:r>
        <w:rPr>
          <w:rFonts w:hint="eastAsia" w:ascii="宋体" w:hAnsi="宋体" w:eastAsia="宋体" w:cs="宋体"/>
          <w:spacing w:val="8"/>
          <w:sz w:val="20"/>
          <w:szCs w:val="20"/>
          <w:lang w:val="en-US" w:eastAsia="zh-CN"/>
        </w:rPr>
        <w:t>仪表安装固定：传感器垂直插入介质，浸入深度大于等于150mm，避开管道弯头、泵出口等湍流区；流量计安装需保证前后直管段（前大于等于10倍管径，后大于等于5倍管径），法兰连接密封垫选用耐油耐腐材质；仪表变送器安装在无振动、无强光直射的位置，壁挂式安装高度1.5m～1.8m，嵌入式安装面板开孔尺寸与仪表匹配（误差小于等于0.5mm）；露天安装需加防雨罩。</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b/>
          <w:bCs/>
          <w:spacing w:val="8"/>
          <w:sz w:val="20"/>
          <w:szCs w:val="20"/>
          <w:lang w:val="en-US" w:eastAsia="zh-CN"/>
        </w:rPr>
        <w:t xml:space="preserve">7.5.8 </w:t>
      </w:r>
      <w:r>
        <w:rPr>
          <w:rFonts w:hint="eastAsia" w:ascii="宋体" w:hAnsi="宋体" w:eastAsia="宋体" w:cs="宋体"/>
          <w:spacing w:val="8"/>
          <w:sz w:val="20"/>
          <w:szCs w:val="20"/>
          <w:lang w:val="en-US" w:eastAsia="zh-CN"/>
        </w:rPr>
        <w:t>布线与接线：仪表电缆选用屏蔽型线缆，避免与动力电缆平行敷设（间距大于等于0.3m）；接线端子需压接牢固，屏蔽层单端接地（接入仪表接地网）。</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b/>
          <w:bCs/>
          <w:spacing w:val="8"/>
          <w:sz w:val="20"/>
          <w:szCs w:val="20"/>
          <w:lang w:val="en-US" w:eastAsia="zh-CN"/>
        </w:rPr>
        <w:t xml:space="preserve">7.5.9 </w:t>
      </w:r>
      <w:r>
        <w:rPr>
          <w:rFonts w:hint="eastAsia" w:ascii="宋体" w:hAnsi="宋体" w:eastAsia="宋体" w:cs="宋体"/>
          <w:spacing w:val="8"/>
          <w:sz w:val="20"/>
          <w:szCs w:val="20"/>
          <w:lang w:val="en-US" w:eastAsia="zh-CN"/>
        </w:rPr>
        <w:t>仪表设置要求：各处理单元根据工艺操作控制要求设相关监控仪表和报警装置。构（建）筑物应按使用、贮存和产生易燃、可燃或有害气体的危险性，设置相应的检测仪表和报警装置。药液及酸碱贮罐应设液位监测仪表和高低液位报警装置。</w:t>
      </w:r>
    </w:p>
    <w:p>
      <w:pPr>
        <w:widowControl/>
        <w:kinsoku w:val="0"/>
        <w:autoSpaceDE w:val="0"/>
        <w:autoSpaceDN w:val="0"/>
        <w:adjustRightInd w:val="0"/>
        <w:snapToGrid w:val="0"/>
        <w:spacing w:before="219" w:line="228" w:lineRule="auto"/>
        <w:ind w:firstLine="432" w:firstLineChars="20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1 流量仪表</w:t>
      </w:r>
    </w:p>
    <w:p>
      <w:pPr>
        <w:widowControl/>
        <w:kinsoku w:val="0"/>
        <w:autoSpaceDE w:val="0"/>
        <w:autoSpaceDN w:val="0"/>
        <w:adjustRightInd w:val="0"/>
        <w:snapToGrid w:val="0"/>
        <w:spacing w:before="219" w:line="228" w:lineRule="auto"/>
        <w:ind w:left="638" w:leftChars="304" w:firstLine="0" w:firstLineChars="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（1）各计量管线上设置在线流量计（总进水、总产水、总出水、总排水、超滤膜组各进水、产水、反渗透膜组各进水、各产水、各排水、冲洗、清洗等）。</w:t>
      </w:r>
    </w:p>
    <w:p>
      <w:pPr>
        <w:widowControl/>
        <w:kinsoku w:val="0"/>
        <w:autoSpaceDE w:val="0"/>
        <w:autoSpaceDN w:val="0"/>
        <w:adjustRightInd w:val="0"/>
        <w:snapToGrid w:val="0"/>
        <w:spacing w:before="219" w:line="228" w:lineRule="auto"/>
        <w:ind w:left="638" w:leftChars="304" w:firstLine="0" w:firstLineChars="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（2）各药剂界区管线上设置在线流量计。</w:t>
      </w:r>
    </w:p>
    <w:p>
      <w:pPr>
        <w:widowControl/>
        <w:kinsoku w:val="0"/>
        <w:autoSpaceDE w:val="0"/>
        <w:autoSpaceDN w:val="0"/>
        <w:adjustRightInd w:val="0"/>
        <w:snapToGrid w:val="0"/>
        <w:spacing w:before="219" w:line="228" w:lineRule="auto"/>
        <w:ind w:left="638" w:leftChars="304" w:firstLine="0" w:firstLineChars="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（3）各公用工程（水、汽、风）界区总管上设置在线流量计。</w:t>
      </w:r>
    </w:p>
    <w:p>
      <w:pPr>
        <w:widowControl/>
        <w:kinsoku w:val="0"/>
        <w:autoSpaceDE w:val="0"/>
        <w:autoSpaceDN w:val="0"/>
        <w:adjustRightInd w:val="0"/>
        <w:snapToGrid w:val="0"/>
        <w:spacing w:before="219" w:line="228" w:lineRule="auto"/>
        <w:ind w:firstLine="432" w:firstLineChars="20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2 压力表</w:t>
      </w:r>
    </w:p>
    <w:p>
      <w:pPr>
        <w:widowControl/>
        <w:kinsoku w:val="0"/>
        <w:autoSpaceDE w:val="0"/>
        <w:autoSpaceDN w:val="0"/>
        <w:adjustRightInd w:val="0"/>
        <w:snapToGrid w:val="0"/>
        <w:spacing w:before="219" w:line="228" w:lineRule="auto"/>
        <w:ind w:left="638" w:leftChars="304" w:firstLine="0" w:firstLineChars="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（1）各类水泵出口、压缩机出口装设耐震压力表/隔膜压力表。</w:t>
      </w:r>
    </w:p>
    <w:p>
      <w:pPr>
        <w:widowControl/>
        <w:kinsoku w:val="0"/>
        <w:autoSpaceDE w:val="0"/>
        <w:autoSpaceDN w:val="0"/>
        <w:adjustRightInd w:val="0"/>
        <w:snapToGrid w:val="0"/>
        <w:spacing w:before="219" w:line="228" w:lineRule="auto"/>
        <w:ind w:left="638" w:leftChars="304" w:firstLine="0" w:firstLineChars="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（2）在需要测压力的管路上装设压力表/隔膜压力表（总进水、总产水、总出水、总排水、超滤膜组各进水、产水、反渗透膜组各进水、各产水、各排水、冲洗、清洗等）。</w:t>
      </w:r>
    </w:p>
    <w:p>
      <w:pPr>
        <w:widowControl/>
        <w:kinsoku w:val="0"/>
        <w:autoSpaceDE w:val="0"/>
        <w:autoSpaceDN w:val="0"/>
        <w:adjustRightInd w:val="0"/>
        <w:snapToGrid w:val="0"/>
        <w:spacing w:before="219" w:line="228" w:lineRule="auto"/>
        <w:ind w:firstLine="432" w:firstLineChars="20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3 液位计</w:t>
      </w:r>
    </w:p>
    <w:p>
      <w:pPr>
        <w:widowControl/>
        <w:kinsoku w:val="0"/>
        <w:autoSpaceDE w:val="0"/>
        <w:autoSpaceDN w:val="0"/>
        <w:adjustRightInd w:val="0"/>
        <w:snapToGrid w:val="0"/>
        <w:spacing w:before="219" w:line="228" w:lineRule="auto"/>
        <w:ind w:left="638" w:leftChars="304" w:firstLine="0" w:firstLineChars="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（1）各水池内应设置液位计。</w:t>
      </w:r>
    </w:p>
    <w:p>
      <w:pPr>
        <w:widowControl/>
        <w:kinsoku w:val="0"/>
        <w:autoSpaceDE w:val="0"/>
        <w:autoSpaceDN w:val="0"/>
        <w:adjustRightInd w:val="0"/>
        <w:snapToGrid w:val="0"/>
        <w:spacing w:before="219" w:line="228" w:lineRule="auto"/>
        <w:ind w:left="638" w:leftChars="304" w:firstLine="0" w:firstLineChars="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（2）各药液箱、清洗箱（罐）设带有远传信号的液位计。</w:t>
      </w:r>
    </w:p>
    <w:p>
      <w:pPr>
        <w:widowControl/>
        <w:kinsoku w:val="0"/>
        <w:autoSpaceDE w:val="0"/>
        <w:autoSpaceDN w:val="0"/>
        <w:adjustRightInd w:val="0"/>
        <w:snapToGrid w:val="0"/>
        <w:spacing w:before="219" w:line="228" w:lineRule="auto"/>
        <w:ind w:firstLine="432" w:firstLineChars="200"/>
        <w:jc w:val="left"/>
        <w:textAlignment w:val="baseline"/>
        <w:rPr>
          <w:rFonts w:hint="eastAsia" w:ascii="宋体" w:hAnsi="宋体" w:eastAsia="宋体" w:cs="宋体"/>
          <w:spacing w:val="8"/>
          <w:sz w:val="20"/>
          <w:szCs w:val="20"/>
          <w:lang w:val="en-US" w:eastAsia="zh-CN"/>
        </w:rPr>
      </w:pPr>
      <w:r>
        <w:rPr>
          <w:rFonts w:hint="eastAsia" w:ascii="宋体" w:hAnsi="宋体" w:eastAsia="宋体" w:cs="宋体"/>
          <w:spacing w:val="8"/>
          <w:sz w:val="20"/>
          <w:szCs w:val="20"/>
          <w:lang w:val="en-US" w:eastAsia="zh-CN"/>
        </w:rPr>
        <w:t>4 温度仪表：在线温度仪表信号远传至PLC。</w:t>
      </w: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sectPr>
          <w:headerReference r:id="rId13" w:type="default"/>
          <w:footerReference r:id="rId14" w:type="default"/>
          <w:pgSz w:w="7938" w:h="11510"/>
          <w:pgMar w:top="400" w:right="965" w:bottom="894" w:left="972" w:header="0" w:footer="732" w:gutter="0"/>
          <w:pgNumType w:fmt="decimal"/>
          <w:cols w:space="720" w:num="1"/>
        </w:sectPr>
      </w:pPr>
    </w:p>
    <w:p>
      <w:pPr>
        <w:widowControl/>
        <w:kinsoku w:val="0"/>
        <w:autoSpaceDE w:val="0"/>
        <w:autoSpaceDN w:val="0"/>
        <w:adjustRightInd w:val="0"/>
        <w:snapToGrid w:val="0"/>
        <w:spacing w:before="219" w:line="228" w:lineRule="auto"/>
        <w:jc w:val="left"/>
        <w:textAlignment w:val="baseline"/>
        <w:rPr>
          <w:rFonts w:hint="eastAsia" w:ascii="宋体" w:hAnsi="宋体" w:eastAsia="宋体" w:cs="宋体"/>
          <w:spacing w:val="8"/>
          <w:sz w:val="20"/>
          <w:szCs w:val="20"/>
          <w:lang w:val="en-US" w:eastAsia="zh-CN"/>
        </w:rPr>
      </w:pPr>
    </w:p>
    <w:p>
      <w:pPr>
        <w:spacing w:before="91" w:line="220" w:lineRule="auto"/>
        <w:jc w:val="center"/>
        <w:outlineLvl w:val="0"/>
        <w:rPr>
          <w:rFonts w:hint="default" w:ascii="宋体" w:hAnsi="宋体" w:eastAsia="宋体" w:cs="宋体"/>
          <w:sz w:val="28"/>
          <w:szCs w:val="28"/>
          <w:lang w:val="en-US" w:eastAsia="zh-CN"/>
        </w:rPr>
      </w:pPr>
      <w:bookmarkStart w:id="94" w:name="_Toc18963"/>
      <w:bookmarkStart w:id="95" w:name="_Toc28903"/>
      <w:r>
        <w:rPr>
          <w:rFonts w:hint="eastAsia" w:ascii="Times New Roman" w:hAnsi="Times New Roman" w:eastAsia="宋体" w:cs="Times New Roman"/>
          <w:b/>
          <w:bCs/>
          <w:spacing w:val="-8"/>
          <w:sz w:val="28"/>
          <w:szCs w:val="28"/>
          <w:lang w:val="en-US" w:eastAsia="zh-CN"/>
        </w:rPr>
        <w:t>8</w:t>
      </w:r>
      <w:r>
        <w:rPr>
          <w:rFonts w:ascii="Times New Roman" w:hAnsi="Times New Roman" w:eastAsia="Times New Roman" w:cs="Times New Roman"/>
          <w:b/>
          <w:bCs/>
          <w:spacing w:val="10"/>
          <w:sz w:val="28"/>
          <w:szCs w:val="28"/>
        </w:rPr>
        <w:t xml:space="preserve">  </w:t>
      </w:r>
      <w:r>
        <w:rPr>
          <w:rFonts w:hint="eastAsia" w:ascii="宋体" w:hAnsi="宋体" w:eastAsia="宋体" w:cs="宋体"/>
          <w:b/>
          <w:bCs/>
          <w:snapToGrid w:val="0"/>
          <w:color w:val="000000"/>
          <w:spacing w:val="-8"/>
          <w:kern w:val="0"/>
          <w:sz w:val="28"/>
          <w:szCs w:val="28"/>
          <w:lang w:val="en-US" w:eastAsia="zh-CN" w:bidi="ar-SA"/>
        </w:rPr>
        <w:t>运输管道标准</w:t>
      </w:r>
      <w:bookmarkEnd w:id="94"/>
      <w:bookmarkEnd w:id="95"/>
    </w:p>
    <w:p>
      <w:pPr>
        <w:pStyle w:val="5"/>
        <w:spacing w:before="159" w:line="231" w:lineRule="auto"/>
        <w:jc w:val="center"/>
        <w:outlineLvl w:val="0"/>
        <w:rPr>
          <w:rFonts w:hint="eastAsia"/>
          <w:spacing w:val="6"/>
          <w:sz w:val="20"/>
          <w:szCs w:val="20"/>
          <w:lang w:val="en-US" w:eastAsia="zh-CN"/>
        </w:rPr>
      </w:pPr>
      <w:bookmarkStart w:id="96" w:name="_Toc1338"/>
      <w:bookmarkStart w:id="97" w:name="_Toc13376"/>
      <w:r>
        <w:rPr>
          <w:rFonts w:hint="eastAsia"/>
          <w:spacing w:val="6"/>
          <w:sz w:val="20"/>
          <w:szCs w:val="20"/>
          <w:lang w:val="en-US" w:eastAsia="zh-CN"/>
        </w:rPr>
        <w:t>8.1  管道设计</w:t>
      </w:r>
      <w:bookmarkEnd w:id="96"/>
      <w:bookmarkEnd w:id="97"/>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8</w:t>
      </w:r>
      <w:r>
        <w:rPr>
          <w:rFonts w:ascii="宋体" w:hAnsi="宋体" w:eastAsia="宋体" w:cs="宋体"/>
          <w:b/>
          <w:bCs/>
          <w:spacing w:val="8"/>
          <w:sz w:val="20"/>
          <w:szCs w:val="20"/>
        </w:rPr>
        <w:t>.1.1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再生水运输管道设计流量按远期最大日供水量的1.2倍确定，管径通过水力计算得出，设计流速控制在1.2m/s～2.0m/s，经济流速1.5m/s。</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8</w:t>
      </w:r>
      <w:r>
        <w:rPr>
          <w:rFonts w:ascii="宋体" w:hAnsi="宋体" w:eastAsia="宋体" w:cs="宋体"/>
          <w:b/>
          <w:bCs/>
          <w:spacing w:val="8"/>
          <w:sz w:val="20"/>
          <w:szCs w:val="20"/>
        </w:rPr>
        <w:t>.1.</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管道采用环状与枝状结合的管网形式，保障供水可靠性。管道压力设计需考虑地形高差与水头损失，起点压力大于等于0.6MPa，末端压力大于等于0.2MPa。</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8</w:t>
      </w:r>
      <w:r>
        <w:rPr>
          <w:rFonts w:ascii="宋体" w:hAnsi="宋体" w:eastAsia="宋体" w:cs="宋体"/>
          <w:b/>
          <w:bCs/>
          <w:spacing w:val="8"/>
          <w:sz w:val="20"/>
          <w:szCs w:val="20"/>
        </w:rPr>
        <w:t>.1.</w:t>
      </w:r>
      <w:r>
        <w:rPr>
          <w:rFonts w:hint="eastAsia" w:ascii="宋体" w:hAnsi="宋体" w:eastAsia="宋体" w:cs="宋体"/>
          <w:b/>
          <w:bCs/>
          <w:spacing w:val="8"/>
          <w:sz w:val="20"/>
          <w:szCs w:val="20"/>
          <w:lang w:val="en-US" w:eastAsia="zh-CN"/>
        </w:rPr>
        <w:t>3</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埋地管道需采取防腐加强措施（3PE防腐层+阴极保护），穿越公路、铁路时采用套管保护（套管管径比主管大2级）。</w:t>
      </w:r>
    </w:p>
    <w:p>
      <w:pPr>
        <w:pStyle w:val="5"/>
        <w:spacing w:before="159" w:line="231" w:lineRule="auto"/>
        <w:jc w:val="center"/>
        <w:outlineLvl w:val="0"/>
        <w:rPr>
          <w:rFonts w:hint="eastAsia"/>
          <w:spacing w:val="6"/>
          <w:sz w:val="20"/>
          <w:szCs w:val="20"/>
          <w:lang w:val="en-US" w:eastAsia="zh-CN"/>
        </w:rPr>
      </w:pPr>
      <w:bookmarkStart w:id="98" w:name="_Toc30222"/>
      <w:bookmarkStart w:id="99" w:name="_Toc28929"/>
      <w:r>
        <w:rPr>
          <w:rFonts w:hint="eastAsia"/>
          <w:spacing w:val="6"/>
          <w:sz w:val="20"/>
          <w:szCs w:val="20"/>
          <w:lang w:val="en-US" w:eastAsia="zh-CN"/>
        </w:rPr>
        <w:t>8.2  敷设与防护</w:t>
      </w:r>
      <w:bookmarkEnd w:id="98"/>
      <w:bookmarkEnd w:id="99"/>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8</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管道采用埋地敷设，覆土深度：车行道下大于等于1.2m，人行道下大于等于0.8m，耕地内大于等于1.0m。地基采用砂垫层处理，厚度100mm～150mm，压实度大于等于95%。</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8</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管道接口采用柔性连接，橡胶密封圈需符合GB/T 13663.2标准，接口压力试验合格后方可回填。</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8</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防腐措施：钢管采用环氧煤沥青防腐涂层（底漆+面漆，总厚度大于等于0.4mm），球墨铸铁管采用锌层+聚氨酯涂层双重防护。管道沿线每1km设置1座阴极保护测试桩，每5km设置1座排气阀，低洼地段设置排水阀。管道外壁设置警示带（距管顶300mm），警示带印有“再生水管道 严禁挖掘”字样。</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p>
    <w:p>
      <w:pPr>
        <w:pStyle w:val="5"/>
        <w:spacing w:before="159" w:line="231" w:lineRule="auto"/>
        <w:jc w:val="center"/>
        <w:outlineLvl w:val="0"/>
        <w:rPr>
          <w:rFonts w:hint="eastAsia"/>
          <w:spacing w:val="6"/>
          <w:sz w:val="20"/>
          <w:szCs w:val="20"/>
          <w:lang w:val="en-US" w:eastAsia="zh-CN"/>
        </w:rPr>
      </w:pPr>
      <w:bookmarkStart w:id="100" w:name="_Toc6802"/>
      <w:bookmarkStart w:id="101" w:name="_Toc19033"/>
      <w:r>
        <w:rPr>
          <w:rFonts w:hint="eastAsia"/>
          <w:spacing w:val="6"/>
          <w:sz w:val="20"/>
          <w:szCs w:val="20"/>
          <w:lang w:val="en-US" w:eastAsia="zh-CN"/>
        </w:rPr>
        <w:t>8.3  运行与维护</w:t>
      </w:r>
      <w:bookmarkEnd w:id="100"/>
      <w:bookmarkEnd w:id="101"/>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8</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运输管道投产前需进行水压试验与消毒冲洗：水压试验压力为设计压力的1.5倍，保压2h，压降小于等于0.03MPa；消毒采用200mg/L含氯消毒液浸泡24h，冲洗至出水余氯小于等于0.3mg/L。</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8</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运行期间，定期进行管道检漏（采用音波检漏仪，每年不少于2次），发现泄漏及时修复。建立管道电子档案，记录管道位置、管径、敷设时间、维护记录等信息，实现全生命周期管理。</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sectPr>
          <w:headerReference r:id="rId15" w:type="default"/>
          <w:footerReference r:id="rId16" w:type="default"/>
          <w:pgSz w:w="7938" w:h="11510"/>
          <w:pgMar w:top="400" w:right="965" w:bottom="894" w:left="972" w:header="0" w:footer="732" w:gutter="0"/>
          <w:pgNumType w:fmt="decimal"/>
          <w:cols w:space="720" w:num="1"/>
        </w:sectPr>
      </w:pPr>
    </w:p>
    <w:p>
      <w:pPr>
        <w:spacing w:before="91" w:line="220" w:lineRule="auto"/>
        <w:jc w:val="center"/>
        <w:outlineLvl w:val="0"/>
        <w:rPr>
          <w:rFonts w:hint="default" w:ascii="宋体" w:hAnsi="宋体" w:eastAsia="宋体" w:cs="宋体"/>
          <w:sz w:val="28"/>
          <w:szCs w:val="28"/>
          <w:lang w:val="en-US" w:eastAsia="zh-CN"/>
        </w:rPr>
      </w:pPr>
      <w:bookmarkStart w:id="102" w:name="_Toc2200"/>
      <w:bookmarkStart w:id="103" w:name="_Toc18765"/>
      <w:r>
        <w:rPr>
          <w:rFonts w:hint="eastAsia" w:ascii="Times New Roman" w:hAnsi="Times New Roman" w:eastAsia="宋体" w:cs="Times New Roman"/>
          <w:b/>
          <w:bCs/>
          <w:spacing w:val="-8"/>
          <w:sz w:val="28"/>
          <w:szCs w:val="28"/>
          <w:lang w:val="en-US" w:eastAsia="zh-CN"/>
        </w:rPr>
        <w:t>9</w:t>
      </w:r>
      <w:r>
        <w:rPr>
          <w:rFonts w:ascii="Times New Roman" w:hAnsi="Times New Roman" w:eastAsia="Times New Roman" w:cs="Times New Roman"/>
          <w:b/>
          <w:bCs/>
          <w:spacing w:val="10"/>
          <w:sz w:val="28"/>
          <w:szCs w:val="28"/>
        </w:rPr>
        <w:t xml:space="preserve">  </w:t>
      </w:r>
      <w:r>
        <w:rPr>
          <w:rFonts w:hint="eastAsia" w:ascii="宋体" w:hAnsi="宋体" w:eastAsia="宋体" w:cs="宋体"/>
          <w:b/>
          <w:bCs/>
          <w:snapToGrid w:val="0"/>
          <w:color w:val="000000"/>
          <w:spacing w:val="-8"/>
          <w:kern w:val="0"/>
          <w:sz w:val="28"/>
          <w:szCs w:val="28"/>
          <w:lang w:val="en-US" w:eastAsia="zh-CN" w:bidi="ar-SA"/>
        </w:rPr>
        <w:t>验收标准</w:t>
      </w:r>
      <w:bookmarkEnd w:id="102"/>
      <w:bookmarkEnd w:id="103"/>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9</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0</w:t>
      </w:r>
      <w:r>
        <w:rPr>
          <w:rFonts w:ascii="宋体" w:hAnsi="宋体" w:eastAsia="宋体" w:cs="宋体"/>
          <w:b/>
          <w:bCs/>
          <w:spacing w:val="8"/>
          <w:sz w:val="20"/>
          <w:szCs w:val="20"/>
        </w:rPr>
        <w:t>.1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工程验收分为分项工程验收、单位工程验收及竣工验收。</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9.0.2 </w:t>
      </w:r>
      <w:r>
        <w:rPr>
          <w:rFonts w:hint="eastAsia" w:ascii="宋体" w:hAnsi="宋体" w:eastAsia="宋体" w:cs="宋体"/>
          <w:snapToGrid w:val="0"/>
          <w:color w:val="000000"/>
          <w:spacing w:val="6"/>
          <w:kern w:val="0"/>
          <w:sz w:val="20"/>
          <w:szCs w:val="20"/>
          <w:lang w:val="en-US" w:eastAsia="zh-CN"/>
        </w:rPr>
        <w:t>分项工程中，土建构筑物混凝土强度合格率100%，管道试验合格率100%，设备安装偏差符合规范要求。</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9.0.3 </w:t>
      </w:r>
      <w:r>
        <w:rPr>
          <w:rFonts w:hint="eastAsia" w:ascii="宋体" w:hAnsi="宋体" w:eastAsia="宋体" w:cs="宋体"/>
          <w:snapToGrid w:val="0"/>
          <w:color w:val="000000"/>
          <w:spacing w:val="6"/>
          <w:kern w:val="0"/>
          <w:sz w:val="20"/>
          <w:szCs w:val="20"/>
          <w:lang w:val="en-US" w:eastAsia="zh-CN"/>
        </w:rPr>
        <w:t>所有杂物，如金属碎片、铁屑、焊渣、碎布和一切其它异物都应从各部件内清除。</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9.0.4 </w:t>
      </w:r>
      <w:r>
        <w:rPr>
          <w:rFonts w:hint="eastAsia" w:ascii="宋体" w:hAnsi="宋体" w:eastAsia="宋体" w:cs="宋体"/>
          <w:snapToGrid w:val="0"/>
          <w:color w:val="000000"/>
          <w:spacing w:val="6"/>
          <w:kern w:val="0"/>
          <w:sz w:val="20"/>
          <w:szCs w:val="20"/>
          <w:lang w:val="en-US" w:eastAsia="zh-CN"/>
        </w:rPr>
        <w:t>单位工程中，超滤系统产水浊度小于等于0.1NTU，反渗透系统产水电导率小于等于200μs/cm，再生水水质符合《城市污水再生利用工业用水水质》（GB/T 19923）中冷却用水标准。</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9.0.5 </w:t>
      </w:r>
      <w:r>
        <w:rPr>
          <w:rFonts w:hint="eastAsia" w:ascii="宋体" w:hAnsi="宋体" w:eastAsia="宋体" w:cs="宋体"/>
          <w:snapToGrid w:val="0"/>
          <w:color w:val="000000"/>
          <w:spacing w:val="6"/>
          <w:kern w:val="0"/>
          <w:sz w:val="20"/>
          <w:szCs w:val="20"/>
          <w:lang w:val="en-US" w:eastAsia="zh-CN"/>
        </w:rPr>
        <w:t>可靠性性能测试将在冬季及夏季验收两次，每次测试连续运行168小时。性能测试期间，根据测试期的采样方法采集水样，并对提供担保的水质项目进行分析检测，检测方法按照中国国家标准执行；在设计进水条件下，装置性能稳定达到规定的性能指标。</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 xml:space="preserve">9.0.6 </w:t>
      </w:r>
      <w:r>
        <w:rPr>
          <w:rFonts w:hint="eastAsia" w:ascii="宋体" w:hAnsi="宋体" w:eastAsia="宋体" w:cs="宋体"/>
          <w:snapToGrid w:val="0"/>
          <w:color w:val="000000"/>
          <w:spacing w:val="6"/>
          <w:kern w:val="0"/>
          <w:sz w:val="20"/>
          <w:szCs w:val="20"/>
          <w:lang w:val="en-US" w:eastAsia="zh-CN"/>
        </w:rPr>
        <w:t>竣工验收需提供完整的工程资料（设计文件、施工记录、检测报告、运维手册等），确保工程质量符合本标准及相关国家规范要求。</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sectPr>
          <w:headerReference r:id="rId17" w:type="default"/>
          <w:footerReference r:id="rId18" w:type="default"/>
          <w:pgSz w:w="7938" w:h="11510"/>
          <w:pgMar w:top="400" w:right="965" w:bottom="894" w:left="972" w:header="0" w:footer="732" w:gutter="0"/>
          <w:pgNumType w:fmt="decimal"/>
          <w:cols w:space="720" w:num="1"/>
        </w:sectPr>
      </w:pPr>
      <w:r>
        <w:rPr>
          <w:rFonts w:hint="eastAsia" w:ascii="宋体" w:hAnsi="宋体" w:eastAsia="宋体" w:cs="宋体"/>
          <w:b/>
          <w:bCs/>
          <w:spacing w:val="8"/>
          <w:sz w:val="20"/>
          <w:szCs w:val="20"/>
          <w:lang w:val="en-US" w:eastAsia="zh-CN"/>
        </w:rPr>
        <w:t xml:space="preserve">9.0.7 </w:t>
      </w:r>
      <w:r>
        <w:rPr>
          <w:rFonts w:hint="eastAsia" w:ascii="宋体" w:hAnsi="宋体" w:eastAsia="宋体" w:cs="宋体"/>
          <w:snapToGrid w:val="0"/>
          <w:color w:val="000000"/>
          <w:spacing w:val="6"/>
          <w:kern w:val="0"/>
          <w:sz w:val="20"/>
          <w:szCs w:val="20"/>
          <w:lang w:val="en-US" w:eastAsia="zh-CN"/>
        </w:rPr>
        <w:t>验收过程应形成详细的验收记录，验收合格后签署验收报告，方可投入正式运行。</w:t>
      </w:r>
    </w:p>
    <w:p>
      <w:pPr>
        <w:spacing w:before="91" w:line="220" w:lineRule="auto"/>
        <w:jc w:val="center"/>
        <w:outlineLvl w:val="0"/>
        <w:rPr>
          <w:rFonts w:hint="default" w:ascii="宋体" w:hAnsi="宋体" w:eastAsia="宋体" w:cs="宋体"/>
          <w:sz w:val="28"/>
          <w:szCs w:val="28"/>
          <w:lang w:val="en-US" w:eastAsia="zh-CN"/>
        </w:rPr>
      </w:pPr>
      <w:bookmarkStart w:id="104" w:name="_Toc6658"/>
      <w:bookmarkStart w:id="105" w:name="_Toc20008"/>
      <w:r>
        <w:rPr>
          <w:rFonts w:hint="eastAsia" w:ascii="Times New Roman" w:hAnsi="Times New Roman" w:eastAsia="宋体" w:cs="Times New Roman"/>
          <w:b/>
          <w:bCs/>
          <w:spacing w:val="-8"/>
          <w:sz w:val="28"/>
          <w:szCs w:val="28"/>
          <w:lang w:val="en-US" w:eastAsia="zh-CN"/>
        </w:rPr>
        <w:t>10</w:t>
      </w:r>
      <w:r>
        <w:rPr>
          <w:rFonts w:ascii="Times New Roman" w:hAnsi="Times New Roman" w:eastAsia="Times New Roman" w:cs="Times New Roman"/>
          <w:b/>
          <w:bCs/>
          <w:spacing w:val="10"/>
          <w:sz w:val="28"/>
          <w:szCs w:val="28"/>
        </w:rPr>
        <w:t xml:space="preserve">  </w:t>
      </w:r>
      <w:r>
        <w:rPr>
          <w:rFonts w:hint="eastAsia" w:ascii="宋体" w:hAnsi="宋体" w:eastAsia="宋体" w:cs="宋体"/>
          <w:b/>
          <w:bCs/>
          <w:snapToGrid w:val="0"/>
          <w:color w:val="000000"/>
          <w:spacing w:val="-8"/>
          <w:kern w:val="0"/>
          <w:sz w:val="28"/>
          <w:szCs w:val="28"/>
          <w:lang w:val="en-US" w:eastAsia="zh-CN" w:bidi="ar-SA"/>
        </w:rPr>
        <w:t>运行维护</w:t>
      </w:r>
      <w:bookmarkEnd w:id="104"/>
      <w:bookmarkEnd w:id="105"/>
    </w:p>
    <w:p>
      <w:pPr>
        <w:pStyle w:val="5"/>
        <w:spacing w:before="159" w:line="231" w:lineRule="auto"/>
        <w:jc w:val="center"/>
        <w:outlineLvl w:val="0"/>
        <w:rPr>
          <w:rFonts w:hint="eastAsia"/>
          <w:spacing w:val="6"/>
          <w:sz w:val="20"/>
          <w:szCs w:val="20"/>
          <w:lang w:val="en-US" w:eastAsia="zh-CN"/>
        </w:rPr>
      </w:pPr>
      <w:bookmarkStart w:id="106" w:name="_Toc10111"/>
      <w:bookmarkStart w:id="107" w:name="_Toc13217"/>
      <w:r>
        <w:rPr>
          <w:rFonts w:hint="eastAsia"/>
          <w:spacing w:val="6"/>
          <w:sz w:val="20"/>
          <w:szCs w:val="20"/>
          <w:lang w:val="en-US" w:eastAsia="zh-CN"/>
        </w:rPr>
        <w:t>10.1  一般规定</w:t>
      </w:r>
      <w:bookmarkEnd w:id="106"/>
      <w:bookmarkEnd w:id="107"/>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1</w:t>
      </w:r>
      <w:r>
        <w:rPr>
          <w:rFonts w:ascii="宋体" w:hAnsi="宋体" w:eastAsia="宋体" w:cs="宋体"/>
          <w:b/>
          <w:bCs/>
          <w:spacing w:val="8"/>
          <w:sz w:val="20"/>
          <w:szCs w:val="20"/>
        </w:rPr>
        <w:t>.1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再生水厂应根据本标准制定相应的管理制度、岗位操作规程、设施及设备维护保养手册及事故应急预案，并适时修订完善。</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运行管理、操作和维护人员必须掌握处理工艺、设备和仪器仪表的运行维护要求及技术指标，经培训后持证上岗。</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设备完好率应不低于95%，备用设备运行可靠，各个工艺段应符合安全生产的要求。</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4</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建立日常保养、定期维护和大修三级维护检修制度，对设备进行维护检修，并建立备品和备件库。</w:t>
      </w:r>
    </w:p>
    <w:p>
      <w:pPr>
        <w:pStyle w:val="5"/>
        <w:spacing w:before="159" w:line="231" w:lineRule="auto"/>
        <w:jc w:val="center"/>
        <w:outlineLvl w:val="0"/>
        <w:rPr>
          <w:rFonts w:hint="eastAsia"/>
          <w:spacing w:val="6"/>
          <w:sz w:val="20"/>
          <w:szCs w:val="20"/>
          <w:lang w:val="en-US" w:eastAsia="zh-CN"/>
        </w:rPr>
      </w:pPr>
      <w:bookmarkStart w:id="108" w:name="_Toc7225"/>
      <w:bookmarkStart w:id="109" w:name="_Toc23705"/>
      <w:r>
        <w:rPr>
          <w:rFonts w:hint="eastAsia"/>
          <w:spacing w:val="6"/>
          <w:sz w:val="20"/>
          <w:szCs w:val="20"/>
          <w:lang w:val="en-US" w:eastAsia="zh-CN"/>
        </w:rPr>
        <w:t>10.2  工艺系统维护</w:t>
      </w:r>
      <w:bookmarkEnd w:id="108"/>
      <w:bookmarkEnd w:id="109"/>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预处理系统：定期清理膜格栅和自清洗过滤器截留的杂质，检查设备运行状况，确保过滤精度满足要求。</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超滤系统：按规定周期进行反洗和化学清洗，监测跨膜压差、产水量、产水水质等参数，及时调整运行参数；定期检查膜组件完整性，发现破损及时更换。</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反渗透系统：严格控制进水水质，按要求投加药剂；定期进行化学清洗，监测脱盐率、产水量、电导率等参数；定期检查膜元件状况，确保系统稳定运行。</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4</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加药系统：定期检查药剂储罐液位、计量泵运行状况，校准计量泵精度；定期清洗药剂储罐和管路，防止药剂结晶堵塞。</w:t>
      </w:r>
    </w:p>
    <w:p>
      <w:pPr>
        <w:pStyle w:val="5"/>
        <w:spacing w:before="159" w:line="231" w:lineRule="auto"/>
        <w:jc w:val="center"/>
        <w:outlineLvl w:val="0"/>
        <w:rPr>
          <w:rFonts w:hint="eastAsia"/>
          <w:spacing w:val="6"/>
          <w:sz w:val="20"/>
          <w:szCs w:val="20"/>
          <w:lang w:val="en-US" w:eastAsia="zh-CN"/>
        </w:rPr>
      </w:pPr>
    </w:p>
    <w:p>
      <w:pPr>
        <w:pStyle w:val="5"/>
        <w:spacing w:before="159" w:line="231" w:lineRule="auto"/>
        <w:jc w:val="center"/>
        <w:outlineLvl w:val="0"/>
        <w:rPr>
          <w:rFonts w:hint="eastAsia"/>
          <w:spacing w:val="6"/>
          <w:sz w:val="20"/>
          <w:szCs w:val="20"/>
          <w:lang w:val="en-US" w:eastAsia="zh-CN"/>
        </w:rPr>
      </w:pPr>
      <w:bookmarkStart w:id="110" w:name="_Toc30724"/>
      <w:bookmarkStart w:id="111" w:name="_Toc31841"/>
      <w:r>
        <w:rPr>
          <w:rFonts w:hint="eastAsia"/>
          <w:spacing w:val="6"/>
          <w:sz w:val="20"/>
          <w:szCs w:val="20"/>
          <w:lang w:val="en-US" w:eastAsia="zh-CN"/>
        </w:rPr>
        <w:t>10.3  设备维护</w:t>
      </w:r>
      <w:bookmarkEnd w:id="110"/>
      <w:bookmarkEnd w:id="111"/>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b/>
          <w:bCs/>
          <w:spacing w:val="8"/>
          <w:sz w:val="20"/>
          <w:szCs w:val="20"/>
        </w:rPr>
        <w:t>.1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水泵：定期检查水泵运行状况，包括振动、噪声、温度、密封等；定期更换润滑油，清理叶轮杂物；备用泵定期试运行，确保应急时正常启动。</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电气设备：定期检查供配电系统运行状况，包括变压器、开关柜、电缆等；定期测试接地系统；定期校准仪表和自控系统，确保信号准确、控制可靠。</w:t>
      </w:r>
    </w:p>
    <w:p>
      <w:pPr>
        <w:widowControl/>
        <w:kinsoku w:val="0"/>
        <w:autoSpaceDE w:val="0"/>
        <w:autoSpaceDN w:val="0"/>
        <w:adjustRightInd w:val="0"/>
        <w:snapToGrid w:val="0"/>
        <w:spacing w:before="218" w:line="330" w:lineRule="auto"/>
        <w:ind w:right="34" w:firstLine="4"/>
        <w:jc w:val="left"/>
        <w:textAlignment w:val="baseline"/>
        <w:rPr>
          <w:rFonts w:ascii="宋体" w:hAnsi="宋体"/>
          <w:sz w:val="24"/>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运输管道：定期巡检管道沿线情况，检查阀门、测试桩等附属设施；定期进行管道检漏和防腐层检测，发现问题及时处理；定期清理管道内沉积物，保障水流顺畅。</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4</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对于需要拆卸内件、装卸药剂或经常需要清洗内部的设备，考虑维修空间；对于需要汽车吊车安装及维修的设备，考虑吊车的通道和场地；对于需要经常拆卸内、外部件的设备，在其通道提供检修空间；反渗透膜组底端需预留足够的检修空间。</w:t>
      </w:r>
    </w:p>
    <w:p>
      <w:pPr>
        <w:pStyle w:val="5"/>
        <w:spacing w:before="159" w:line="231" w:lineRule="auto"/>
        <w:jc w:val="center"/>
        <w:outlineLvl w:val="0"/>
        <w:rPr>
          <w:rFonts w:hint="eastAsia"/>
          <w:spacing w:val="6"/>
          <w:sz w:val="20"/>
          <w:szCs w:val="20"/>
          <w:lang w:val="en-US" w:eastAsia="zh-CN"/>
        </w:rPr>
      </w:pPr>
      <w:bookmarkStart w:id="112" w:name="_Toc16927"/>
      <w:bookmarkStart w:id="113" w:name="_Toc6261"/>
      <w:r>
        <w:rPr>
          <w:rFonts w:hint="eastAsia"/>
          <w:spacing w:val="6"/>
          <w:sz w:val="20"/>
          <w:szCs w:val="20"/>
          <w:lang w:val="en-US" w:eastAsia="zh-CN"/>
        </w:rPr>
        <w:t>10.4  水质监测</w:t>
      </w:r>
      <w:bookmarkEnd w:id="112"/>
      <w:bookmarkEnd w:id="113"/>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4</w:t>
      </w:r>
      <w:r>
        <w:rPr>
          <w:rFonts w:ascii="宋体" w:hAnsi="宋体" w:eastAsia="宋体" w:cs="宋体"/>
          <w:b/>
          <w:bCs/>
          <w:spacing w:val="8"/>
          <w:sz w:val="20"/>
          <w:szCs w:val="20"/>
        </w:rPr>
        <w:t>.1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建立完善的水质监测制度，定期监测进水、各处理单元出水及最终产水水质，监测指标包括COD、pH、氯离子、TDS、浊度、电导率、余氯等。</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sectPr>
          <w:headerReference r:id="rId19" w:type="default"/>
          <w:footerReference r:id="rId20" w:type="default"/>
          <w:pgSz w:w="7938" w:h="11510"/>
          <w:pgMar w:top="400" w:right="965" w:bottom="894" w:left="972" w:header="0" w:footer="732" w:gutter="0"/>
          <w:pgNumType w:fmt="decimal"/>
          <w:cols w:space="720" w:num="1"/>
        </w:sectPr>
      </w:pPr>
      <w:r>
        <w:rPr>
          <w:rFonts w:hint="eastAsia" w:ascii="宋体" w:hAnsi="宋体" w:eastAsia="宋体" w:cs="宋体"/>
          <w:b/>
          <w:bCs/>
          <w:spacing w:val="8"/>
          <w:sz w:val="20"/>
          <w:szCs w:val="20"/>
          <w:lang w:val="en-US" w:eastAsia="zh-CN"/>
        </w:rPr>
        <w:t>10</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4</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水质监测数据应及时记录、分析，发现水质异常时，及时排查原因并采取相应措施。</w:t>
      </w:r>
    </w:p>
    <w:p>
      <w:pPr>
        <w:spacing w:before="91" w:line="220" w:lineRule="auto"/>
        <w:jc w:val="center"/>
        <w:outlineLvl w:val="0"/>
        <w:rPr>
          <w:rFonts w:hint="default" w:ascii="宋体" w:hAnsi="宋体" w:eastAsia="宋体" w:cs="宋体"/>
          <w:sz w:val="28"/>
          <w:szCs w:val="28"/>
          <w:lang w:val="en-US" w:eastAsia="zh-CN"/>
        </w:rPr>
      </w:pPr>
      <w:bookmarkStart w:id="114" w:name="_Toc26594"/>
      <w:bookmarkStart w:id="115" w:name="_Toc12494"/>
      <w:r>
        <w:rPr>
          <w:rFonts w:hint="eastAsia" w:ascii="Times New Roman" w:hAnsi="Times New Roman" w:eastAsia="宋体" w:cs="Times New Roman"/>
          <w:b/>
          <w:bCs/>
          <w:spacing w:val="-8"/>
          <w:sz w:val="28"/>
          <w:szCs w:val="28"/>
          <w:lang w:val="en-US" w:eastAsia="zh-CN"/>
        </w:rPr>
        <w:t>11</w:t>
      </w:r>
      <w:r>
        <w:rPr>
          <w:rFonts w:ascii="Times New Roman" w:hAnsi="Times New Roman" w:eastAsia="Times New Roman" w:cs="Times New Roman"/>
          <w:b/>
          <w:bCs/>
          <w:spacing w:val="10"/>
          <w:sz w:val="28"/>
          <w:szCs w:val="28"/>
        </w:rPr>
        <w:t xml:space="preserve">  </w:t>
      </w:r>
      <w:r>
        <w:rPr>
          <w:rFonts w:hint="eastAsia" w:ascii="宋体" w:hAnsi="宋体" w:eastAsia="宋体" w:cs="宋体"/>
          <w:b/>
          <w:bCs/>
          <w:snapToGrid w:val="0"/>
          <w:color w:val="000000"/>
          <w:spacing w:val="-8"/>
          <w:kern w:val="0"/>
          <w:sz w:val="28"/>
          <w:szCs w:val="28"/>
          <w:lang w:val="en-US" w:eastAsia="zh-CN" w:bidi="ar-SA"/>
        </w:rPr>
        <w:t>安全保障</w:t>
      </w:r>
      <w:bookmarkEnd w:id="114"/>
      <w:bookmarkEnd w:id="115"/>
    </w:p>
    <w:p>
      <w:pPr>
        <w:pStyle w:val="5"/>
        <w:spacing w:before="159" w:line="231" w:lineRule="auto"/>
        <w:jc w:val="center"/>
        <w:outlineLvl w:val="0"/>
        <w:rPr>
          <w:rFonts w:hint="eastAsia"/>
          <w:spacing w:val="6"/>
          <w:sz w:val="20"/>
          <w:szCs w:val="20"/>
          <w:lang w:val="en-US" w:eastAsia="zh-CN"/>
        </w:rPr>
      </w:pPr>
      <w:bookmarkStart w:id="116" w:name="_Toc3279"/>
      <w:bookmarkStart w:id="117" w:name="_Toc3440"/>
      <w:r>
        <w:rPr>
          <w:rFonts w:hint="eastAsia"/>
          <w:spacing w:val="6"/>
          <w:sz w:val="20"/>
          <w:szCs w:val="20"/>
          <w:lang w:val="en-US" w:eastAsia="zh-CN"/>
        </w:rPr>
        <w:t>11.1  作业安全</w:t>
      </w:r>
      <w:bookmarkEnd w:id="116"/>
      <w:bookmarkEnd w:id="117"/>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1</w:t>
      </w:r>
      <w:r>
        <w:rPr>
          <w:rFonts w:ascii="宋体" w:hAnsi="宋体" w:eastAsia="宋体" w:cs="宋体"/>
          <w:b/>
          <w:bCs/>
          <w:spacing w:val="8"/>
          <w:sz w:val="20"/>
          <w:szCs w:val="20"/>
        </w:rPr>
        <w:t>.1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双膜车间、加药间等区域设置通风装置、应急喷淋及洗眼器；电气设备设置漏电保护及过载保护；再生水管道严禁安装饮水装置，管道标识清晰。</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加药间、清洗间等危险区域应设置明显的安全警示标志，配备相应的防护用品和应急器材。</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操作人员在进行设备检修、化学药剂投加等作业时，应严格遵守安全操作规程，穿戴必要的防护用品。</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4</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有限空间作业应严格执行国家相关规定，作业前进行通风、气体检测，作业过程中应有专人监护。</w:t>
      </w:r>
    </w:p>
    <w:p>
      <w:pPr>
        <w:pStyle w:val="5"/>
        <w:spacing w:before="159" w:line="231" w:lineRule="auto"/>
        <w:jc w:val="center"/>
        <w:outlineLvl w:val="0"/>
        <w:rPr>
          <w:rFonts w:hint="eastAsia"/>
          <w:spacing w:val="6"/>
          <w:sz w:val="20"/>
          <w:szCs w:val="20"/>
          <w:lang w:val="en-US" w:eastAsia="zh-CN"/>
        </w:rPr>
      </w:pPr>
      <w:bookmarkStart w:id="118" w:name="_Toc10720"/>
      <w:bookmarkStart w:id="119" w:name="_Toc3691"/>
      <w:r>
        <w:rPr>
          <w:rFonts w:hint="eastAsia"/>
          <w:spacing w:val="6"/>
          <w:sz w:val="20"/>
          <w:szCs w:val="20"/>
          <w:lang w:val="en-US" w:eastAsia="zh-CN"/>
        </w:rPr>
        <w:t>11.2  应急预案</w:t>
      </w:r>
      <w:bookmarkEnd w:id="118"/>
      <w:bookmarkEnd w:id="119"/>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.1</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制定水质超标、设备故障、停电、泄漏等突发事件的应急预案，明确应急处置流程和责任分工。</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备用泵、应急电源等应急设备应定期测试，确保紧急情况下正常启动。</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b/>
          <w:bCs/>
          <w:spacing w:val="8"/>
          <w:sz w:val="20"/>
          <w:szCs w:val="20"/>
          <w:lang w:val="en-US" w:eastAsia="zh-CN"/>
        </w:rPr>
        <w:t>11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3</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定期组织应急预案演练，提高操作人员的应急处置能力。</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sectPr>
          <w:headerReference r:id="rId21" w:type="default"/>
          <w:footerReference r:id="rId22" w:type="default"/>
          <w:pgSz w:w="7938" w:h="11510"/>
          <w:pgMar w:top="400" w:right="965" w:bottom="894" w:left="972" w:header="0" w:footer="732" w:gutter="0"/>
          <w:pgNumType w:fmt="decimal"/>
          <w:cols w:space="720" w:num="1"/>
        </w:sectPr>
      </w:pPr>
      <w:r>
        <w:rPr>
          <w:rFonts w:hint="eastAsia" w:ascii="宋体" w:hAnsi="宋体" w:eastAsia="宋体" w:cs="宋体"/>
          <w:b/>
          <w:bCs/>
          <w:spacing w:val="8"/>
          <w:sz w:val="20"/>
          <w:szCs w:val="20"/>
          <w:lang w:val="en-US" w:eastAsia="zh-CN"/>
        </w:rPr>
        <w:t>11</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2</w:t>
      </w:r>
      <w:r>
        <w:rPr>
          <w:rFonts w:ascii="宋体" w:hAnsi="宋体" w:eastAsia="宋体" w:cs="宋体"/>
          <w:b/>
          <w:bCs/>
          <w:spacing w:val="8"/>
          <w:sz w:val="20"/>
          <w:szCs w:val="20"/>
        </w:rPr>
        <w:t>.</w:t>
      </w:r>
      <w:r>
        <w:rPr>
          <w:rFonts w:hint="eastAsia" w:ascii="宋体" w:hAnsi="宋体" w:eastAsia="宋体" w:cs="宋体"/>
          <w:b/>
          <w:bCs/>
          <w:spacing w:val="8"/>
          <w:sz w:val="20"/>
          <w:szCs w:val="20"/>
          <w:lang w:val="en-US" w:eastAsia="zh-CN"/>
        </w:rPr>
        <w:t>4</w:t>
      </w:r>
      <w:r>
        <w:rPr>
          <w:rFonts w:ascii="宋体" w:hAnsi="宋体" w:eastAsia="宋体" w:cs="宋体"/>
          <w:spacing w:val="8"/>
          <w:sz w:val="20"/>
          <w:szCs w:val="20"/>
        </w:rPr>
        <w:t xml:space="preserve"> </w:t>
      </w:r>
      <w:r>
        <w:rPr>
          <w:rFonts w:hint="eastAsia" w:ascii="宋体" w:hAnsi="宋体" w:eastAsia="宋体" w:cs="宋体"/>
          <w:snapToGrid w:val="0"/>
          <w:color w:val="000000"/>
          <w:spacing w:val="6"/>
          <w:kern w:val="0"/>
          <w:sz w:val="20"/>
          <w:szCs w:val="20"/>
          <w:lang w:val="en-US" w:eastAsia="zh-CN"/>
        </w:rPr>
        <w:t>突发事件发生后，应对事件的发生原因和处置情况进行评估，编制事件分析报告，完善应急预案。</w:t>
      </w:r>
    </w:p>
    <w:p>
      <w:pPr>
        <w:spacing w:before="91" w:line="219" w:lineRule="auto"/>
        <w:jc w:val="center"/>
        <w:outlineLvl w:val="0"/>
        <w:rPr>
          <w:rFonts w:ascii="宋体" w:hAnsi="宋体" w:eastAsia="宋体" w:cs="宋体"/>
          <w:sz w:val="28"/>
          <w:szCs w:val="28"/>
        </w:rPr>
      </w:pPr>
      <w:bookmarkStart w:id="120" w:name="_Toc21510"/>
      <w:bookmarkStart w:id="121" w:name="_Toc7891"/>
      <w:r>
        <w:rPr>
          <w:rFonts w:ascii="宋体" w:hAnsi="宋体" w:eastAsia="宋体" w:cs="宋体"/>
          <w:b/>
          <w:bCs/>
          <w:spacing w:val="-4"/>
          <w:sz w:val="28"/>
          <w:szCs w:val="28"/>
        </w:rPr>
        <w:t>本标准用词说明</w:t>
      </w:r>
      <w:bookmarkEnd w:id="120"/>
      <w:bookmarkEnd w:id="121"/>
    </w:p>
    <w:p>
      <w:pPr>
        <w:spacing w:line="247" w:lineRule="auto"/>
        <w:rPr>
          <w:rFonts w:ascii="Arial"/>
          <w:sz w:val="21"/>
        </w:rPr>
      </w:pPr>
    </w:p>
    <w:p>
      <w:pPr>
        <w:spacing w:line="247" w:lineRule="auto"/>
        <w:rPr>
          <w:rFonts w:ascii="Arial"/>
          <w:sz w:val="21"/>
        </w:rPr>
      </w:pPr>
    </w:p>
    <w:p>
      <w:pPr>
        <w:spacing w:before="65" w:line="432" w:lineRule="auto"/>
        <w:ind w:left="18" w:right="71" w:firstLine="414"/>
        <w:rPr>
          <w:rFonts w:ascii="宋体" w:hAnsi="宋体" w:eastAsia="宋体" w:cs="宋体"/>
          <w:sz w:val="20"/>
          <w:szCs w:val="20"/>
        </w:rPr>
      </w:pPr>
      <w:r>
        <w:rPr>
          <w:rFonts w:ascii="宋体" w:hAnsi="宋体" w:eastAsia="宋体" w:cs="宋体"/>
          <w:b/>
          <w:bCs/>
          <w:spacing w:val="9"/>
          <w:sz w:val="20"/>
          <w:szCs w:val="20"/>
        </w:rPr>
        <w:t>1</w:t>
      </w:r>
      <w:r>
        <w:rPr>
          <w:rFonts w:ascii="宋体" w:hAnsi="宋体" w:eastAsia="宋体" w:cs="宋体"/>
          <w:spacing w:val="9"/>
          <w:sz w:val="20"/>
          <w:szCs w:val="20"/>
        </w:rPr>
        <w:t xml:space="preserve">  为便于在执行本标准条文时区别对待，对要求严格程度不</w:t>
      </w:r>
      <w:r>
        <w:rPr>
          <w:rFonts w:ascii="宋体" w:hAnsi="宋体" w:eastAsia="宋体" w:cs="宋体"/>
          <w:spacing w:val="5"/>
          <w:sz w:val="20"/>
          <w:szCs w:val="20"/>
        </w:rPr>
        <w:t>同的用词说明如下：</w:t>
      </w:r>
    </w:p>
    <w:p>
      <w:pPr>
        <w:spacing w:line="329" w:lineRule="auto"/>
        <w:ind w:left="1050" w:right="1986" w:hanging="408"/>
        <w:rPr>
          <w:rFonts w:ascii="宋体" w:hAnsi="宋体" w:eastAsia="宋体" w:cs="宋体"/>
          <w:sz w:val="20"/>
          <w:szCs w:val="20"/>
        </w:rPr>
      </w:pPr>
      <w:r>
        <w:rPr>
          <w:rFonts w:ascii="宋体" w:hAnsi="宋体" w:eastAsia="宋体" w:cs="宋体"/>
          <w:b/>
          <w:bCs/>
          <w:spacing w:val="8"/>
          <w:sz w:val="20"/>
          <w:szCs w:val="20"/>
        </w:rPr>
        <w:t>1</w:t>
      </w:r>
      <w:r>
        <w:rPr>
          <w:rFonts w:ascii="宋体" w:hAnsi="宋体" w:eastAsia="宋体" w:cs="宋体"/>
          <w:spacing w:val="8"/>
          <w:sz w:val="20"/>
          <w:szCs w:val="20"/>
        </w:rPr>
        <w:t>）表示很严格，非这样做不可的用词</w:t>
      </w:r>
      <w:r>
        <w:rPr>
          <w:rFonts w:ascii="宋体" w:hAnsi="宋体" w:eastAsia="宋体" w:cs="宋体"/>
          <w:spacing w:val="7"/>
          <w:sz w:val="20"/>
          <w:szCs w:val="20"/>
        </w:rPr>
        <w:t>正面词采用必须。</w:t>
      </w:r>
    </w:p>
    <w:p>
      <w:pPr>
        <w:spacing w:before="222" w:line="227" w:lineRule="auto"/>
        <w:ind w:left="1047"/>
        <w:rPr>
          <w:rFonts w:ascii="宋体" w:hAnsi="宋体" w:eastAsia="宋体" w:cs="宋体"/>
          <w:sz w:val="20"/>
          <w:szCs w:val="20"/>
        </w:rPr>
      </w:pPr>
      <w:r>
        <w:rPr>
          <w:rFonts w:ascii="宋体" w:hAnsi="宋体" w:eastAsia="宋体" w:cs="宋体"/>
          <w:spacing w:val="7"/>
          <w:sz w:val="20"/>
          <w:szCs w:val="20"/>
        </w:rPr>
        <w:t>反面词采用严禁。</w:t>
      </w:r>
    </w:p>
    <w:p>
      <w:pPr>
        <w:spacing w:before="221" w:line="228" w:lineRule="auto"/>
        <w:ind w:left="629"/>
        <w:rPr>
          <w:rFonts w:ascii="宋体" w:hAnsi="宋体" w:eastAsia="宋体" w:cs="宋体"/>
          <w:sz w:val="20"/>
          <w:szCs w:val="20"/>
        </w:rPr>
      </w:pPr>
      <w:r>
        <w:rPr>
          <w:rFonts w:ascii="宋体" w:hAnsi="宋体" w:eastAsia="宋体" w:cs="宋体"/>
          <w:b/>
          <w:bCs/>
          <w:spacing w:val="8"/>
          <w:sz w:val="20"/>
          <w:szCs w:val="20"/>
        </w:rPr>
        <w:t>2</w:t>
      </w:r>
      <w:r>
        <w:rPr>
          <w:rFonts w:ascii="宋体" w:hAnsi="宋体" w:eastAsia="宋体" w:cs="宋体"/>
          <w:spacing w:val="8"/>
          <w:sz w:val="20"/>
          <w:szCs w:val="20"/>
        </w:rPr>
        <w:t>）表示严格，在正常情况下均应这样做的用词：</w:t>
      </w:r>
    </w:p>
    <w:p>
      <w:pPr>
        <w:spacing w:before="221" w:line="227" w:lineRule="auto"/>
        <w:ind w:left="1051"/>
        <w:rPr>
          <w:rFonts w:ascii="宋体" w:hAnsi="宋体" w:eastAsia="宋体" w:cs="宋体"/>
          <w:sz w:val="20"/>
          <w:szCs w:val="20"/>
        </w:rPr>
      </w:pPr>
      <w:r>
        <w:rPr>
          <w:rFonts w:ascii="宋体" w:hAnsi="宋体" w:eastAsia="宋体" w:cs="宋体"/>
          <w:spacing w:val="7"/>
          <w:sz w:val="20"/>
          <w:szCs w:val="20"/>
        </w:rPr>
        <w:t>正面词采用“应</w:t>
      </w:r>
      <w:r>
        <w:rPr>
          <w:rFonts w:ascii="宋体" w:hAnsi="宋体" w:eastAsia="宋体" w:cs="宋体"/>
          <w:spacing w:val="-68"/>
          <w:sz w:val="20"/>
          <w:szCs w:val="20"/>
        </w:rPr>
        <w:t xml:space="preserve"> </w:t>
      </w:r>
      <w:r>
        <w:rPr>
          <w:rFonts w:ascii="宋体" w:hAnsi="宋体" w:eastAsia="宋体" w:cs="宋体"/>
          <w:spacing w:val="7"/>
          <w:sz w:val="20"/>
          <w:szCs w:val="20"/>
        </w:rPr>
        <w:t>”。</w:t>
      </w:r>
    </w:p>
    <w:p>
      <w:pPr>
        <w:spacing w:before="222" w:line="227" w:lineRule="auto"/>
        <w:ind w:left="1047"/>
        <w:rPr>
          <w:rFonts w:ascii="宋体" w:hAnsi="宋体" w:eastAsia="宋体" w:cs="宋体"/>
          <w:sz w:val="20"/>
          <w:szCs w:val="20"/>
        </w:rPr>
      </w:pPr>
      <w:r>
        <w:rPr>
          <w:rFonts w:ascii="宋体" w:hAnsi="宋体" w:eastAsia="宋体" w:cs="宋体"/>
          <w:spacing w:val="6"/>
          <w:sz w:val="20"/>
          <w:szCs w:val="20"/>
        </w:rPr>
        <w:t>反面词采用“不应</w:t>
      </w:r>
      <w:r>
        <w:rPr>
          <w:rFonts w:ascii="宋体" w:hAnsi="宋体" w:eastAsia="宋体" w:cs="宋体"/>
          <w:spacing w:val="-62"/>
          <w:sz w:val="20"/>
          <w:szCs w:val="20"/>
        </w:rPr>
        <w:t xml:space="preserve"> </w:t>
      </w:r>
      <w:r>
        <w:rPr>
          <w:rFonts w:ascii="宋体" w:hAnsi="宋体" w:eastAsia="宋体" w:cs="宋体"/>
          <w:spacing w:val="6"/>
          <w:sz w:val="20"/>
          <w:szCs w:val="20"/>
        </w:rPr>
        <w:t>”或“不得</w:t>
      </w:r>
      <w:r>
        <w:rPr>
          <w:rFonts w:ascii="宋体" w:hAnsi="宋体" w:eastAsia="宋体" w:cs="宋体"/>
          <w:spacing w:val="-70"/>
          <w:sz w:val="20"/>
          <w:szCs w:val="20"/>
        </w:rPr>
        <w:t xml:space="preserve"> </w:t>
      </w:r>
      <w:r>
        <w:rPr>
          <w:rFonts w:ascii="宋体" w:hAnsi="宋体" w:eastAsia="宋体" w:cs="宋体"/>
          <w:spacing w:val="6"/>
          <w:sz w:val="20"/>
          <w:szCs w:val="20"/>
        </w:rPr>
        <w:t>”。</w:t>
      </w:r>
    </w:p>
    <w:p>
      <w:pPr>
        <w:spacing w:before="222" w:line="432" w:lineRule="auto"/>
        <w:ind w:right="71" w:firstLine="631"/>
        <w:rPr>
          <w:rFonts w:ascii="宋体" w:hAnsi="宋体" w:eastAsia="宋体" w:cs="宋体"/>
          <w:sz w:val="20"/>
          <w:szCs w:val="20"/>
        </w:rPr>
      </w:pPr>
      <w:r>
        <w:rPr>
          <w:rFonts w:ascii="宋体" w:hAnsi="宋体" w:eastAsia="宋体" w:cs="宋体"/>
          <w:b/>
          <w:bCs/>
          <w:spacing w:val="10"/>
          <w:sz w:val="20"/>
          <w:szCs w:val="20"/>
        </w:rPr>
        <w:t>3</w:t>
      </w:r>
      <w:r>
        <w:rPr>
          <w:rFonts w:ascii="宋体" w:hAnsi="宋体" w:eastAsia="宋体" w:cs="宋体"/>
          <w:spacing w:val="10"/>
          <w:sz w:val="20"/>
          <w:szCs w:val="20"/>
        </w:rPr>
        <w:t>）表示允许稍有选择，在条件许可时，首先应这样做的用</w:t>
      </w:r>
      <w:r>
        <w:rPr>
          <w:rFonts w:ascii="宋体" w:hAnsi="宋体" w:eastAsia="宋体" w:cs="宋体"/>
          <w:spacing w:val="-1"/>
          <w:sz w:val="20"/>
          <w:szCs w:val="20"/>
        </w:rPr>
        <w:t>词：</w:t>
      </w:r>
    </w:p>
    <w:p>
      <w:pPr>
        <w:spacing w:before="1" w:line="226" w:lineRule="auto"/>
        <w:ind w:left="1051"/>
        <w:rPr>
          <w:rFonts w:ascii="宋体" w:hAnsi="宋体" w:eastAsia="宋体" w:cs="宋体"/>
          <w:sz w:val="20"/>
          <w:szCs w:val="20"/>
        </w:rPr>
      </w:pPr>
      <w:r>
        <w:rPr>
          <w:rFonts w:ascii="宋体" w:hAnsi="宋体" w:eastAsia="宋体" w:cs="宋体"/>
          <w:spacing w:val="7"/>
          <w:sz w:val="20"/>
          <w:szCs w:val="20"/>
        </w:rPr>
        <w:t>正面词采用“宜</w:t>
      </w:r>
      <w:r>
        <w:rPr>
          <w:rFonts w:ascii="宋体" w:hAnsi="宋体" w:eastAsia="宋体" w:cs="宋体"/>
          <w:spacing w:val="-68"/>
          <w:sz w:val="20"/>
          <w:szCs w:val="20"/>
        </w:rPr>
        <w:t xml:space="preserve"> </w:t>
      </w:r>
      <w:r>
        <w:rPr>
          <w:rFonts w:ascii="宋体" w:hAnsi="宋体" w:eastAsia="宋体" w:cs="宋体"/>
          <w:spacing w:val="7"/>
          <w:sz w:val="20"/>
          <w:szCs w:val="20"/>
        </w:rPr>
        <w:t>”。</w:t>
      </w:r>
    </w:p>
    <w:p>
      <w:pPr>
        <w:spacing w:before="222" w:line="227" w:lineRule="auto"/>
        <w:ind w:left="1047"/>
        <w:rPr>
          <w:rFonts w:ascii="宋体" w:hAnsi="宋体" w:eastAsia="宋体" w:cs="宋体"/>
          <w:sz w:val="20"/>
          <w:szCs w:val="20"/>
        </w:rPr>
      </w:pPr>
      <w:r>
        <w:rPr>
          <w:rFonts w:ascii="宋体" w:hAnsi="宋体" w:eastAsia="宋体" w:cs="宋体"/>
          <w:spacing w:val="8"/>
          <w:sz w:val="20"/>
          <w:szCs w:val="20"/>
        </w:rPr>
        <w:t>反面词采用“不宜</w:t>
      </w:r>
      <w:r>
        <w:rPr>
          <w:rFonts w:ascii="宋体" w:hAnsi="宋体" w:eastAsia="宋体" w:cs="宋体"/>
          <w:spacing w:val="-70"/>
          <w:sz w:val="20"/>
          <w:szCs w:val="20"/>
        </w:rPr>
        <w:t xml:space="preserve"> </w:t>
      </w:r>
      <w:r>
        <w:rPr>
          <w:rFonts w:ascii="宋体" w:hAnsi="宋体" w:eastAsia="宋体" w:cs="宋体"/>
          <w:spacing w:val="8"/>
          <w:sz w:val="20"/>
          <w:szCs w:val="20"/>
        </w:rPr>
        <w:t>”。</w:t>
      </w:r>
    </w:p>
    <w:p>
      <w:pPr>
        <w:spacing w:before="222" w:line="227" w:lineRule="auto"/>
        <w:jc w:val="right"/>
        <w:rPr>
          <w:rFonts w:ascii="宋体" w:hAnsi="宋体" w:eastAsia="宋体" w:cs="宋体"/>
          <w:sz w:val="20"/>
          <w:szCs w:val="20"/>
        </w:rPr>
      </w:pPr>
      <w:r>
        <w:rPr>
          <w:rFonts w:ascii="宋体" w:hAnsi="宋体" w:eastAsia="宋体" w:cs="宋体"/>
          <w:b/>
          <w:bCs/>
          <w:spacing w:val="4"/>
          <w:sz w:val="20"/>
          <w:szCs w:val="20"/>
        </w:rPr>
        <w:t>4</w:t>
      </w:r>
      <w:r>
        <w:rPr>
          <w:rFonts w:ascii="宋体" w:hAnsi="宋体" w:eastAsia="宋体" w:cs="宋体"/>
          <w:spacing w:val="4"/>
          <w:sz w:val="20"/>
          <w:szCs w:val="20"/>
        </w:rPr>
        <w:t>）表示有选择，在一定条件下可以这样做的，采用“可</w:t>
      </w:r>
      <w:r>
        <w:rPr>
          <w:rFonts w:ascii="宋体" w:hAnsi="宋体" w:eastAsia="宋体" w:cs="宋体"/>
          <w:spacing w:val="-70"/>
          <w:sz w:val="20"/>
          <w:szCs w:val="20"/>
        </w:rPr>
        <w:t xml:space="preserve"> </w:t>
      </w:r>
      <w:r>
        <w:rPr>
          <w:rFonts w:ascii="宋体" w:hAnsi="宋体" w:eastAsia="宋体" w:cs="宋体"/>
          <w:spacing w:val="4"/>
          <w:sz w:val="20"/>
          <w:szCs w:val="20"/>
        </w:rPr>
        <w:t>”。</w:t>
      </w:r>
    </w:p>
    <w:p>
      <w:pPr>
        <w:spacing w:before="223" w:line="433" w:lineRule="auto"/>
        <w:ind w:right="70" w:firstLine="420"/>
        <w:rPr>
          <w:rFonts w:ascii="宋体" w:hAnsi="宋体" w:eastAsia="宋体" w:cs="宋体"/>
          <w:sz w:val="20"/>
          <w:szCs w:val="20"/>
        </w:rPr>
        <w:sectPr>
          <w:footerReference r:id="rId23" w:type="default"/>
          <w:pgSz w:w="7938" w:h="11510"/>
          <w:pgMar w:top="400" w:right="895" w:bottom="894" w:left="974" w:header="0" w:footer="732" w:gutter="0"/>
          <w:pgNumType w:fmt="decimal"/>
          <w:cols w:space="720" w:num="1"/>
        </w:sectPr>
      </w:pPr>
      <w:r>
        <w:rPr>
          <w:rFonts w:ascii="宋体" w:hAnsi="宋体" w:eastAsia="宋体" w:cs="宋体"/>
          <w:b/>
          <w:bCs/>
          <w:spacing w:val="2"/>
          <w:sz w:val="20"/>
          <w:szCs w:val="20"/>
        </w:rPr>
        <w:t>2</w:t>
      </w:r>
      <w:r>
        <w:rPr>
          <w:rFonts w:ascii="宋体" w:hAnsi="宋体" w:eastAsia="宋体" w:cs="宋体"/>
          <w:spacing w:val="2"/>
          <w:sz w:val="20"/>
          <w:szCs w:val="20"/>
        </w:rPr>
        <w:t xml:space="preserve">  标准中指定应按其他有关标准、规范执行时的写法为：“应</w:t>
      </w:r>
      <w:r>
        <w:rPr>
          <w:rFonts w:ascii="宋体" w:hAnsi="宋体" w:eastAsia="宋体" w:cs="宋体"/>
          <w:spacing w:val="7"/>
          <w:sz w:val="20"/>
          <w:szCs w:val="20"/>
        </w:rPr>
        <w:t>符合……的规定</w:t>
      </w:r>
      <w:r>
        <w:rPr>
          <w:rFonts w:ascii="宋体" w:hAnsi="宋体" w:eastAsia="宋体" w:cs="宋体"/>
          <w:spacing w:val="-70"/>
          <w:sz w:val="20"/>
          <w:szCs w:val="20"/>
        </w:rPr>
        <w:t xml:space="preserve"> </w:t>
      </w:r>
      <w:r>
        <w:rPr>
          <w:rFonts w:ascii="宋体" w:hAnsi="宋体" w:eastAsia="宋体" w:cs="宋体"/>
          <w:spacing w:val="7"/>
          <w:sz w:val="20"/>
          <w:szCs w:val="20"/>
        </w:rPr>
        <w:t>”或“应按……执行</w:t>
      </w:r>
      <w:r>
        <w:rPr>
          <w:rFonts w:ascii="宋体" w:hAnsi="宋体" w:eastAsia="宋体" w:cs="宋体"/>
          <w:spacing w:val="-70"/>
          <w:sz w:val="20"/>
          <w:szCs w:val="20"/>
        </w:rPr>
        <w:t xml:space="preserve"> </w:t>
      </w:r>
      <w:r>
        <w:rPr>
          <w:rFonts w:ascii="宋体" w:hAnsi="宋体" w:eastAsia="宋体" w:cs="宋体"/>
          <w:spacing w:val="7"/>
          <w:sz w:val="20"/>
          <w:szCs w:val="20"/>
        </w:rPr>
        <w:t>”。</w:t>
      </w:r>
    </w:p>
    <w:p>
      <w:pPr>
        <w:spacing w:line="320" w:lineRule="auto"/>
        <w:rPr>
          <w:rFonts w:ascii="Arial"/>
          <w:sz w:val="21"/>
        </w:rPr>
      </w:pPr>
    </w:p>
    <w:p>
      <w:pPr>
        <w:spacing w:before="91" w:line="221" w:lineRule="auto"/>
        <w:ind w:left="2178"/>
        <w:outlineLvl w:val="0"/>
        <w:rPr>
          <w:rFonts w:ascii="宋体" w:hAnsi="宋体" w:eastAsia="宋体" w:cs="宋体"/>
          <w:sz w:val="28"/>
          <w:szCs w:val="28"/>
        </w:rPr>
      </w:pPr>
      <w:bookmarkStart w:id="122" w:name="bookmark42"/>
      <w:bookmarkEnd w:id="122"/>
      <w:bookmarkStart w:id="123" w:name="bookmark31"/>
      <w:bookmarkEnd w:id="123"/>
      <w:bookmarkStart w:id="124" w:name="_Toc19572"/>
      <w:bookmarkStart w:id="125" w:name="_Toc16897"/>
      <w:r>
        <w:rPr>
          <w:rFonts w:ascii="宋体" w:hAnsi="宋体" w:eastAsia="宋体" w:cs="宋体"/>
          <w:b/>
          <w:bCs/>
          <w:spacing w:val="-8"/>
          <w:sz w:val="28"/>
          <w:szCs w:val="28"/>
        </w:rPr>
        <w:t>引用标准名录</w:t>
      </w:r>
      <w:bookmarkEnd w:id="124"/>
      <w:bookmarkEnd w:id="125"/>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snapToGrid w:val="0"/>
          <w:color w:val="000000"/>
          <w:spacing w:val="6"/>
          <w:kern w:val="0"/>
          <w:sz w:val="20"/>
          <w:szCs w:val="20"/>
          <w:lang w:val="en-US" w:eastAsia="zh-CN"/>
        </w:rPr>
        <w:t>《工业管路的基本识别色和识别符号》（GB 7231）</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《室外给水设计标准》（GB 50013）</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《室外排水设计标准》（GB 50014）</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《建筑给水排水设计标准》（GB 50015）</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《供配电系统设计规范》（GB 50052）</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《工业自动化仪表工程施工及质量验收标准》（GB 50093）</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《电气装置安装工程接地装置施工及验收规范》（GB 50169-2016）</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《给水排水管道工程施工及验收规范》（GB 50268）</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《污水再生利用工程设计规范》（GB 50335）</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snapToGrid w:val="0"/>
          <w:color w:val="000000"/>
          <w:spacing w:val="6"/>
          <w:kern w:val="0"/>
          <w:sz w:val="20"/>
          <w:szCs w:val="20"/>
          <w:lang w:val="en-US" w:eastAsia="zh-CN"/>
        </w:rPr>
        <w:t>《漆膜颜色标准》（GB</w:t>
      </w:r>
      <w:r>
        <w:rPr>
          <w:rFonts w:hint="eastAsia" w:ascii="宋体" w:hAnsi="宋体" w:eastAsia="宋体" w:cs="宋体"/>
          <w:snapToGrid w:val="0"/>
          <w:color w:val="000000"/>
          <w:spacing w:val="6"/>
          <w:kern w:val="0"/>
          <w:sz w:val="20"/>
          <w:szCs w:val="20"/>
          <w:lang w:val="en-US" w:eastAsia="zh-CN"/>
        </w:rPr>
        <w:t>/</w:t>
      </w:r>
      <w:r>
        <w:rPr>
          <w:rFonts w:ascii="宋体" w:hAnsi="宋体" w:eastAsia="宋体" w:cs="宋体"/>
          <w:snapToGrid w:val="0"/>
          <w:color w:val="000000"/>
          <w:spacing w:val="6"/>
          <w:kern w:val="0"/>
          <w:sz w:val="20"/>
          <w:szCs w:val="20"/>
          <w:lang w:val="en-US" w:eastAsia="zh-CN"/>
        </w:rPr>
        <w:t>T 3181）</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snapToGrid w:val="0"/>
          <w:color w:val="000000"/>
          <w:spacing w:val="6"/>
          <w:kern w:val="0"/>
          <w:sz w:val="20"/>
          <w:szCs w:val="20"/>
          <w:lang w:val="en-US" w:eastAsia="zh-CN"/>
        </w:rPr>
        <w:t>《</w:t>
      </w:r>
      <w:r>
        <w:rPr>
          <w:rFonts w:hint="eastAsia" w:ascii="宋体" w:hAnsi="宋体" w:eastAsia="宋体" w:cs="宋体"/>
          <w:snapToGrid w:val="0"/>
          <w:color w:val="000000"/>
          <w:spacing w:val="6"/>
          <w:kern w:val="0"/>
          <w:sz w:val="20"/>
          <w:szCs w:val="20"/>
          <w:lang w:val="en-US" w:eastAsia="zh-CN"/>
        </w:rPr>
        <w:t>涂覆涂料前钢材表面处理 表面清洁度的目视评定 第1部分</w:t>
      </w:r>
      <w:r>
        <w:rPr>
          <w:rFonts w:ascii="宋体" w:hAnsi="宋体" w:eastAsia="宋体" w:cs="宋体"/>
          <w:snapToGrid w:val="0"/>
          <w:color w:val="000000"/>
          <w:spacing w:val="6"/>
          <w:kern w:val="0"/>
          <w:sz w:val="20"/>
          <w:szCs w:val="20"/>
          <w:lang w:val="en-US" w:eastAsia="zh-CN"/>
        </w:rPr>
        <w:t>》（GB/T 8923.1）</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《城市污水再生利用工业用水水质》（GB/T 19923）</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《检查井盖》（GB/T 23858）</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《污水排入城镇下水道水质标准》（GB/T 31962）</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《水污染源在线监测系统安装技术规范》（HJ/T 353）</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《城镇排水管道维护安全技术规程》（CJJ 6）</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《城镇排水管渠与泵站运行、维护及安全技术规程》（CJJ 68）</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《建筑小区排水用塑料检查井》（CJ/T 233）</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《塑料排水检查井应用技术规程》（CJJ/T 209）</w:t>
      </w:r>
    </w:p>
    <w:p>
      <w:pPr>
        <w:widowControl/>
        <w:kinsoku w:val="0"/>
        <w:autoSpaceDE w:val="0"/>
        <w:autoSpaceDN w:val="0"/>
        <w:adjustRightInd w:val="0"/>
        <w:snapToGrid w:val="0"/>
        <w:spacing w:before="218" w:line="330" w:lineRule="auto"/>
        <w:ind w:right="34" w:firstLine="4"/>
        <w:jc w:val="left"/>
        <w:textAlignment w:val="baseline"/>
        <w:rPr>
          <w:rFonts w:ascii="宋体" w:hAnsi="宋体" w:eastAsia="宋体" w:cs="宋体"/>
          <w:snapToGrid w:val="0"/>
          <w:color w:val="000000"/>
          <w:spacing w:val="6"/>
          <w:kern w:val="0"/>
          <w:sz w:val="20"/>
          <w:szCs w:val="20"/>
          <w:lang w:val="en-US" w:eastAsia="zh-CN"/>
        </w:rPr>
      </w:pPr>
      <w:r>
        <w:rPr>
          <w:rFonts w:ascii="宋体" w:hAnsi="宋体" w:eastAsia="宋体" w:cs="宋体"/>
          <w:snapToGrid w:val="0"/>
          <w:color w:val="000000"/>
          <w:spacing w:val="6"/>
          <w:kern w:val="0"/>
          <w:sz w:val="20"/>
          <w:szCs w:val="20"/>
          <w:lang w:val="en-US" w:eastAsia="zh-CN"/>
        </w:rPr>
        <w:t>《</w:t>
      </w:r>
      <w:r>
        <w:rPr>
          <w:rFonts w:hint="eastAsia" w:ascii="宋体" w:hAnsi="宋体" w:eastAsia="宋体" w:cs="宋体"/>
          <w:snapToGrid w:val="0"/>
          <w:color w:val="000000"/>
          <w:spacing w:val="6"/>
          <w:kern w:val="0"/>
          <w:sz w:val="20"/>
          <w:szCs w:val="20"/>
          <w:lang w:val="en-US" w:eastAsia="zh-CN"/>
        </w:rPr>
        <w:t>化工管道、设备外防腐设计规定</w:t>
      </w:r>
      <w:r>
        <w:rPr>
          <w:rFonts w:ascii="宋体" w:hAnsi="宋体" w:eastAsia="宋体" w:cs="宋体"/>
          <w:snapToGrid w:val="0"/>
          <w:color w:val="000000"/>
          <w:spacing w:val="6"/>
          <w:kern w:val="0"/>
          <w:sz w:val="20"/>
          <w:szCs w:val="20"/>
          <w:lang w:val="en-US" w:eastAsia="zh-CN"/>
        </w:rPr>
        <w:t>》（</w:t>
      </w:r>
      <w:r>
        <w:rPr>
          <w:rFonts w:hint="eastAsia" w:ascii="宋体" w:hAnsi="宋体" w:eastAsia="宋体" w:cs="宋体"/>
          <w:snapToGrid w:val="0"/>
          <w:color w:val="000000"/>
          <w:spacing w:val="6"/>
          <w:kern w:val="0"/>
          <w:sz w:val="20"/>
          <w:szCs w:val="20"/>
          <w:lang w:val="en-US" w:eastAsia="zh-CN"/>
        </w:rPr>
        <w:t>HG/T 20679）</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《城市再生水处理厂工程技术标准》（DB34/T 4291-2022）</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r>
        <w:rPr>
          <w:rFonts w:hint="eastAsia" w:ascii="宋体" w:hAnsi="宋体" w:eastAsia="宋体" w:cs="宋体"/>
          <w:snapToGrid w:val="0"/>
          <w:color w:val="000000"/>
          <w:spacing w:val="6"/>
          <w:kern w:val="0"/>
          <w:sz w:val="20"/>
          <w:szCs w:val="20"/>
          <w:lang w:val="en-US" w:eastAsia="zh-CN"/>
        </w:rPr>
        <w:t>《无化粪池生活排水管道设计与养护技术标准》（T/SDUWA 5002）</w:t>
      </w: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en-US"/>
        </w:rPr>
      </w:pPr>
    </w:p>
    <w:p>
      <w:pPr>
        <w:widowControl/>
        <w:kinsoku w:val="0"/>
        <w:autoSpaceDE w:val="0"/>
        <w:autoSpaceDN w:val="0"/>
        <w:adjustRightInd w:val="0"/>
        <w:snapToGrid w:val="0"/>
        <w:spacing w:before="218" w:line="330" w:lineRule="auto"/>
        <w:ind w:right="34" w:firstLine="4"/>
        <w:jc w:val="left"/>
        <w:textAlignment w:val="baseline"/>
        <w:rPr>
          <w:rFonts w:hint="eastAsia" w:ascii="宋体" w:hAnsi="宋体" w:eastAsia="宋体" w:cs="宋体"/>
          <w:snapToGrid w:val="0"/>
          <w:color w:val="000000"/>
          <w:spacing w:val="6"/>
          <w:kern w:val="0"/>
          <w:sz w:val="20"/>
          <w:szCs w:val="20"/>
          <w:lang w:val="en-US" w:eastAsia="zh-CN"/>
        </w:rPr>
      </w:pPr>
    </w:p>
    <w:sectPr>
      <w:footerReference r:id="rId24" w:type="default"/>
      <w:pgSz w:w="7938" w:h="11510"/>
      <w:pgMar w:top="400" w:right="1190" w:bottom="894" w:left="978" w:header="0" w:footer="732"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586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585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3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581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31</w:t>
                    </w:r>
                    <w:r>
                      <w:fldChar w:fldCharType="end"/>
                    </w:r>
                  </w:p>
                </w:txbxContent>
              </v:textbox>
            </v:shape>
          </w:pict>
        </mc:Fallback>
      </mc:AlternateContent>
    </w:r>
    <w:r>
      <w:rPr>
        <w:rFonts w:ascii="Times New Roman" w:hAnsi="Times New Roman" w:eastAsia="Times New Roman" w:cs="Times New Roman"/>
        <w:spacing w:val="-10"/>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2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bordersDoNotSurroundHeader w:val="0"/>
  <w:bordersDoNotSurroundFooter w:val="0"/>
  <w:trackRevisions w:val="1"/>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YmI1ZjFkY2Y3OWRhM2EzM2RmMGQzYzkyYjYzNGE3NjcifQ=="/>
  </w:docVars>
  <w:rsids>
    <w:rsidRoot w:val="00000000"/>
    <w:rsid w:val="01536D2A"/>
    <w:rsid w:val="06E72E78"/>
    <w:rsid w:val="07CF4038"/>
    <w:rsid w:val="07F06BDD"/>
    <w:rsid w:val="0BF202F5"/>
    <w:rsid w:val="1432507F"/>
    <w:rsid w:val="16210D0D"/>
    <w:rsid w:val="1B9273FE"/>
    <w:rsid w:val="1BF63E31"/>
    <w:rsid w:val="27C92F10"/>
    <w:rsid w:val="32D2548A"/>
    <w:rsid w:val="3DA768E2"/>
    <w:rsid w:val="434B744C"/>
    <w:rsid w:val="456D0411"/>
    <w:rsid w:val="473E65F6"/>
    <w:rsid w:val="498B355B"/>
    <w:rsid w:val="4B1355B6"/>
    <w:rsid w:val="4E824F2D"/>
    <w:rsid w:val="52460A23"/>
    <w:rsid w:val="5A0A4028"/>
    <w:rsid w:val="5E624433"/>
    <w:rsid w:val="622D2FAA"/>
    <w:rsid w:val="6E8A73E2"/>
    <w:rsid w:val="6F6B193C"/>
    <w:rsid w:val="73A34D43"/>
    <w:rsid w:val="74657369"/>
    <w:rsid w:val="76065B94"/>
    <w:rsid w:val="763C0048"/>
    <w:rsid w:val="76FD0D45"/>
    <w:rsid w:val="7B592F02"/>
    <w:rsid w:val="7B6018A2"/>
    <w:rsid w:val="7EBB7E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Times New Roman" w:hAnsi="Times New Roman" w:eastAsia="黑体"/>
      <w:b/>
      <w:kern w:val="44"/>
      <w:sz w:val="48"/>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caption"/>
    <w:basedOn w:val="1"/>
    <w:next w:val="1"/>
    <w:semiHidden/>
    <w:unhideWhenUsed/>
    <w:qFormat/>
    <w:uiPriority w:val="0"/>
    <w:rPr>
      <w:rFonts w:ascii="Arial" w:hAnsi="Arial" w:eastAsia="黑体"/>
      <w:sz w:val="20"/>
    </w:rPr>
  </w:style>
  <w:style w:type="paragraph" w:styleId="5">
    <w:name w:val="Body Text"/>
    <w:basedOn w:val="1"/>
    <w:semiHidden/>
    <w:qFormat/>
    <w:uiPriority w:val="0"/>
    <w:rPr>
      <w:rFonts w:ascii="黑体" w:hAnsi="黑体" w:eastAsia="黑体" w:cs="黑体"/>
      <w:sz w:val="28"/>
      <w:szCs w:val="28"/>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9.wmf"/><Relationship Id="rId4" Type="http://schemas.openxmlformats.org/officeDocument/2006/relationships/endnotes" Target="endnotes.xml"/><Relationship Id="rId39" Type="http://schemas.openxmlformats.org/officeDocument/2006/relationships/oleObject" Target="embeddings/oleObject6.bin"/><Relationship Id="rId38" Type="http://schemas.openxmlformats.org/officeDocument/2006/relationships/image" Target="media/image8.wmf"/><Relationship Id="rId37" Type="http://schemas.openxmlformats.org/officeDocument/2006/relationships/oleObject" Target="embeddings/oleObject5.bin"/><Relationship Id="rId36" Type="http://schemas.openxmlformats.org/officeDocument/2006/relationships/image" Target="media/image7.wmf"/><Relationship Id="rId35" Type="http://schemas.openxmlformats.org/officeDocument/2006/relationships/oleObject" Target="embeddings/oleObject4.bin"/><Relationship Id="rId34" Type="http://schemas.openxmlformats.org/officeDocument/2006/relationships/image" Target="media/image6.wmf"/><Relationship Id="rId33" Type="http://schemas.openxmlformats.org/officeDocument/2006/relationships/oleObject" Target="embeddings/oleObject3.bin"/><Relationship Id="rId32" Type="http://schemas.openxmlformats.org/officeDocument/2006/relationships/image" Target="media/image5.wmf"/><Relationship Id="rId31" Type="http://schemas.openxmlformats.org/officeDocument/2006/relationships/oleObject" Target="embeddings/oleObject2.bin"/><Relationship Id="rId30" Type="http://schemas.openxmlformats.org/officeDocument/2006/relationships/image" Target="media/image4.wmf"/><Relationship Id="rId3" Type="http://schemas.openxmlformats.org/officeDocument/2006/relationships/footnotes" Target="footnotes.xml"/><Relationship Id="rId29" Type="http://schemas.openxmlformats.org/officeDocument/2006/relationships/oleObject" Target="embeddings/oleObject1.bin"/><Relationship Id="rId28" Type="http://schemas.openxmlformats.org/officeDocument/2006/relationships/image" Target="media/image3.pn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3.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7.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header" Target="header4.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49</Pages>
  <Words>18895</Words>
  <Characters>23148</Characters>
  <TotalTime>0</TotalTime>
  <ScaleCrop>false</ScaleCrop>
  <LinksUpToDate>false</LinksUpToDate>
  <CharactersWithSpaces>24138</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2024-12-26T08:35:00Z</dcterms:created>
  <dc:creator>w</dc:creator>
  <cp:lastModifiedBy>SJ</cp:lastModifiedBy>
  <cp:lastPrinted>2026-03-18T06:10:00Z</cp:lastPrinted>
  <dcterms:modified xsi:type="dcterms:W3CDTF">2026-09-04T03:02:28Z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2025-11-30T08:26:36Z</vt:filetime>
  </property>
  <property fmtid="{D5CDD505-2E9C-101B-9397-08002B2CF9AE}" pid="4" name="KSOTemplateDocerSaveRecord">
    <vt:lpwstr>eyJoZGlkIjoiMWI4YjJjZTUzNGNlYTQyODI4ZTEyNDRhODcyM2Y3ZDEiLCJ1c2VySWQiOiIxMDQzNTE1Njg4In0=</vt:lpwstr>
  </property>
  <property fmtid="{D5CDD505-2E9C-101B-9397-08002B2CF9AE}" pid="5" name="KSOProductBuildVer">
    <vt:lpwstr>2052-11.1.0.14309</vt:lpwstr>
  </property>
  <property fmtid="{D5CDD505-2E9C-101B-9397-08002B2CF9AE}" pid="6" name="ICV">
    <vt:lpwstr>C9DBE16704804CDDB8E5C246C533E3AA_13</vt:lpwstr>
  </property>
</Properties>
</file>