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2"/>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ICS 号</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1271270</wp:posOffset>
                </wp:positionV>
                <wp:extent cx="5298440" cy="12065"/>
                <wp:effectExtent l="0" t="0" r="0" b="0"/>
                <wp:wrapNone/>
                <wp:docPr id="44" name="直接连接符 44"/>
                <wp:cNvGraphicFramePr/>
                <a:graphic xmlns:a="http://schemas.openxmlformats.org/drawingml/2006/main">
                  <a:graphicData uri="http://schemas.microsoft.com/office/word/2010/wordprocessingShape">
                    <wps:wsp>
                      <wps:cNvCnPr/>
                      <wps:spPr>
                        <a:xfrm>
                          <a:off x="1073150" y="3260725"/>
                          <a:ext cx="5298440"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25pt;margin-top:100.1pt;height:0.95pt;width:417.2pt;z-index:251660288;mso-width-relative:page;mso-height-relative:page;" filled="f" stroked="t" coordsize="21600,21600" o:gfxdata="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n5392gAAAAsBAAAPAAAAAAAAAAEAIAAAACIAAABkcnMvZG93bnJldi54bWxQ&#10;SwECFAAUAAAACACHTuJAxjLZ9vUBAADEAwAADgAAAAAAAAABACAAAAApAQAAZHJzL2Uyb0RvYy54&#10;bWxQSwUGAAAAAAYABgBZAQAAkAUAAAAA&#10;">
                <v:fill on="f" focussize="0,0"/>
                <v:stroke weight="1pt" color="#000000 [3200]" miterlimit="8" joinstyle="miter"/>
                <v:imagedata o:title=""/>
                <o:lock v:ext="edit" aspectratio="f"/>
              </v:line>
            </w:pict>
          </mc:Fallback>
        </mc:AlternateContent>
      </w:r>
    </w:p>
    <w:p>
      <w:pPr>
        <w:widowControl w:val="0"/>
        <w:kinsoku/>
        <w:autoSpaceDE/>
        <w:autoSpaceDN/>
        <w:adjustRightInd/>
        <w:snapToGrid/>
        <w:spacing w:line="240" w:lineRule="auto"/>
        <w:ind w:right="181" w:firstLine="0" w:firstLineChars="0"/>
        <w:jc w:val="center"/>
        <w:textAlignment w:val="auto"/>
        <w:rPr>
          <w:rFonts w:eastAsia="黑体" w:cs="Times New Roman"/>
          <w:b/>
          <w:snapToGrid/>
          <w:color w:val="000000" w:themeColor="text1"/>
          <w:spacing w:val="2"/>
          <w:kern w:val="2"/>
          <w:sz w:val="72"/>
          <w:szCs w:val="72"/>
          <w:lang w:eastAsia="zh-CN"/>
          <w14:textFill>
            <w14:solidFill>
              <w14:schemeClr w14:val="tx1"/>
            </w14:solidFill>
          </w14:textFill>
        </w:rPr>
      </w:pPr>
      <w:r>
        <w:rPr>
          <w:rFonts w:eastAsia="黑体" w:cs="Times New Roman"/>
          <w:b/>
          <w:snapToGrid/>
          <w:color w:val="000000" w:themeColor="text1"/>
          <w:spacing w:val="2"/>
          <w:kern w:val="2"/>
          <w:sz w:val="72"/>
          <w:szCs w:val="72"/>
          <w:lang w:eastAsia="zh-CN"/>
          <w14:textFill>
            <w14:solidFill>
              <w14:schemeClr w14:val="tx1"/>
            </w14:solidFill>
          </w14:textFill>
        </w:rPr>
        <w:t>团  体  标  准</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30" w:type="dxa"/>
            <w:tcBorders>
              <w:top w:val="nil"/>
              <w:left w:val="nil"/>
              <w:bottom w:val="nil"/>
              <w:right w:val="nil"/>
            </w:tcBorders>
            <w:shd w:val="clear" w:color="auto" w:fill="auto"/>
          </w:tcPr>
          <w:p>
            <w:pPr>
              <w:ind w:firstLine="420"/>
              <w:jc w:val="right"/>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T/</w:t>
            </w:r>
            <w:r>
              <w:rPr>
                <w:rFonts w:cs="Times New Roman"/>
                <w:color w:val="000000" w:themeColor="text1"/>
                <w:sz w:val="21"/>
                <w:lang w:eastAsia="zh-CN"/>
                <w14:textFill>
                  <w14:solidFill>
                    <w14:schemeClr w14:val="tx1"/>
                  </w14:solidFill>
                </w14:textFill>
              </w:rPr>
              <w:t>SDUWA</w:t>
            </w:r>
            <w:r>
              <w:rPr>
                <w:rFonts w:cs="Times New Roman"/>
                <w:color w:val="000000" w:themeColor="text1"/>
                <w:sz w:val="21"/>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XXXXXXX</w:t>
            </w:r>
            <w:r>
              <w:rPr>
                <w:rFonts w:cs="Times New Roman"/>
                <w:color w:val="000000" w:themeColor="text1"/>
                <w:sz w:val="21"/>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4665980</wp:posOffset>
                      </wp:positionH>
                      <wp:positionV relativeFrom="paragraph">
                        <wp:posOffset>34290</wp:posOffset>
                      </wp:positionV>
                      <wp:extent cx="1143000" cy="228600"/>
                      <wp:effectExtent l="0" t="0" r="0" b="0"/>
                      <wp:wrapNone/>
                      <wp:docPr id="40" name="DT"/>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DT" o:spid="_x0000_s1026" o:spt="1" style="position:absolute;left:0pt;margin-left:367.4pt;margin-top:2.7pt;height:18pt;width:90pt;z-index:-251654144;v-text-anchor:middle;mso-width-relative:page;mso-height-relative:page;" fillcolor="#FFFFFF" filled="t" stroked="f" coordsize="21600,21600" o:gfxdata="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Z7k/9MAAAAIAQAADwAAAAAA&#10;AAABACAAAAAiAAAAZHJzL2Rvd25yZXYueG1sUEsBAhQAFAAAAAgAh07iQFk4D25RAgAAvQQAAA4A&#10;AAAAAAAAAQAgAAAAIgEAAGRycy9lMm9Eb2MueG1sUEsFBgAAAAAGAAYAWQEAAOUFAAAAAA==&#10;">
                      <v:fill on="t" focussize="0,0"/>
                      <v:stroke on="f" weight="2pt"/>
                      <v:imagedata o:title=""/>
                      <o:lock v:ext="edit" aspectratio="f"/>
                    </v:rect>
                  </w:pict>
                </mc:Fallback>
              </mc:AlternateContent>
            </w:r>
          </w:p>
        </w:tc>
      </w:tr>
    </w:tbl>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0" w:firstLineChars="0"/>
        <w:rPr>
          <w:rFonts w:cs="Times New Roman"/>
          <w:color w:val="000000" w:themeColor="text1"/>
          <w:sz w:val="21"/>
          <w:lang w:eastAsia="zh-CN"/>
          <w14:textFill>
            <w14:solidFill>
              <w14:schemeClr w14:val="tx1"/>
            </w14:solidFill>
          </w14:textFill>
        </w:rPr>
      </w:pPr>
    </w:p>
    <w:p>
      <w:pPr>
        <w:ind w:firstLine="0" w:firstLineChars="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1052"/>
        <w:jc w:val="center"/>
        <w:rPr>
          <w:rFonts w:eastAsia="黑体" w:cs="Times New Roman"/>
          <w:b/>
          <w:snapToGrid/>
          <w:color w:val="000000" w:themeColor="text1"/>
          <w:spacing w:val="2"/>
          <w:kern w:val="2"/>
          <w:sz w:val="52"/>
          <w:szCs w:val="52"/>
          <w:lang w:eastAsia="zh-CN"/>
          <w14:textFill>
            <w14:solidFill>
              <w14:schemeClr w14:val="tx1"/>
            </w14:solidFill>
          </w14:textFill>
        </w:rPr>
      </w:pPr>
      <w:bookmarkStart w:id="0" w:name="OLE_LINK15"/>
      <w:r>
        <w:rPr>
          <w:rFonts w:eastAsia="黑体" w:cs="Times New Roman"/>
          <w:b/>
          <w:snapToGrid/>
          <w:color w:val="000000" w:themeColor="text1"/>
          <w:spacing w:val="2"/>
          <w:kern w:val="2"/>
          <w:sz w:val="52"/>
          <w:szCs w:val="52"/>
          <w:lang w:eastAsia="zh-CN"/>
          <w14:textFill>
            <w14:solidFill>
              <w14:schemeClr w14:val="tx1"/>
            </w14:solidFill>
          </w14:textFill>
        </w:rPr>
        <w:t>室外埋地排水管道非开挖修复工程技术规程</w:t>
      </w:r>
    </w:p>
    <w:p>
      <w:pPr>
        <w:ind w:left="0" w:leftChars="0" w:firstLine="0" w:firstLineChars="0"/>
        <w:jc w:val="center"/>
        <w:rPr>
          <w:rFonts w:hint="default" w:eastAsia="黑体" w:cs="Times New Roman"/>
          <w:b/>
          <w:snapToGrid/>
          <w:color w:val="000000" w:themeColor="text1"/>
          <w:spacing w:val="2"/>
          <w:kern w:val="2"/>
          <w:sz w:val="52"/>
          <w:szCs w:val="52"/>
          <w:lang w:val="en-US" w:eastAsia="zh-CN"/>
          <w14:textFill>
            <w14:solidFill>
              <w14:schemeClr w14:val="tx1"/>
            </w14:solidFill>
          </w14:textFill>
        </w:rPr>
      </w:pPr>
      <w:r>
        <w:rPr>
          <w:rFonts w:hint="eastAsia" w:eastAsia="黑体" w:cs="Times New Roman"/>
          <w:b/>
          <w:snapToGrid/>
          <w:color w:val="000000" w:themeColor="text1"/>
          <w:spacing w:val="2"/>
          <w:kern w:val="2"/>
          <w:sz w:val="52"/>
          <w:szCs w:val="52"/>
          <w:lang w:eastAsia="zh-CN"/>
          <w14:textFill>
            <w14:solidFill>
              <w14:schemeClr w14:val="tx1"/>
            </w14:solidFill>
          </w14:textFill>
        </w:rPr>
        <w:t>（</w:t>
      </w:r>
      <w:r>
        <w:rPr>
          <w:rFonts w:hint="eastAsia" w:eastAsia="黑体" w:cs="Times New Roman"/>
          <w:b/>
          <w:snapToGrid/>
          <w:color w:val="000000" w:themeColor="text1"/>
          <w:spacing w:val="2"/>
          <w:kern w:val="2"/>
          <w:sz w:val="52"/>
          <w:szCs w:val="52"/>
          <w:lang w:val="en-US" w:eastAsia="zh-CN"/>
          <w14:textFill>
            <w14:solidFill>
              <w14:schemeClr w14:val="tx1"/>
            </w14:solidFill>
          </w14:textFill>
        </w:rPr>
        <w:t>征求意见稿）</w:t>
      </w:r>
    </w:p>
    <w:bookmarkEnd w:id="0"/>
    <w:p>
      <w:pPr>
        <w:ind w:firstLine="420"/>
        <w:jc w:val="center"/>
        <w:rPr>
          <w:rFonts w:eastAsia="黑体" w:cs="Times New Roman"/>
          <w:color w:val="000000" w:themeColor="text1"/>
          <w:sz w:val="21"/>
          <w:lang w:eastAsia="zh-CN"/>
          <w14:textFill>
            <w14:solidFill>
              <w14:schemeClr w14:val="tx1"/>
            </w14:solidFill>
          </w14:textFill>
        </w:rPr>
      </w:pPr>
    </w:p>
    <w:p>
      <w:pPr>
        <w:ind w:firstLine="651"/>
        <w:jc w:val="center"/>
        <w:rPr>
          <w:rFonts w:eastAsia="黑体" w:cs="Times New Roman"/>
          <w:b/>
          <w:snapToGrid/>
          <w:color w:val="000000" w:themeColor="text1"/>
          <w:spacing w:val="2"/>
          <w:kern w:val="2"/>
          <w:sz w:val="32"/>
          <w:szCs w:val="32"/>
          <w:lang w:eastAsia="zh-CN"/>
          <w14:textFill>
            <w14:solidFill>
              <w14:schemeClr w14:val="tx1"/>
            </w14:solidFill>
          </w14:textFill>
        </w:rPr>
      </w:pPr>
      <w:r>
        <w:rPr>
          <w:rFonts w:eastAsia="黑体" w:cs="Times New Roman"/>
          <w:b/>
          <w:snapToGrid/>
          <w:color w:val="000000" w:themeColor="text1"/>
          <w:spacing w:val="2"/>
          <w:kern w:val="2"/>
          <w:sz w:val="32"/>
          <w:szCs w:val="32"/>
          <w:lang w:eastAsia="zh-CN"/>
          <w14:textFill>
            <w14:solidFill>
              <w14:schemeClr w14:val="tx1"/>
            </w14:solidFill>
          </w14:textFill>
        </w:rPr>
        <w:t>Technical specification for trenchless repair of outdoor buried drainage pipes</w:t>
      </w:r>
    </w:p>
    <w:p>
      <w:pPr>
        <w:ind w:firstLine="420"/>
        <w:rPr>
          <w:rFonts w:cs="Times New Roman"/>
          <w:color w:val="000000" w:themeColor="text1"/>
          <w:sz w:val="21"/>
          <w14:textFill>
            <w14:solidFill>
              <w14:schemeClr w14:val="tx1"/>
            </w14:solidFill>
          </w14:textFill>
        </w:rPr>
      </w:pPr>
    </w:p>
    <w:p>
      <w:pPr>
        <w:ind w:firstLine="420"/>
        <w:rPr>
          <w:rFonts w:cs="Times New Roman"/>
          <w:color w:val="000000" w:themeColor="text1"/>
          <w:sz w:val="21"/>
          <w14:textFill>
            <w14:solidFill>
              <w14:schemeClr w14:val="tx1"/>
            </w14:solidFill>
          </w14:textFill>
        </w:rPr>
      </w:pPr>
    </w:p>
    <w:p>
      <w:pPr>
        <w:ind w:firstLine="420"/>
        <w:rPr>
          <w:rFonts w:cs="Times New Roman"/>
          <w:color w:val="000000" w:themeColor="text1"/>
          <w:sz w:val="21"/>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widowControl w:val="0"/>
        <w:kinsoku/>
        <w:autoSpaceDE/>
        <w:autoSpaceDN/>
        <w:adjustRightInd/>
        <w:snapToGrid/>
        <w:spacing w:line="360" w:lineRule="exact"/>
        <w:ind w:right="181" w:firstLine="0" w:firstLineChars="0"/>
        <w:jc w:val="left"/>
        <w:textAlignment w:val="auto"/>
        <w:rPr>
          <w:rFonts w:eastAsia="黑体" w:cs="Times New Roman"/>
          <w:b/>
          <w:snapToGrid/>
          <w:color w:val="000000" w:themeColor="text1"/>
          <w:spacing w:val="2"/>
          <w:kern w:val="2"/>
          <w:sz w:val="21"/>
          <w:lang w:eastAsia="zh-CN"/>
          <w14:textFill>
            <w14:solidFill>
              <w14:schemeClr w14:val="tx1"/>
            </w14:solidFill>
          </w14:textFill>
        </w:rPr>
      </w:pPr>
      <w:r>
        <w:rPr>
          <w:rFonts w:eastAsia="黑体" w:cs="Times New Roman"/>
          <w:b/>
          <w:snapToGrid/>
          <w:color w:val="000000" w:themeColor="text1"/>
          <w:spacing w:val="2"/>
          <w:kern w:val="2"/>
          <w:sz w:val="21"/>
          <w:lang w:eastAsia="zh-CN"/>
          <w14:textFill>
            <w14:solidFill>
              <w14:schemeClr w14:val="tx1"/>
            </w14:solidFill>
          </w14:textFill>
        </w:rPr>
        <w:t>2024-XX-XX发布                           2024-XX-XX实施</w:t>
      </w:r>
    </w:p>
    <w:p>
      <w:pPr>
        <w:widowControl w:val="0"/>
        <w:kinsoku/>
        <w:autoSpaceDE/>
        <w:autoSpaceDN/>
        <w:adjustRightInd/>
        <w:snapToGrid/>
        <w:spacing w:line="360" w:lineRule="exact"/>
        <w:ind w:right="181" w:firstLine="0" w:firstLineChars="0"/>
        <w:jc w:val="center"/>
        <w:textAlignment w:val="auto"/>
        <w:rPr>
          <w:rFonts w:eastAsia="华文中宋" w:cs="Times New Roman"/>
          <w:b/>
          <w:snapToGrid/>
          <w:color w:val="000000" w:themeColor="text1"/>
          <w:spacing w:val="2"/>
          <w:kern w:val="2"/>
          <w:sz w:val="21"/>
          <w:lang w:eastAsia="zh-CN"/>
          <w14:textFill>
            <w14:solidFill>
              <w14:schemeClr w14:val="tx1"/>
            </w14:solidFill>
          </w14:textFill>
        </w:rPr>
      </w:pPr>
      <w:r>
        <w:rPr>
          <w:rFonts w:eastAsia="黑体" w:cs="Times New Roman"/>
          <w:b/>
          <w:snapToGrid/>
          <w:color w:val="000000" w:themeColor="text1"/>
          <w:spacing w:val="2"/>
          <w:kern w:val="2"/>
          <w:sz w:val="21"/>
          <w:lang w:eastAsia="zh-CN"/>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margin">
                  <wp:posOffset>-59690</wp:posOffset>
                </wp:positionH>
                <wp:positionV relativeFrom="paragraph">
                  <wp:posOffset>111125</wp:posOffset>
                </wp:positionV>
                <wp:extent cx="5298440" cy="12065"/>
                <wp:effectExtent l="0" t="0" r="35560" b="26035"/>
                <wp:wrapNone/>
                <wp:docPr id="80" name="直接连接符 80"/>
                <wp:cNvGraphicFramePr/>
                <a:graphic xmlns:a="http://schemas.openxmlformats.org/drawingml/2006/main">
                  <a:graphicData uri="http://schemas.microsoft.com/office/word/2010/wordprocessingShape">
                    <wps:wsp>
                      <wps:cNvCnPr/>
                      <wps:spPr>
                        <a:xfrm>
                          <a:off x="0" y="0"/>
                          <a:ext cx="5298440"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7pt;margin-top:8.75pt;height:0.95pt;width:417.2pt;mso-position-horizontal-relative:margin;z-index:251661312;mso-width-relative:page;mso-height-relative:page;" filled="f" stroked="t" coordsize="21600,21600" o:gfxdata="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q4ontcA&#10;AAAIAQAADwAAAAAAAAABACAAAAAiAAAAZHJzL2Rvd25yZXYueG1sUEsBAhQAFAAAAAgAh07iQLS0&#10;5w/nAQAAuAMAAA4AAAAAAAAAAQAgAAAAJgEAAGRycy9lMm9Eb2MueG1sUEsFBgAAAAAGAAYAWQEA&#10;AH8FAAAAAA==&#10;">
                <v:fill on="f" focussize="0,0"/>
                <v:stroke weight="1pt" color="#000000 [3200]" miterlimit="8" joinstyle="miter"/>
                <v:imagedata o:title=""/>
                <o:lock v:ext="edit" aspectratio="f"/>
              </v:line>
            </w:pict>
          </mc:Fallback>
        </mc:AlternateContent>
      </w:r>
    </w:p>
    <w:p>
      <w:pPr>
        <w:widowControl w:val="0"/>
        <w:kinsoku/>
        <w:autoSpaceDE/>
        <w:autoSpaceDN/>
        <w:adjustRightInd/>
        <w:snapToGrid/>
        <w:spacing w:line="360" w:lineRule="exact"/>
        <w:ind w:right="181" w:firstLine="0" w:firstLineChars="0"/>
        <w:jc w:val="center"/>
        <w:textAlignment w:val="auto"/>
        <w:rPr>
          <w:rFonts w:eastAsia="华文中宋" w:cs="Times New Roman"/>
          <w:b/>
          <w:snapToGrid/>
          <w:color w:val="000000" w:themeColor="text1"/>
          <w:spacing w:val="2"/>
          <w:kern w:val="2"/>
          <w:sz w:val="21"/>
          <w:lang w:eastAsia="zh-CN"/>
          <w14:textFill>
            <w14:solidFill>
              <w14:schemeClr w14:val="tx1"/>
            </w14:solidFill>
          </w14:textFill>
        </w:rPr>
      </w:pPr>
      <w:r>
        <w:rPr>
          <w:rFonts w:eastAsia="华文中宋" w:cs="Times New Roman"/>
          <w:b/>
          <w:snapToGrid/>
          <w:color w:val="000000" w:themeColor="text1"/>
          <w:spacing w:val="2"/>
          <w:kern w:val="2"/>
          <w:sz w:val="21"/>
          <w:lang w:eastAsia="zh-CN"/>
          <w14:textFill>
            <w14:solidFill>
              <w14:schemeClr w14:val="tx1"/>
            </w14:solidFill>
          </w14:textFill>
        </w:rPr>
        <w:t>山东省城镇供排水协会    发 布</w:t>
      </w:r>
    </w:p>
    <w:p>
      <w:pPr>
        <w:widowControl w:val="0"/>
        <w:kinsoku/>
        <w:autoSpaceDE/>
        <w:autoSpaceDN/>
        <w:adjustRightInd/>
        <w:snapToGrid/>
        <w:spacing w:line="360" w:lineRule="exact"/>
        <w:ind w:right="181" w:firstLine="0" w:firstLineChars="0"/>
        <w:jc w:val="center"/>
        <w:textAlignment w:val="auto"/>
        <w:rPr>
          <w:rFonts w:hint="eastAsia" w:ascii="黑体" w:hAnsi="黑体" w:eastAsia="黑体" w:cs="Times New Roman"/>
          <w:snapToGrid/>
          <w:color w:val="000000" w:themeColor="text1"/>
          <w:spacing w:val="2"/>
          <w:kern w:val="2"/>
          <w:sz w:val="32"/>
          <w:szCs w:val="32"/>
          <w:lang w:eastAsia="zh-CN"/>
          <w14:textFill>
            <w14:solidFill>
              <w14:schemeClr w14:val="tx1"/>
            </w14:solidFill>
          </w14:textFill>
        </w:rPr>
      </w:pPr>
      <w:r>
        <w:rPr>
          <w:rFonts w:hint="eastAsia" w:ascii="黑体" w:hAnsi="黑体" w:eastAsia="黑体" w:cs="Times New Roman"/>
          <w:snapToGrid/>
          <w:color w:val="000000" w:themeColor="text1"/>
          <w:spacing w:val="2"/>
          <w:kern w:val="2"/>
          <w:sz w:val="32"/>
          <w:szCs w:val="32"/>
          <w:lang w:eastAsia="zh-CN"/>
          <w14:textFill>
            <w14:solidFill>
              <w14:schemeClr w14:val="tx1"/>
            </w14:solidFill>
          </w14:textFill>
        </w:rPr>
        <w:t>前   言</w:t>
      </w:r>
    </w:p>
    <w:p>
      <w:pPr>
        <w:widowControl w:val="0"/>
        <w:kinsoku/>
        <w:autoSpaceDE/>
        <w:autoSpaceDN/>
        <w:adjustRightInd/>
        <w:snapToGrid/>
        <w:ind w:firstLine="428"/>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snapToGrid/>
          <w:color w:val="000000" w:themeColor="text1"/>
          <w:spacing w:val="2"/>
          <w:kern w:val="2"/>
          <w:sz w:val="21"/>
          <w:lang w:eastAsia="zh-CN"/>
          <w14:textFill>
            <w14:solidFill>
              <w14:schemeClr w14:val="tx1"/>
            </w14:solidFill>
          </w14:textFill>
        </w:rPr>
        <w:t>根据</w:t>
      </w:r>
      <w:bookmarkStart w:id="1" w:name="OLE_LINK2"/>
      <w:r>
        <w:rPr>
          <w:rFonts w:hint="eastAsia" w:ascii="宋体" w:hAnsi="宋体" w:cs="Times New Roman"/>
          <w:snapToGrid/>
          <w:color w:val="000000" w:themeColor="text1"/>
          <w:spacing w:val="2"/>
          <w:kern w:val="2"/>
          <w:sz w:val="21"/>
          <w:lang w:eastAsia="zh-CN"/>
          <w14:textFill>
            <w14:solidFill>
              <w14:schemeClr w14:val="tx1"/>
            </w14:solidFill>
          </w14:textFill>
        </w:rPr>
        <w:t>山东省城镇供排水协会</w:t>
      </w:r>
      <w:bookmarkEnd w:id="1"/>
      <w:r>
        <w:rPr>
          <w:rFonts w:hint="eastAsia" w:ascii="宋体" w:hAnsi="宋体" w:cs="Times New Roman"/>
          <w:snapToGrid/>
          <w:color w:val="000000" w:themeColor="text1"/>
          <w:spacing w:val="2"/>
          <w:kern w:val="2"/>
          <w:sz w:val="21"/>
          <w:lang w:eastAsia="zh-CN"/>
          <w14:textFill>
            <w14:solidFill>
              <w14:schemeClr w14:val="tx1"/>
            </w14:solidFill>
          </w14:textFill>
        </w:rPr>
        <w:t>《关于</w:t>
      </w:r>
      <w:r>
        <w:rPr>
          <w:rFonts w:ascii="宋体" w:hAnsi="宋体" w:cs="Times New Roman"/>
          <w:snapToGrid/>
          <w:color w:val="000000" w:themeColor="text1"/>
          <w:spacing w:val="2"/>
          <w:kern w:val="2"/>
          <w:sz w:val="21"/>
          <w:lang w:eastAsia="zh-CN"/>
          <w14:textFill>
            <w14:solidFill>
              <w14:schemeClr w14:val="tx1"/>
            </w14:solidFill>
          </w14:textFill>
        </w:rPr>
        <w:t>&lt;</w:t>
      </w:r>
      <w:r>
        <w:rPr>
          <w:rFonts w:hint="eastAsia" w:ascii="宋体" w:hAnsi="宋体" w:cs="Times New Roman"/>
          <w:snapToGrid/>
          <w:color w:val="000000" w:themeColor="text1"/>
          <w:spacing w:val="2"/>
          <w:kern w:val="2"/>
          <w:sz w:val="21"/>
          <w:lang w:eastAsia="zh-CN"/>
          <w14:textFill>
            <w14:solidFill>
              <w14:schemeClr w14:val="tx1"/>
            </w14:solidFill>
          </w14:textFill>
        </w:rPr>
        <w:t>水务数据资产管理规范</w:t>
      </w:r>
      <w:r>
        <w:rPr>
          <w:rFonts w:ascii="宋体" w:hAnsi="宋体" w:cs="Times New Roman"/>
          <w:snapToGrid/>
          <w:color w:val="000000" w:themeColor="text1"/>
          <w:spacing w:val="2"/>
          <w:kern w:val="2"/>
          <w:sz w:val="21"/>
          <w:lang w:eastAsia="zh-CN"/>
          <w14:textFill>
            <w14:solidFill>
              <w14:schemeClr w14:val="tx1"/>
            </w14:solidFill>
          </w14:textFill>
        </w:rPr>
        <w:t>&gt;</w:t>
      </w:r>
      <w:r>
        <w:rPr>
          <w:rFonts w:hint="eastAsia" w:ascii="宋体" w:hAnsi="宋体" w:cs="Times New Roman"/>
          <w:snapToGrid/>
          <w:color w:val="000000" w:themeColor="text1"/>
          <w:spacing w:val="2"/>
          <w:kern w:val="2"/>
          <w:sz w:val="21"/>
          <w:lang w:eastAsia="zh-CN"/>
          <w14:textFill>
            <w14:solidFill>
              <w14:schemeClr w14:val="tx1"/>
            </w14:solidFill>
          </w14:textFill>
        </w:rPr>
        <w:t>等</w:t>
      </w:r>
      <w:r>
        <w:rPr>
          <w:rFonts w:ascii="宋体" w:hAnsi="宋体" w:cs="Times New Roman"/>
          <w:snapToGrid/>
          <w:color w:val="000000" w:themeColor="text1"/>
          <w:spacing w:val="2"/>
          <w:kern w:val="2"/>
          <w:sz w:val="21"/>
          <w:lang w:eastAsia="zh-CN"/>
          <w14:textFill>
            <w14:solidFill>
              <w14:schemeClr w14:val="tx1"/>
            </w14:solidFill>
          </w14:textFill>
        </w:rPr>
        <w:t>7</w:t>
      </w:r>
      <w:r>
        <w:rPr>
          <w:rFonts w:hint="eastAsia" w:ascii="宋体" w:hAnsi="宋体" w:cs="Times New Roman"/>
          <w:snapToGrid/>
          <w:color w:val="000000" w:themeColor="text1"/>
          <w:spacing w:val="2"/>
          <w:kern w:val="2"/>
          <w:sz w:val="21"/>
          <w:lang w:eastAsia="zh-CN"/>
          <w14:textFill>
            <w14:solidFill>
              <w14:schemeClr w14:val="tx1"/>
            </w14:solidFill>
          </w14:textFill>
        </w:rPr>
        <w:t>项团体标准立项的通知》（鲁水协字</w:t>
      </w:r>
      <w:r>
        <w:rPr>
          <w:rFonts w:ascii="宋体" w:hAnsi="宋体" w:cs="Times New Roman"/>
          <w:snapToGrid/>
          <w:color w:val="000000" w:themeColor="text1"/>
          <w:spacing w:val="2"/>
          <w:kern w:val="2"/>
          <w:sz w:val="21"/>
          <w:lang w:eastAsia="zh-CN"/>
          <w14:textFill>
            <w14:solidFill>
              <w14:schemeClr w14:val="tx1"/>
            </w14:solidFill>
          </w14:textFill>
        </w:rPr>
        <w:t>[2024]12</w:t>
      </w:r>
      <w:r>
        <w:rPr>
          <w:rFonts w:hint="eastAsia" w:ascii="宋体" w:hAnsi="宋体" w:cs="Times New Roman"/>
          <w:snapToGrid/>
          <w:color w:val="000000" w:themeColor="text1"/>
          <w:spacing w:val="2"/>
          <w:kern w:val="2"/>
          <w:sz w:val="21"/>
          <w:lang w:eastAsia="zh-CN"/>
          <w14:textFill>
            <w14:solidFill>
              <w14:schemeClr w14:val="tx1"/>
            </w14:solidFill>
          </w14:textFill>
        </w:rPr>
        <w:t>号）的要求，规程编制组经广泛调查研究，认真总结实践经验，参考有关国内外标准，并在广泛征求意见的基础上，编制本规程。</w:t>
      </w:r>
    </w:p>
    <w:p>
      <w:pPr>
        <w:widowControl w:val="0"/>
        <w:kinsoku/>
        <w:autoSpaceDE/>
        <w:autoSpaceDN/>
        <w:adjustRightInd/>
        <w:snapToGrid/>
        <w:ind w:firstLine="428"/>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snapToGrid/>
          <w:color w:val="000000" w:themeColor="text1"/>
          <w:spacing w:val="2"/>
          <w:kern w:val="2"/>
          <w:sz w:val="21"/>
          <w:lang w:eastAsia="zh-CN"/>
          <w14:textFill>
            <w14:solidFill>
              <w14:schemeClr w14:val="tx1"/>
            </w14:solidFill>
          </w14:textFill>
        </w:rPr>
        <w:t>本标准共10章，主要内容包括：总则；术语和符号；设计；材料与设备；功能性修复与预处理；施工；管道功能性检验；验收；数字化；安全与环境保护。</w:t>
      </w:r>
    </w:p>
    <w:p>
      <w:pPr>
        <w:widowControl w:val="0"/>
        <w:kinsoku/>
        <w:autoSpaceDE/>
        <w:autoSpaceDN/>
        <w:adjustRightInd/>
        <w:snapToGrid/>
        <w:ind w:firstLine="428"/>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snapToGrid/>
          <w:color w:val="000000" w:themeColor="text1"/>
          <w:spacing w:val="2"/>
          <w:kern w:val="2"/>
          <w:sz w:val="21"/>
          <w:lang w:eastAsia="zh-CN"/>
          <w14:textFill>
            <w14:solidFill>
              <w14:schemeClr w14:val="tx1"/>
            </w14:solidFill>
          </w14:textFill>
        </w:rPr>
        <w:t>本标准编制单位承诺在该项标准中不侵犯他人专利。若标准中涉及到必不可少的专利，编制单位承诺确保专利权人或者专利申请人同意在公平、合理、无歧视基础上，免费许可任何组织或者个人在实施该标准时实施其专利。</w:t>
      </w:r>
    </w:p>
    <w:p>
      <w:pPr>
        <w:overflowPunct w:val="0"/>
        <w:ind w:firstLine="428"/>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snapToGrid/>
          <w:color w:val="000000" w:themeColor="text1"/>
          <w:spacing w:val="2"/>
          <w:kern w:val="2"/>
          <w:sz w:val="21"/>
          <w:lang w:eastAsia="zh-CN"/>
          <w14:textFill>
            <w14:solidFill>
              <w14:schemeClr w14:val="tx1"/>
            </w14:solidFill>
          </w14:textFill>
        </w:rPr>
        <w:t>本标准由山东省城镇供排水协会归口。</w:t>
      </w:r>
      <w:r>
        <w:rPr>
          <w:rFonts w:hint="eastAsia" w:ascii="宋体" w:hAnsi="宋体" w:cs="Times New Roman"/>
          <w:snapToGrid/>
          <w:color w:val="000000" w:themeColor="text1"/>
          <w:spacing w:val="2"/>
          <w:kern w:val="2"/>
          <w:sz w:val="21"/>
          <w:u w:val="single"/>
          <w:lang w:eastAsia="zh-CN"/>
          <w14:textFill>
            <w14:solidFill>
              <w14:schemeClr w14:val="tx1"/>
            </w14:solidFill>
          </w14:textFill>
        </w:rPr>
        <w:t xml:space="preserve">          </w:t>
      </w:r>
      <w:r>
        <w:rPr>
          <w:rFonts w:hint="eastAsia" w:ascii="宋体" w:hAnsi="宋体" w:cs="Times New Roman"/>
          <w:snapToGrid/>
          <w:color w:val="000000" w:themeColor="text1"/>
          <w:spacing w:val="2"/>
          <w:kern w:val="2"/>
          <w:sz w:val="21"/>
          <w:lang w:eastAsia="zh-CN"/>
          <w14:textFill>
            <w14:solidFill>
              <w14:schemeClr w14:val="tx1"/>
            </w14:solidFill>
          </w14:textFill>
        </w:rPr>
        <w:t>负责具体技术内容的解释。执行过程中如有意见或建议，请寄送至</w:t>
      </w:r>
      <w:r>
        <w:rPr>
          <w:rFonts w:hint="eastAsia" w:ascii="宋体" w:hAnsi="宋体" w:cs="Times New Roman"/>
          <w:snapToGrid/>
          <w:color w:val="000000" w:themeColor="text1"/>
          <w:spacing w:val="2"/>
          <w:kern w:val="2"/>
          <w:sz w:val="21"/>
          <w:u w:val="single"/>
          <w:lang w:eastAsia="zh-CN"/>
          <w14:textFill>
            <w14:solidFill>
              <w14:schemeClr w14:val="tx1"/>
            </w14:solidFill>
          </w14:textFill>
        </w:rPr>
        <w:t xml:space="preserve">           </w:t>
      </w:r>
      <w:r>
        <w:rPr>
          <w:rFonts w:hint="eastAsia" w:ascii="宋体" w:hAnsi="宋体" w:cs="Times New Roman"/>
          <w:snapToGrid/>
          <w:color w:val="000000" w:themeColor="text1"/>
          <w:spacing w:val="2"/>
          <w:kern w:val="2"/>
          <w:sz w:val="21"/>
          <w:lang w:eastAsia="zh-CN"/>
          <w14:textFill>
            <w14:solidFill>
              <w14:schemeClr w14:val="tx1"/>
            </w14:solidFill>
          </w14:textFill>
        </w:rPr>
        <w:t>（地址：</w:t>
      </w:r>
      <w:r>
        <w:rPr>
          <w:rFonts w:hint="eastAsia" w:ascii="宋体" w:hAnsi="宋体" w:cs="Times New Roman"/>
          <w:snapToGrid/>
          <w:color w:val="000000" w:themeColor="text1"/>
          <w:spacing w:val="2"/>
          <w:kern w:val="2"/>
          <w:sz w:val="21"/>
          <w:u w:val="single"/>
          <w:lang w:eastAsia="zh-CN"/>
          <w14:textFill>
            <w14:solidFill>
              <w14:schemeClr w14:val="tx1"/>
            </w14:solidFill>
          </w14:textFill>
        </w:rPr>
        <w:t xml:space="preserve">                        </w:t>
      </w:r>
      <w:r>
        <w:rPr>
          <w:rFonts w:hint="eastAsia" w:ascii="宋体" w:hAnsi="宋体" w:cs="Times New Roman"/>
          <w:snapToGrid/>
          <w:color w:val="000000" w:themeColor="text1"/>
          <w:spacing w:val="2"/>
          <w:kern w:val="2"/>
          <w:sz w:val="21"/>
          <w:lang w:eastAsia="zh-CN"/>
          <w14:textFill>
            <w14:solidFill>
              <w14:schemeClr w14:val="tx1"/>
            </w14:solidFill>
          </w14:textFill>
        </w:rPr>
        <w:t>）</w:t>
      </w:r>
    </w:p>
    <w:p>
      <w:pPr>
        <w:widowControl w:val="0"/>
        <w:kinsoku/>
        <w:autoSpaceDE/>
        <w:autoSpaceDN/>
        <w:adjustRightInd/>
        <w:snapToGrid/>
        <w:ind w:firstLine="430"/>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b/>
          <w:bCs/>
          <w:snapToGrid/>
          <w:color w:val="000000" w:themeColor="text1"/>
          <w:spacing w:val="2"/>
          <w:kern w:val="2"/>
          <w:sz w:val="21"/>
          <w:lang w:eastAsia="zh-CN"/>
          <w14:textFill>
            <w14:solidFill>
              <w14:schemeClr w14:val="tx1"/>
            </w14:solidFill>
          </w14:textFill>
        </w:rPr>
        <w:t>本标准主编单位：</w:t>
      </w:r>
      <w:bookmarkStart w:id="2" w:name="OLE_LINK42"/>
      <w:r>
        <w:rPr>
          <w:rFonts w:hint="eastAsia" w:ascii="宋体" w:hAnsi="宋体" w:cs="Times New Roman"/>
          <w:snapToGrid/>
          <w:color w:val="000000" w:themeColor="text1"/>
          <w:spacing w:val="2"/>
          <w:kern w:val="2"/>
          <w:sz w:val="21"/>
          <w:lang w:eastAsia="zh-CN"/>
          <w14:textFill>
            <w14:solidFill>
              <w14:schemeClr w14:val="tx1"/>
            </w14:solidFill>
          </w14:textFill>
        </w:rPr>
        <w:t>中建（济南）投资建设有限公司</w:t>
      </w:r>
    </w:p>
    <w:bookmarkEnd w:id="2"/>
    <w:p>
      <w:pPr>
        <w:widowControl w:val="0"/>
        <w:kinsoku/>
        <w:autoSpaceDE/>
        <w:autoSpaceDN/>
        <w:adjustRightInd/>
        <w:snapToGrid/>
        <w:ind w:left="1672" w:firstLine="428"/>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bookmarkStart w:id="463" w:name="_GoBack"/>
      <w:bookmarkEnd w:id="463"/>
      <w:r>
        <w:rPr>
          <w:rFonts w:hint="eastAsia" w:ascii="宋体" w:hAnsi="宋体" w:cs="Times New Roman"/>
          <w:snapToGrid/>
          <w:color w:val="000000" w:themeColor="text1"/>
          <w:spacing w:val="2"/>
          <w:kern w:val="2"/>
          <w:sz w:val="21"/>
          <w:lang w:eastAsia="zh-CN"/>
          <w14:textFill>
            <w14:solidFill>
              <w14:schemeClr w14:val="tx1"/>
            </w14:solidFill>
          </w14:textFill>
        </w:rPr>
        <w:t>天津科技大学</w:t>
      </w:r>
    </w:p>
    <w:p>
      <w:pPr>
        <w:widowControl w:val="0"/>
        <w:kinsoku/>
        <w:autoSpaceDE/>
        <w:autoSpaceDN/>
        <w:adjustRightInd/>
        <w:snapToGrid/>
        <w:ind w:firstLine="430"/>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b/>
          <w:bCs/>
          <w:snapToGrid/>
          <w:color w:val="000000" w:themeColor="text1"/>
          <w:spacing w:val="2"/>
          <w:kern w:val="2"/>
          <w:sz w:val="21"/>
          <w:lang w:eastAsia="zh-CN"/>
          <w14:textFill>
            <w14:solidFill>
              <w14:schemeClr w14:val="tx1"/>
            </w14:solidFill>
          </w14:textFill>
        </w:rPr>
        <w:t>本标准参编单位：</w:t>
      </w:r>
      <w:r>
        <w:rPr>
          <w:rFonts w:hint="eastAsia" w:ascii="宋体" w:hAnsi="宋体" w:cs="Times New Roman"/>
          <w:snapToGrid/>
          <w:color w:val="000000" w:themeColor="text1"/>
          <w:spacing w:val="2"/>
          <w:kern w:val="2"/>
          <w:sz w:val="21"/>
          <w:lang w:eastAsia="zh-CN"/>
          <w14:textFill>
            <w14:solidFill>
              <w14:schemeClr w14:val="tx1"/>
            </w14:solidFill>
          </w14:textFill>
        </w:rPr>
        <w:t>中建八局第一建设有限公司</w:t>
      </w:r>
    </w:p>
    <w:p>
      <w:pPr>
        <w:widowControl w:val="0"/>
        <w:kinsoku/>
        <w:autoSpaceDE/>
        <w:autoSpaceDN/>
        <w:adjustRightInd/>
        <w:snapToGrid/>
        <w:ind w:left="1680" w:firstLine="428"/>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snapToGrid/>
          <w:color w:val="000000" w:themeColor="text1"/>
          <w:spacing w:val="2"/>
          <w:kern w:val="2"/>
          <w:sz w:val="21"/>
          <w:lang w:eastAsia="zh-CN"/>
          <w14:textFill>
            <w14:solidFill>
              <w14:schemeClr w14:val="tx1"/>
            </w14:solidFill>
          </w14:textFill>
        </w:rPr>
        <w:t>中建八局第二建设有限公司</w:t>
      </w:r>
    </w:p>
    <w:p>
      <w:pPr>
        <w:widowControl w:val="0"/>
        <w:kinsoku/>
        <w:autoSpaceDE/>
        <w:autoSpaceDN/>
        <w:adjustRightInd/>
        <w:snapToGrid/>
        <w:ind w:left="1680" w:firstLine="428"/>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snapToGrid/>
          <w:color w:val="000000" w:themeColor="text1"/>
          <w:spacing w:val="2"/>
          <w:kern w:val="2"/>
          <w:sz w:val="21"/>
          <w:lang w:eastAsia="zh-CN"/>
          <w14:textFill>
            <w14:solidFill>
              <w14:schemeClr w14:val="tx1"/>
            </w14:solidFill>
          </w14:textFill>
        </w:rPr>
        <w:t>中国建设基础设施有限公司</w:t>
      </w:r>
    </w:p>
    <w:p>
      <w:pPr>
        <w:widowControl w:val="0"/>
        <w:kinsoku/>
        <w:autoSpaceDE/>
        <w:autoSpaceDN/>
        <w:adjustRightInd/>
        <w:snapToGrid/>
        <w:ind w:left="1680" w:firstLine="428"/>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snapToGrid/>
          <w:color w:val="000000" w:themeColor="text1"/>
          <w:spacing w:val="2"/>
          <w:kern w:val="2"/>
          <w:sz w:val="21"/>
          <w:lang w:eastAsia="zh-CN"/>
          <w14:textFill>
            <w14:solidFill>
              <w14:schemeClr w14:val="tx1"/>
            </w14:solidFill>
          </w14:textFill>
        </w:rPr>
        <w:t>济南城投排水集团有限公司</w:t>
      </w:r>
    </w:p>
    <w:p>
      <w:pPr>
        <w:widowControl w:val="0"/>
        <w:kinsoku/>
        <w:autoSpaceDE/>
        <w:autoSpaceDN/>
        <w:adjustRightInd/>
        <w:snapToGrid/>
        <w:ind w:left="1680" w:firstLine="428"/>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snapToGrid/>
          <w:color w:val="000000" w:themeColor="text1"/>
          <w:spacing w:val="2"/>
          <w:kern w:val="2"/>
          <w:sz w:val="21"/>
          <w:lang w:eastAsia="zh-CN"/>
          <w14:textFill>
            <w14:solidFill>
              <w14:schemeClr w14:val="tx1"/>
            </w14:solidFill>
          </w14:textFill>
        </w:rPr>
        <w:t>济南市市政工程设计研究院（集团）有限责任公司</w:t>
      </w:r>
    </w:p>
    <w:p>
      <w:pPr>
        <w:widowControl w:val="0"/>
        <w:kinsoku/>
        <w:autoSpaceDE/>
        <w:autoSpaceDN/>
        <w:adjustRightInd/>
        <w:snapToGrid/>
        <w:ind w:left="1680" w:firstLine="428"/>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snapToGrid/>
          <w:color w:val="000000" w:themeColor="text1"/>
          <w:spacing w:val="2"/>
          <w:kern w:val="2"/>
          <w:sz w:val="21"/>
          <w:lang w:eastAsia="zh-CN"/>
          <w14:textFill>
            <w14:solidFill>
              <w14:schemeClr w14:val="tx1"/>
            </w14:solidFill>
          </w14:textFill>
        </w:rPr>
        <w:t>浙江优为新材料有限公司</w:t>
      </w:r>
    </w:p>
    <w:p>
      <w:pPr>
        <w:widowControl w:val="0"/>
        <w:kinsoku/>
        <w:autoSpaceDE/>
        <w:autoSpaceDN/>
        <w:adjustRightInd/>
        <w:snapToGrid/>
        <w:ind w:left="1680" w:firstLine="428"/>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snapToGrid/>
          <w:color w:val="000000" w:themeColor="text1"/>
          <w:spacing w:val="2"/>
          <w:kern w:val="2"/>
          <w:sz w:val="21"/>
          <w:lang w:eastAsia="zh-CN"/>
          <w14:textFill>
            <w14:solidFill>
              <w14:schemeClr w14:val="tx1"/>
            </w14:solidFill>
          </w14:textFill>
        </w:rPr>
        <w:t>山东积高环境工程有限公司</w:t>
      </w:r>
    </w:p>
    <w:p>
      <w:pPr>
        <w:widowControl w:val="0"/>
        <w:kinsoku/>
        <w:autoSpaceDE/>
        <w:autoSpaceDN/>
        <w:adjustRightInd/>
        <w:snapToGrid/>
        <w:ind w:left="1680" w:firstLine="428"/>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snapToGrid/>
          <w:color w:val="000000" w:themeColor="text1"/>
          <w:spacing w:val="2"/>
          <w:kern w:val="2"/>
          <w:sz w:val="21"/>
          <w:lang w:eastAsia="zh-CN"/>
          <w14:textFill>
            <w14:solidFill>
              <w14:schemeClr w14:val="tx1"/>
            </w14:solidFill>
          </w14:textFill>
        </w:rPr>
        <w:t>杰瑞高科（广东）有限公司</w:t>
      </w:r>
    </w:p>
    <w:p>
      <w:pPr>
        <w:widowControl w:val="0"/>
        <w:kinsoku/>
        <w:autoSpaceDE/>
        <w:autoSpaceDN/>
        <w:adjustRightInd/>
        <w:snapToGrid/>
        <w:ind w:left="1680" w:firstLine="428"/>
        <w:textAlignment w:val="auto"/>
        <w:rPr>
          <w:rFonts w:hint="eastAsia" w:ascii="宋体" w:hAnsi="宋体" w:cs="Times New Roman"/>
          <w:snapToGrid/>
          <w:color w:val="000000" w:themeColor="text1"/>
          <w:spacing w:val="2"/>
          <w:kern w:val="2"/>
          <w:sz w:val="21"/>
          <w:lang w:eastAsia="zh-CN"/>
          <w14:textFill>
            <w14:solidFill>
              <w14:schemeClr w14:val="tx1"/>
            </w14:solidFill>
          </w14:textFill>
        </w:rPr>
      </w:pPr>
      <w:r>
        <w:rPr>
          <w:rFonts w:hint="eastAsia" w:ascii="宋体" w:hAnsi="宋体" w:cs="Times New Roman"/>
          <w:snapToGrid/>
          <w:color w:val="000000" w:themeColor="text1"/>
          <w:spacing w:val="2"/>
          <w:kern w:val="2"/>
          <w:sz w:val="21"/>
          <w:lang w:eastAsia="zh-CN"/>
          <w14:textFill>
            <w14:solidFill>
              <w14:schemeClr w14:val="tx1"/>
            </w14:solidFill>
          </w14:textFill>
        </w:rPr>
        <w:t>天津倚通科技发展有限公司</w:t>
      </w:r>
    </w:p>
    <w:p>
      <w:pPr>
        <w:widowControl w:val="0"/>
        <w:kinsoku/>
        <w:autoSpaceDE/>
        <w:autoSpaceDN/>
        <w:adjustRightInd/>
        <w:snapToGrid/>
        <w:ind w:firstLine="430"/>
        <w:textAlignment w:val="auto"/>
        <w:rPr>
          <w:rFonts w:hint="eastAsia" w:ascii="宋体" w:hAnsi="宋体" w:cs="Times New Roman"/>
          <w:b/>
          <w:bCs/>
          <w:snapToGrid/>
          <w:color w:val="000000" w:themeColor="text1"/>
          <w:spacing w:val="2"/>
          <w:kern w:val="2"/>
          <w:sz w:val="21"/>
          <w:lang w:eastAsia="zh-CN"/>
          <w14:textFill>
            <w14:solidFill>
              <w14:schemeClr w14:val="tx1"/>
            </w14:solidFill>
          </w14:textFill>
        </w:rPr>
      </w:pPr>
      <w:r>
        <w:rPr>
          <w:rFonts w:hint="eastAsia" w:ascii="宋体" w:hAnsi="宋体" w:cs="Times New Roman"/>
          <w:b/>
          <w:bCs/>
          <w:snapToGrid/>
          <w:color w:val="000000" w:themeColor="text1"/>
          <w:spacing w:val="2"/>
          <w:kern w:val="2"/>
          <w:sz w:val="21"/>
          <w:lang w:eastAsia="zh-CN"/>
          <w14:textFill>
            <w14:solidFill>
              <w14:schemeClr w14:val="tx1"/>
            </w14:solidFill>
          </w14:textFill>
        </w:rPr>
        <w:t>本标准主要起草人：</w:t>
      </w:r>
    </w:p>
    <w:p>
      <w:pPr>
        <w:widowControl w:val="0"/>
        <w:kinsoku/>
        <w:autoSpaceDE/>
        <w:autoSpaceDN/>
        <w:adjustRightInd/>
        <w:snapToGrid/>
        <w:ind w:firstLine="430"/>
        <w:textAlignment w:val="auto"/>
        <w:rPr>
          <w:rFonts w:hint="eastAsia" w:ascii="宋体" w:hAnsi="宋体" w:cs="Times New Roman"/>
          <w:b/>
          <w:bCs/>
          <w:snapToGrid/>
          <w:color w:val="000000" w:themeColor="text1"/>
          <w:spacing w:val="2"/>
          <w:kern w:val="2"/>
          <w:sz w:val="21"/>
          <w:lang w:eastAsia="zh-CN"/>
          <w14:textFill>
            <w14:solidFill>
              <w14:schemeClr w14:val="tx1"/>
            </w14:solidFill>
          </w14:textFill>
        </w:rPr>
      </w:pPr>
      <w:r>
        <w:rPr>
          <w:rFonts w:hint="eastAsia" w:ascii="宋体" w:hAnsi="宋体" w:cs="Times New Roman"/>
          <w:b/>
          <w:bCs/>
          <w:snapToGrid/>
          <w:color w:val="000000" w:themeColor="text1"/>
          <w:spacing w:val="2"/>
          <w:kern w:val="2"/>
          <w:sz w:val="21"/>
          <w:lang w:eastAsia="zh-CN"/>
          <w14:textFill>
            <w14:solidFill>
              <w14:schemeClr w14:val="tx1"/>
            </w14:solidFill>
          </w14:textFill>
        </w:rPr>
        <w:t>本标准主要审查人：</w:t>
      </w:r>
    </w:p>
    <w:p>
      <w:pPr>
        <w:widowControl w:val="0"/>
        <w:kinsoku/>
        <w:autoSpaceDE/>
        <w:autoSpaceDN/>
        <w:adjustRightInd/>
        <w:snapToGrid/>
        <w:spacing w:line="360" w:lineRule="exact"/>
        <w:ind w:right="181" w:firstLine="0" w:firstLineChars="0"/>
        <w:textAlignment w:val="auto"/>
        <w:rPr>
          <w:rFonts w:eastAsia="华文中宋" w:cs="Times New Roman"/>
          <w:b/>
          <w:snapToGrid/>
          <w:color w:val="000000" w:themeColor="text1"/>
          <w:spacing w:val="2"/>
          <w:kern w:val="2"/>
          <w:sz w:val="21"/>
          <w:lang w:eastAsia="zh-CN"/>
          <w14:textFill>
            <w14:solidFill>
              <w14:schemeClr w14:val="tx1"/>
            </w14:solidFill>
          </w14:textFill>
        </w:rPr>
      </w:pPr>
    </w:p>
    <w:p>
      <w:pPr>
        <w:widowControl w:val="0"/>
        <w:kinsoku/>
        <w:autoSpaceDE/>
        <w:autoSpaceDN/>
        <w:adjustRightInd/>
        <w:snapToGrid/>
        <w:spacing w:line="360" w:lineRule="exact"/>
        <w:ind w:right="181" w:firstLine="0" w:firstLineChars="0"/>
        <w:textAlignment w:val="auto"/>
        <w:rPr>
          <w:rFonts w:eastAsia="华文中宋" w:cs="Times New Roman"/>
          <w:b/>
          <w:snapToGrid/>
          <w:color w:val="000000" w:themeColor="text1"/>
          <w:spacing w:val="2"/>
          <w:kern w:val="2"/>
          <w:sz w:val="21"/>
          <w:lang w:eastAsia="zh-CN"/>
          <w14:textFill>
            <w14:solidFill>
              <w14:schemeClr w14:val="tx1"/>
            </w14:solidFill>
          </w14:textFill>
        </w:rPr>
      </w:pPr>
    </w:p>
    <w:p>
      <w:pPr>
        <w:widowControl w:val="0"/>
        <w:kinsoku/>
        <w:autoSpaceDE/>
        <w:autoSpaceDN/>
        <w:adjustRightInd/>
        <w:snapToGrid/>
        <w:spacing w:line="360" w:lineRule="exact"/>
        <w:ind w:right="181" w:firstLine="0" w:firstLineChars="0"/>
        <w:textAlignment w:val="auto"/>
        <w:rPr>
          <w:rFonts w:eastAsia="华文中宋" w:cs="Times New Roman"/>
          <w:b/>
          <w:snapToGrid/>
          <w:color w:val="000000" w:themeColor="text1"/>
          <w:spacing w:val="2"/>
          <w:kern w:val="2"/>
          <w:sz w:val="21"/>
          <w:lang w:eastAsia="zh-CN"/>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upperRoman"/>
          <w:cols w:space="425" w:num="1"/>
          <w:docGrid w:type="lines" w:linePitch="312" w:charSpace="0"/>
        </w:sectPr>
      </w:pPr>
    </w:p>
    <w:sdt>
      <w:sdtPr>
        <w:rPr>
          <w:rFonts w:cs="Times New Roman"/>
          <w:color w:val="000000" w:themeColor="text1"/>
          <w:sz w:val="21"/>
          <w14:textFill>
            <w14:solidFill>
              <w14:schemeClr w14:val="tx1"/>
            </w14:solidFill>
          </w14:textFill>
        </w:rPr>
        <w:id w:val="147478109"/>
        <w15:color w:val="DBDBDB"/>
        <w:docPartObj>
          <w:docPartGallery w:val="Table of Contents"/>
          <w:docPartUnique/>
        </w:docPartObj>
      </w:sdtPr>
      <w:sdtEndPr>
        <w:rPr>
          <w:rFonts w:cs="Times New Roman"/>
          <w:color w:val="000000" w:themeColor="text1"/>
          <w:sz w:val="21"/>
          <w14:textFill>
            <w14:solidFill>
              <w14:schemeClr w14:val="tx1"/>
            </w14:solidFill>
          </w14:textFill>
        </w:rPr>
      </w:sdtEndPr>
      <w:sdtContent>
        <w:p>
          <w:pPr>
            <w:ind w:firstLine="420"/>
            <w:jc w:val="center"/>
            <w:rPr>
              <w:rFonts w:hint="eastAsia" w:ascii="黑体" w:hAnsi="黑体" w:eastAsia="黑体" w:cs="Times New Roman"/>
              <w:color w:val="000000" w:themeColor="text1"/>
              <w:sz w:val="36"/>
              <w:szCs w:val="36"/>
              <w:lang w:eastAsia="zh-CN"/>
              <w14:textFill>
                <w14:solidFill>
                  <w14:schemeClr w14:val="tx1"/>
                </w14:solidFill>
              </w14:textFill>
            </w:rPr>
          </w:pPr>
          <w:r>
            <w:rPr>
              <w:rFonts w:ascii="黑体" w:hAnsi="黑体" w:eastAsia="黑体" w:cs="Times New Roman"/>
              <w:color w:val="000000" w:themeColor="text1"/>
              <w:sz w:val="36"/>
              <w:szCs w:val="36"/>
              <w:lang w:eastAsia="zh-CN"/>
              <w14:textFill>
                <w14:solidFill>
                  <w14:schemeClr w14:val="tx1"/>
                </w14:solidFill>
              </w14:textFill>
            </w:rPr>
            <w:t xml:space="preserve">目 </w:t>
          </w:r>
          <w:r>
            <w:rPr>
              <w:rFonts w:hint="eastAsia" w:ascii="黑体" w:hAnsi="黑体" w:eastAsia="黑体" w:cs="Times New Roman"/>
              <w:color w:val="000000" w:themeColor="text1"/>
              <w:sz w:val="36"/>
              <w:szCs w:val="36"/>
              <w:lang w:eastAsia="zh-CN"/>
              <w14:textFill>
                <w14:solidFill>
                  <w14:schemeClr w14:val="tx1"/>
                </w14:solidFill>
              </w14:textFill>
            </w:rPr>
            <w:t>次</w:t>
          </w:r>
        </w:p>
        <w:p>
          <w:pPr>
            <w:pStyle w:val="12"/>
            <w:tabs>
              <w:tab w:val="right" w:leader="dot" w:pos="8296"/>
            </w:tabs>
            <w:ind w:firstLine="420"/>
            <w:rPr>
              <w:rFonts w:asciiTheme="minorHAnsi" w:hAnsiTheme="minorHAnsi" w:eastAsiaTheme="minorEastAsia" w:cstheme="minorBidi"/>
              <w:snapToGrid/>
              <w:color w:val="auto"/>
              <w:kern w:val="2"/>
              <w:sz w:val="22"/>
              <w:szCs w:val="24"/>
              <w:lang w:eastAsia="zh-CN"/>
              <w14:ligatures w14:val="standardContextual"/>
            </w:rPr>
          </w:pPr>
          <w:r>
            <w:rPr>
              <w:rFonts w:cs="Times New Roman" w:asciiTheme="minorEastAsia" w:hAnsiTheme="minorEastAsia" w:eastAsiaTheme="minorEastAsia"/>
              <w:snapToGrid/>
              <w:color w:val="000000" w:themeColor="text1"/>
              <w:sz w:val="21"/>
              <w:lang w:eastAsia="zh-CN"/>
              <w14:textFill>
                <w14:solidFill>
                  <w14:schemeClr w14:val="tx1"/>
                </w14:solidFill>
              </w14:textFill>
            </w:rPr>
            <w:fldChar w:fldCharType="begin"/>
          </w:r>
          <w:r>
            <w:rPr>
              <w:rFonts w:cs="Times New Roman" w:asciiTheme="minorEastAsia" w:hAnsiTheme="minorEastAsia" w:eastAsiaTheme="minorEastAsia"/>
              <w:color w:val="000000" w:themeColor="text1"/>
              <w:sz w:val="21"/>
              <w14:textFill>
                <w14:solidFill>
                  <w14:schemeClr w14:val="tx1"/>
                </w14:solidFill>
              </w14:textFill>
            </w:rPr>
            <w:instrText xml:space="preserve">TOC \o "1-2" \h \u </w:instrText>
          </w:r>
          <w:r>
            <w:rPr>
              <w:rFonts w:cs="Times New Roman" w:asciiTheme="minorEastAsia" w:hAnsiTheme="minorEastAsia" w:eastAsiaTheme="minorEastAsia"/>
              <w:snapToGrid/>
              <w:color w:val="000000" w:themeColor="text1"/>
              <w:sz w:val="21"/>
              <w:lang w:eastAsia="zh-CN"/>
              <w14:textFill>
                <w14:solidFill>
                  <w14:schemeClr w14:val="tx1"/>
                </w14:solidFill>
              </w14:textFill>
            </w:rPr>
            <w:fldChar w:fldCharType="separate"/>
          </w:r>
          <w:r>
            <w:fldChar w:fldCharType="begin"/>
          </w:r>
          <w:r>
            <w:instrText xml:space="preserve"> HYPERLINK \l "_Toc196915192" </w:instrText>
          </w:r>
          <w:r>
            <w:fldChar w:fldCharType="separate"/>
          </w:r>
          <w:r>
            <w:rPr>
              <w:rStyle w:val="19"/>
              <w:rFonts w:hint="eastAsia" w:eastAsia="黑体" w:cs="Times New Roman"/>
              <w:lang w:eastAsia="zh-CN"/>
            </w:rPr>
            <w:t>1 总  则</w:t>
          </w:r>
          <w:r>
            <w:rPr>
              <w:rFonts w:hint="eastAsia"/>
            </w:rPr>
            <w:tab/>
          </w:r>
          <w:r>
            <w:rPr>
              <w:rFonts w:hint="eastAsia"/>
            </w:rPr>
            <w:fldChar w:fldCharType="begin"/>
          </w:r>
          <w:r>
            <w:rPr>
              <w:rFonts w:hint="eastAsia"/>
            </w:rPr>
            <w:instrText xml:space="preserve"> </w:instrText>
          </w:r>
          <w:r>
            <w:instrText xml:space="preserve">PAGEREF _Toc196915192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"_Toc196915193" </w:instrText>
          </w:r>
          <w:r>
            <w:fldChar w:fldCharType="separate"/>
          </w:r>
          <w:r>
            <w:rPr>
              <w:rStyle w:val="19"/>
              <w:rFonts w:hint="eastAsia" w:eastAsia="黑体" w:cs="Times New Roman"/>
              <w:lang w:eastAsia="zh-CN"/>
            </w:rPr>
            <w:t>2 术语和符号</w:t>
          </w:r>
          <w:r>
            <w:rPr>
              <w:rFonts w:hint="eastAsia"/>
            </w:rPr>
            <w:tab/>
          </w:r>
          <w:r>
            <w:rPr>
              <w:rFonts w:hint="eastAsia"/>
            </w:rPr>
            <w:fldChar w:fldCharType="begin"/>
          </w:r>
          <w:r>
            <w:rPr>
              <w:rFonts w:hint="eastAsia"/>
            </w:rPr>
            <w:instrText xml:space="preserve"> </w:instrText>
          </w:r>
          <w:r>
            <w:instrText xml:space="preserve">PAGEREF _Toc196915193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"_Toc196915194" </w:instrText>
          </w:r>
          <w:r>
            <w:fldChar w:fldCharType="separate"/>
          </w:r>
          <w:r>
            <w:rPr>
              <w:rStyle w:val="19"/>
              <w:rFonts w:hint="eastAsia"/>
            </w:rPr>
            <w:t>2.1 术 语</w:t>
          </w:r>
          <w:r>
            <w:rPr>
              <w:rFonts w:hint="eastAsia"/>
            </w:rPr>
            <w:tab/>
          </w:r>
          <w:r>
            <w:rPr>
              <w:rFonts w:hint="eastAsia"/>
            </w:rPr>
            <w:fldChar w:fldCharType="begin"/>
          </w:r>
          <w:r>
            <w:rPr>
              <w:rFonts w:hint="eastAsia"/>
            </w:rPr>
            <w:instrText xml:space="preserve"> </w:instrText>
          </w:r>
          <w:r>
            <w:instrText xml:space="preserve">PAGEREF _Toc196915194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"_Toc196915195" </w:instrText>
          </w:r>
          <w:r>
            <w:fldChar w:fldCharType="separate"/>
          </w:r>
          <w:r>
            <w:rPr>
              <w:rStyle w:val="19"/>
              <w:rFonts w:hint="eastAsia"/>
            </w:rPr>
            <w:t>2.2 符 号</w:t>
          </w:r>
          <w:r>
            <w:rPr>
              <w:rFonts w:hint="eastAsia"/>
            </w:rPr>
            <w:tab/>
          </w:r>
          <w:r>
            <w:rPr>
              <w:rFonts w:hint="eastAsia"/>
            </w:rPr>
            <w:fldChar w:fldCharType="begin"/>
          </w:r>
          <w:r>
            <w:rPr>
              <w:rFonts w:hint="eastAsia"/>
            </w:rPr>
            <w:instrText xml:space="preserve"> </w:instrText>
          </w:r>
          <w:r>
            <w:instrText xml:space="preserve">PAGEREF _Toc196915195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"_Toc196915196" </w:instrText>
          </w:r>
          <w:r>
            <w:fldChar w:fldCharType="separate"/>
          </w:r>
          <w:r>
            <w:rPr>
              <w:rStyle w:val="19"/>
              <w:rFonts w:hint="eastAsia" w:eastAsia="黑体" w:cs="Times New Roman"/>
              <w:lang w:eastAsia="zh-CN"/>
            </w:rPr>
            <w:t>3 设 计</w:t>
          </w:r>
          <w:r>
            <w:rPr>
              <w:rFonts w:hint="eastAsia"/>
            </w:rPr>
            <w:tab/>
          </w:r>
          <w:r>
            <w:rPr>
              <w:rFonts w:hint="eastAsia"/>
            </w:rPr>
            <w:fldChar w:fldCharType="begin"/>
          </w:r>
          <w:r>
            <w:rPr>
              <w:rFonts w:hint="eastAsia"/>
            </w:rPr>
            <w:instrText xml:space="preserve"> </w:instrText>
          </w:r>
          <w:r>
            <w:instrText xml:space="preserve">PAGEREF _Toc196915196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"_Toc196915197" </w:instrText>
          </w:r>
          <w:r>
            <w:fldChar w:fldCharType="separate"/>
          </w:r>
          <w:r>
            <w:rPr>
              <w:rStyle w:val="19"/>
              <w:rFonts w:hint="eastAsia"/>
            </w:rPr>
            <w:t>3.1 一般规定</w:t>
          </w:r>
          <w:r>
            <w:rPr>
              <w:rFonts w:hint="eastAsia"/>
            </w:rPr>
            <w:tab/>
          </w:r>
          <w:r>
            <w:rPr>
              <w:rFonts w:hint="eastAsia"/>
            </w:rPr>
            <w:fldChar w:fldCharType="begin"/>
          </w:r>
          <w:r>
            <w:rPr>
              <w:rFonts w:hint="eastAsia"/>
            </w:rPr>
            <w:instrText xml:space="preserve"> </w:instrText>
          </w:r>
          <w:r>
            <w:instrText xml:space="preserve">PAGEREF _Toc196915197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"_Toc196915198" </w:instrText>
          </w:r>
          <w:r>
            <w:fldChar w:fldCharType="separate"/>
          </w:r>
          <w:r>
            <w:rPr>
              <w:rStyle w:val="19"/>
              <w:rFonts w:hint="eastAsia"/>
            </w:rPr>
            <w:t>3.2 修复方法选择</w:t>
          </w:r>
          <w:r>
            <w:rPr>
              <w:rFonts w:hint="eastAsia"/>
            </w:rPr>
            <w:tab/>
          </w:r>
          <w:r>
            <w:rPr>
              <w:rFonts w:hint="eastAsia"/>
            </w:rPr>
            <w:fldChar w:fldCharType="begin"/>
          </w:r>
          <w:r>
            <w:rPr>
              <w:rFonts w:hint="eastAsia"/>
            </w:rPr>
            <w:instrText xml:space="preserve"> </w:instrText>
          </w:r>
          <w:r>
            <w:instrText xml:space="preserve">PAGEREF _Toc196915198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"_Toc196915199" </w:instrText>
          </w:r>
          <w:r>
            <w:fldChar w:fldCharType="separate"/>
          </w:r>
          <w:r>
            <w:rPr>
              <w:rStyle w:val="19"/>
              <w:rFonts w:hint="eastAsia"/>
            </w:rPr>
            <w:t>3.3 内衬管壁厚设计</w:t>
          </w:r>
          <w:r>
            <w:rPr>
              <w:rFonts w:hint="eastAsia"/>
            </w:rPr>
            <w:tab/>
          </w:r>
          <w:r>
            <w:rPr>
              <w:rFonts w:hint="eastAsia"/>
            </w:rPr>
            <w:fldChar w:fldCharType="begin"/>
          </w:r>
          <w:r>
            <w:rPr>
              <w:rFonts w:hint="eastAsia"/>
            </w:rPr>
            <w:instrText xml:space="preserve"> </w:instrText>
          </w:r>
          <w:r>
            <w:instrText xml:space="preserve">PAGEREF _Toc196915199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"_Toc196915200" </w:instrText>
          </w:r>
          <w:r>
            <w:fldChar w:fldCharType="separate"/>
          </w:r>
          <w:r>
            <w:rPr>
              <w:rStyle w:val="19"/>
              <w:rFonts w:hint="eastAsia"/>
            </w:rPr>
            <w:t>3.4 喷涂厚度设计</w:t>
          </w:r>
          <w:r>
            <w:rPr>
              <w:rFonts w:hint="eastAsia"/>
            </w:rPr>
            <w:tab/>
          </w:r>
          <w:r>
            <w:rPr>
              <w:rFonts w:hint="eastAsia"/>
            </w:rPr>
            <w:fldChar w:fldCharType="begin"/>
          </w:r>
          <w:r>
            <w:rPr>
              <w:rFonts w:hint="eastAsia"/>
            </w:rPr>
            <w:instrText xml:space="preserve"> </w:instrText>
          </w:r>
          <w:r>
            <w:instrText xml:space="preserve">PAGEREF _Toc196915200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"_Toc196915201" </w:instrText>
          </w:r>
          <w:r>
            <w:fldChar w:fldCharType="separate"/>
          </w:r>
          <w:r>
            <w:rPr>
              <w:rStyle w:val="19"/>
              <w:rFonts w:hint="eastAsia"/>
            </w:rPr>
            <w:t>3.5 水力设计</w:t>
          </w:r>
          <w:r>
            <w:rPr>
              <w:rFonts w:hint="eastAsia"/>
            </w:rPr>
            <w:tab/>
          </w:r>
          <w:r>
            <w:rPr>
              <w:rFonts w:hint="eastAsia"/>
            </w:rPr>
            <w:fldChar w:fldCharType="begin"/>
          </w:r>
          <w:r>
            <w:rPr>
              <w:rFonts w:hint="eastAsia"/>
            </w:rPr>
            <w:instrText xml:space="preserve"> </w:instrText>
          </w:r>
          <w:r>
            <w:instrText xml:space="preserve">PAGEREF _Toc196915201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"_Toc196915202" </w:instrText>
          </w:r>
          <w:r>
            <w:fldChar w:fldCharType="separate"/>
          </w:r>
          <w:r>
            <w:rPr>
              <w:rStyle w:val="19"/>
              <w:rFonts w:hint="eastAsia" w:eastAsia="黑体" w:cs="Times New Roman"/>
              <w:lang w:eastAsia="zh-CN"/>
            </w:rPr>
            <w:t>4 材料与设备</w:t>
          </w:r>
          <w:r>
            <w:rPr>
              <w:rFonts w:hint="eastAsia"/>
            </w:rPr>
            <w:tab/>
          </w:r>
          <w:r>
            <w:rPr>
              <w:rFonts w:hint="eastAsia"/>
            </w:rPr>
            <w:fldChar w:fldCharType="begin"/>
          </w:r>
          <w:r>
            <w:rPr>
              <w:rFonts w:hint="eastAsia"/>
            </w:rPr>
            <w:instrText xml:space="preserve"> </w:instrText>
          </w:r>
          <w:r>
            <w:instrText xml:space="preserve">PAGEREF _Toc196915202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"_Toc196915203" </w:instrText>
          </w:r>
          <w:r>
            <w:fldChar w:fldCharType="separate"/>
          </w:r>
          <w:r>
            <w:rPr>
              <w:rStyle w:val="19"/>
              <w:rFonts w:hint="eastAsia"/>
            </w:rPr>
            <w:t>4.1 一般规定</w:t>
          </w:r>
          <w:r>
            <w:rPr>
              <w:rFonts w:hint="eastAsia"/>
            </w:rPr>
            <w:tab/>
          </w:r>
          <w:r>
            <w:rPr>
              <w:rFonts w:hint="eastAsia"/>
            </w:rPr>
            <w:fldChar w:fldCharType="begin"/>
          </w:r>
          <w:r>
            <w:rPr>
              <w:rFonts w:hint="eastAsia"/>
            </w:rPr>
            <w:instrText xml:space="preserve"> </w:instrText>
          </w:r>
          <w:r>
            <w:instrText xml:space="preserve">PAGEREF _Toc196915203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"_Toc196915204" </w:instrText>
          </w:r>
          <w:r>
            <w:fldChar w:fldCharType="separate"/>
          </w:r>
          <w:r>
            <w:rPr>
              <w:rStyle w:val="19"/>
              <w:rFonts w:hint="eastAsia"/>
            </w:rPr>
            <w:t>4.2 预处理材料</w:t>
          </w:r>
          <w:r>
            <w:rPr>
              <w:rFonts w:hint="eastAsia"/>
            </w:rPr>
            <w:tab/>
          </w:r>
          <w:r>
            <w:rPr>
              <w:rFonts w:hint="eastAsia"/>
            </w:rPr>
            <w:fldChar w:fldCharType="begin"/>
          </w:r>
          <w:r>
            <w:rPr>
              <w:rFonts w:hint="eastAsia"/>
            </w:rPr>
            <w:instrText xml:space="preserve"> </w:instrText>
          </w:r>
          <w:r>
            <w:instrText xml:space="preserve">PAGEREF _Toc196915204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"_Toc196915205" </w:instrText>
          </w:r>
          <w:r>
            <w:fldChar w:fldCharType="separate"/>
          </w:r>
          <w:r>
            <w:rPr>
              <w:rStyle w:val="19"/>
              <w:rFonts w:hint="eastAsia"/>
            </w:rPr>
            <w:t>4.3 紫外光原位固化法</w:t>
          </w:r>
          <w:r>
            <w:rPr>
              <w:rFonts w:hint="eastAsia"/>
            </w:rPr>
            <w:tab/>
          </w:r>
          <w:r>
            <w:rPr>
              <w:rFonts w:hint="eastAsia"/>
            </w:rPr>
            <w:fldChar w:fldCharType="begin"/>
          </w:r>
          <w:r>
            <w:rPr>
              <w:rFonts w:hint="eastAsia"/>
            </w:rPr>
            <w:instrText xml:space="preserve"> </w:instrText>
          </w:r>
          <w:r>
            <w:instrText xml:space="preserve">PAGEREF _Toc196915205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"_Toc196915206" </w:instrText>
          </w:r>
          <w:r>
            <w:fldChar w:fldCharType="separate"/>
          </w:r>
          <w:r>
            <w:rPr>
              <w:rStyle w:val="19"/>
              <w:rFonts w:hint="eastAsia"/>
            </w:rPr>
            <w:t>4.4 翻转式原位固化法</w:t>
          </w:r>
          <w:r>
            <w:rPr>
              <w:rFonts w:hint="eastAsia"/>
            </w:rPr>
            <w:tab/>
          </w:r>
          <w:r>
            <w:rPr>
              <w:rFonts w:hint="eastAsia"/>
            </w:rPr>
            <w:fldChar w:fldCharType="begin"/>
          </w:r>
          <w:r>
            <w:rPr>
              <w:rFonts w:hint="eastAsia"/>
            </w:rPr>
            <w:instrText xml:space="preserve"> </w:instrText>
          </w:r>
          <w:r>
            <w:instrText xml:space="preserve">PAGEREF _Toc196915206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"_Toc196915207" </w:instrText>
          </w:r>
          <w:r>
            <w:fldChar w:fldCharType="separate"/>
          </w:r>
          <w:r>
            <w:rPr>
              <w:rStyle w:val="19"/>
              <w:rFonts w:hint="eastAsia"/>
            </w:rPr>
            <w:t>4.5 原位热塑成型法</w:t>
          </w:r>
          <w:r>
            <w:rPr>
              <w:rFonts w:hint="eastAsia"/>
            </w:rPr>
            <w:tab/>
          </w:r>
          <w:r>
            <w:rPr>
              <w:rFonts w:hint="eastAsia"/>
            </w:rPr>
            <w:fldChar w:fldCharType="begin"/>
          </w:r>
          <w:r>
            <w:rPr>
              <w:rFonts w:hint="eastAsia"/>
            </w:rPr>
            <w:instrText xml:space="preserve"> </w:instrText>
          </w:r>
          <w:r>
            <w:instrText xml:space="preserve">PAGEREF _Toc196915207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"_Toc196915208" </w:instrText>
          </w:r>
          <w:r>
            <w:fldChar w:fldCharType="separate"/>
          </w:r>
          <w:r>
            <w:rPr>
              <w:rStyle w:val="19"/>
              <w:rFonts w:hint="eastAsia"/>
            </w:rPr>
            <w:t>4.6 螺旋缠绕内衬法</w:t>
          </w:r>
          <w:r>
            <w:rPr>
              <w:rFonts w:hint="eastAsia"/>
            </w:rPr>
            <w:tab/>
          </w:r>
          <w:r>
            <w:rPr>
              <w:rFonts w:hint="eastAsia"/>
            </w:rPr>
            <w:fldChar w:fldCharType="begin"/>
          </w:r>
          <w:r>
            <w:rPr>
              <w:rFonts w:hint="eastAsia"/>
            </w:rPr>
            <w:instrText xml:space="preserve"> </w:instrText>
          </w:r>
          <w:r>
            <w:instrText xml:space="preserve">PAGEREF _Toc196915208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"_Toc196915209" </w:instrText>
          </w:r>
          <w:r>
            <w:fldChar w:fldCharType="separate"/>
          </w:r>
          <w:r>
            <w:rPr>
              <w:rStyle w:val="19"/>
              <w:rFonts w:hint="eastAsia"/>
            </w:rPr>
            <w:t>4.7 短管内衬法</w:t>
          </w:r>
          <w:r>
            <w:rPr>
              <w:rFonts w:hint="eastAsia"/>
            </w:rPr>
            <w:tab/>
          </w:r>
          <w:r>
            <w:rPr>
              <w:rFonts w:hint="eastAsia"/>
            </w:rPr>
            <w:fldChar w:fldCharType="begin"/>
          </w:r>
          <w:r>
            <w:rPr>
              <w:rFonts w:hint="eastAsia"/>
            </w:rPr>
            <w:instrText xml:space="preserve"> </w:instrText>
          </w:r>
          <w:r>
            <w:instrText xml:space="preserve">PAGEREF _Toc196915209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"_Toc196915210" </w:instrText>
          </w:r>
          <w:r>
            <w:fldChar w:fldCharType="separate"/>
          </w:r>
          <w:r>
            <w:rPr>
              <w:rStyle w:val="19"/>
              <w:rFonts w:hint="eastAsia"/>
            </w:rPr>
            <w:t>4.8 喷涂法</w:t>
          </w:r>
          <w:r>
            <w:rPr>
              <w:rFonts w:hint="eastAsia"/>
            </w:rPr>
            <w:tab/>
          </w:r>
          <w:r>
            <w:rPr>
              <w:rFonts w:hint="eastAsia"/>
            </w:rPr>
            <w:fldChar w:fldCharType="begin"/>
          </w:r>
          <w:r>
            <w:rPr>
              <w:rFonts w:hint="eastAsia"/>
            </w:rPr>
            <w:instrText xml:space="preserve"> </w:instrText>
          </w:r>
          <w:r>
            <w:instrText xml:space="preserve">PAGEREF _Toc196915210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"_Toc196915211" </w:instrText>
          </w:r>
          <w:r>
            <w:fldChar w:fldCharType="separate"/>
          </w:r>
          <w:r>
            <w:rPr>
              <w:rStyle w:val="19"/>
              <w:rFonts w:hint="eastAsia"/>
              <w:highlight w:val="none"/>
            </w:rPr>
            <w:t>4.9 碎裂管法</w:t>
          </w:r>
          <w:r>
            <w:rPr>
              <w:rFonts w:hint="eastAsia"/>
            </w:rPr>
            <w:tab/>
          </w:r>
          <w:r>
            <w:rPr>
              <w:rFonts w:hint="eastAsia"/>
            </w:rPr>
            <w:fldChar w:fldCharType="begin"/>
          </w:r>
          <w:r>
            <w:rPr>
              <w:rFonts w:hint="eastAsia"/>
            </w:rPr>
            <w:instrText xml:space="preserve"> </w:instrText>
          </w:r>
          <w:r>
            <w:instrText xml:space="preserve">PAGEREF _Toc196915211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"_Toc196915212" </w:instrText>
          </w:r>
          <w:r>
            <w:fldChar w:fldCharType="separate"/>
          </w:r>
          <w:r>
            <w:rPr>
              <w:rStyle w:val="19"/>
              <w:rFonts w:hint="eastAsia" w:eastAsia="黑体" w:cs="Times New Roman"/>
              <w:lang w:eastAsia="zh-CN"/>
            </w:rPr>
            <w:t>5 功能性修复与预处理</w:t>
          </w:r>
          <w:r>
            <w:rPr>
              <w:rFonts w:hint="eastAsia"/>
            </w:rPr>
            <w:tab/>
          </w:r>
          <w:r>
            <w:rPr>
              <w:rFonts w:hint="eastAsia"/>
            </w:rPr>
            <w:fldChar w:fldCharType="begin"/>
          </w:r>
          <w:r>
            <w:rPr>
              <w:rFonts w:hint="eastAsia"/>
            </w:rPr>
            <w:instrText xml:space="preserve"> </w:instrText>
          </w:r>
          <w:r>
            <w:instrText xml:space="preserve">PAGEREF _Toc196915212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"_Toc196915213" </w:instrText>
          </w:r>
          <w:r>
            <w:fldChar w:fldCharType="separate"/>
          </w:r>
          <w:r>
            <w:rPr>
              <w:rStyle w:val="19"/>
              <w:rFonts w:hint="eastAsia"/>
            </w:rPr>
            <w:t>5.1 一般规定</w:t>
          </w:r>
          <w:r>
            <w:rPr>
              <w:rFonts w:hint="eastAsia"/>
            </w:rPr>
            <w:tab/>
          </w:r>
          <w:r>
            <w:rPr>
              <w:rFonts w:hint="eastAsia"/>
            </w:rPr>
            <w:fldChar w:fldCharType="begin"/>
          </w:r>
          <w:r>
            <w:rPr>
              <w:rFonts w:hint="eastAsia"/>
            </w:rPr>
            <w:instrText xml:space="preserve"> </w:instrText>
          </w:r>
          <w:r>
            <w:instrText xml:space="preserve">PAGEREF _Toc196915213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"_Toc196915214" </w:instrText>
          </w:r>
          <w:r>
            <w:fldChar w:fldCharType="separate"/>
          </w:r>
          <w:r>
            <w:rPr>
              <w:rStyle w:val="19"/>
              <w:rFonts w:hint="eastAsia"/>
            </w:rPr>
            <w:t>5.2 功能性缺陷修复</w:t>
          </w:r>
          <w:r>
            <w:rPr>
              <w:rFonts w:hint="eastAsia"/>
            </w:rPr>
            <w:tab/>
          </w:r>
          <w:r>
            <w:rPr>
              <w:rFonts w:hint="eastAsia"/>
            </w:rPr>
            <w:fldChar w:fldCharType="begin"/>
          </w:r>
          <w:r>
            <w:rPr>
              <w:rFonts w:hint="eastAsia"/>
            </w:rPr>
            <w:instrText xml:space="preserve"> </w:instrText>
          </w:r>
          <w:r>
            <w:instrText xml:space="preserve">PAGEREF _Toc196915214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"_Toc196915215" </w:instrText>
          </w:r>
          <w:r>
            <w:fldChar w:fldCharType="separate"/>
          </w:r>
          <w:r>
            <w:rPr>
              <w:rStyle w:val="19"/>
              <w:rFonts w:hint="eastAsia"/>
            </w:rPr>
            <w:t>5.3 预处理</w:t>
          </w:r>
          <w:r>
            <w:rPr>
              <w:rFonts w:hint="eastAsia"/>
            </w:rPr>
            <w:tab/>
          </w:r>
          <w:r>
            <w:rPr>
              <w:rFonts w:hint="eastAsia"/>
            </w:rPr>
            <w:fldChar w:fldCharType="begin"/>
          </w:r>
          <w:r>
            <w:rPr>
              <w:rFonts w:hint="eastAsia"/>
            </w:rPr>
            <w:instrText xml:space="preserve"> </w:instrText>
          </w:r>
          <w:r>
            <w:instrText xml:space="preserve">PAGEREF _Toc196915215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"_Toc196915216" </w:instrText>
          </w:r>
          <w:r>
            <w:fldChar w:fldCharType="separate"/>
          </w:r>
          <w:r>
            <w:rPr>
              <w:rStyle w:val="19"/>
              <w:rFonts w:hint="eastAsia" w:eastAsia="黑体" w:cs="Times New Roman"/>
              <w:lang w:eastAsia="zh-CN"/>
            </w:rPr>
            <w:t>6 施 工</w:t>
          </w:r>
          <w:r>
            <w:rPr>
              <w:rFonts w:hint="eastAsia"/>
            </w:rPr>
            <w:tab/>
          </w:r>
          <w:r>
            <w:rPr>
              <w:rFonts w:hint="eastAsia"/>
            </w:rPr>
            <w:fldChar w:fldCharType="begin"/>
          </w:r>
          <w:r>
            <w:rPr>
              <w:rFonts w:hint="eastAsia"/>
            </w:rPr>
            <w:instrText xml:space="preserve"> </w:instrText>
          </w:r>
          <w:r>
            <w:instrText xml:space="preserve">PAGEREF _Toc196915216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"_Toc196915217" </w:instrText>
          </w:r>
          <w:r>
            <w:fldChar w:fldCharType="separate"/>
          </w:r>
          <w:r>
            <w:rPr>
              <w:rStyle w:val="19"/>
              <w:rFonts w:hint="eastAsia"/>
            </w:rPr>
            <w:t>6.1 一般规定</w:t>
          </w:r>
          <w:r>
            <w:rPr>
              <w:rFonts w:hint="eastAsia"/>
            </w:rPr>
            <w:tab/>
          </w:r>
          <w:r>
            <w:rPr>
              <w:rFonts w:hint="eastAsia"/>
            </w:rPr>
            <w:fldChar w:fldCharType="begin"/>
          </w:r>
          <w:r>
            <w:rPr>
              <w:rFonts w:hint="eastAsia"/>
            </w:rPr>
            <w:instrText xml:space="preserve"> </w:instrText>
          </w:r>
          <w:r>
            <w:instrText xml:space="preserve">PAGEREF _Toc196915217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"_Toc196915218" </w:instrText>
          </w:r>
          <w:r>
            <w:fldChar w:fldCharType="separate"/>
          </w:r>
          <w:r>
            <w:rPr>
              <w:rStyle w:val="19"/>
              <w:rFonts w:hint="eastAsia"/>
            </w:rPr>
            <w:t>6.2 紫外光原位固化法</w:t>
          </w:r>
          <w:r>
            <w:rPr>
              <w:rFonts w:hint="eastAsia"/>
            </w:rPr>
            <w:tab/>
          </w:r>
          <w:r>
            <w:rPr>
              <w:rFonts w:hint="eastAsia"/>
            </w:rPr>
            <w:fldChar w:fldCharType="begin"/>
          </w:r>
          <w:r>
            <w:rPr>
              <w:rFonts w:hint="eastAsia"/>
            </w:rPr>
            <w:instrText xml:space="preserve"> </w:instrText>
          </w:r>
          <w:r>
            <w:instrText xml:space="preserve">PAGEREF _Toc196915218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"_Toc196915219" </w:instrText>
          </w:r>
          <w:r>
            <w:fldChar w:fldCharType="separate"/>
          </w:r>
          <w:r>
            <w:rPr>
              <w:rStyle w:val="19"/>
              <w:rFonts w:hint="eastAsia"/>
            </w:rPr>
            <w:t>6.3 翻转式原位固化法</w:t>
          </w:r>
          <w:r>
            <w:rPr>
              <w:rFonts w:hint="eastAsia"/>
            </w:rPr>
            <w:tab/>
          </w:r>
          <w:r>
            <w:rPr>
              <w:rFonts w:hint="eastAsia"/>
            </w:rPr>
            <w:fldChar w:fldCharType="begin"/>
          </w:r>
          <w:r>
            <w:rPr>
              <w:rFonts w:hint="eastAsia"/>
            </w:rPr>
            <w:instrText xml:space="preserve"> </w:instrText>
          </w:r>
          <w:r>
            <w:instrText xml:space="preserve">PAGEREF _Toc196915219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"_Toc196915220" </w:instrText>
          </w:r>
          <w:r>
            <w:fldChar w:fldCharType="separate"/>
          </w:r>
          <w:r>
            <w:rPr>
              <w:rStyle w:val="19"/>
              <w:rFonts w:hint="eastAsia"/>
            </w:rPr>
            <w:t>6.4 原位热塑成型法</w:t>
          </w:r>
          <w:r>
            <w:rPr>
              <w:rFonts w:hint="eastAsia"/>
            </w:rPr>
            <w:tab/>
          </w:r>
          <w:r>
            <w:rPr>
              <w:rFonts w:hint="eastAsia"/>
            </w:rPr>
            <w:fldChar w:fldCharType="begin"/>
          </w:r>
          <w:r>
            <w:rPr>
              <w:rFonts w:hint="eastAsia"/>
            </w:rPr>
            <w:instrText xml:space="preserve"> </w:instrText>
          </w:r>
          <w:r>
            <w:instrText xml:space="preserve">PAGEREF _Toc196915220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"_Toc196915221" </w:instrText>
          </w:r>
          <w:r>
            <w:fldChar w:fldCharType="separate"/>
          </w:r>
          <w:r>
            <w:rPr>
              <w:rStyle w:val="19"/>
              <w:rFonts w:hint="eastAsia"/>
            </w:rPr>
            <w:t>6.5 螺旋缠绕内衬法</w:t>
          </w:r>
          <w:r>
            <w:rPr>
              <w:rFonts w:hint="eastAsia"/>
            </w:rPr>
            <w:tab/>
          </w:r>
          <w:r>
            <w:rPr>
              <w:rFonts w:hint="eastAsia"/>
            </w:rPr>
            <w:fldChar w:fldCharType="begin"/>
          </w:r>
          <w:r>
            <w:rPr>
              <w:rFonts w:hint="eastAsia"/>
            </w:rPr>
            <w:instrText xml:space="preserve"> </w:instrText>
          </w:r>
          <w:r>
            <w:instrText xml:space="preserve">PAGEREF _Toc196915221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"_Toc196915222" </w:instrText>
          </w:r>
          <w:r>
            <w:fldChar w:fldCharType="separate"/>
          </w:r>
          <w:r>
            <w:rPr>
              <w:rStyle w:val="19"/>
              <w:rFonts w:hint="eastAsia"/>
            </w:rPr>
            <w:t>6.6 短管内衬法</w:t>
          </w:r>
          <w:r>
            <w:rPr>
              <w:rFonts w:hint="eastAsia"/>
            </w:rPr>
            <w:tab/>
          </w:r>
          <w:r>
            <w:rPr>
              <w:rFonts w:hint="eastAsia"/>
            </w:rPr>
            <w:fldChar w:fldCharType="begin"/>
          </w:r>
          <w:r>
            <w:rPr>
              <w:rFonts w:hint="eastAsia"/>
            </w:rPr>
            <w:instrText xml:space="preserve"> </w:instrText>
          </w:r>
          <w:r>
            <w:instrText xml:space="preserve">PAGEREF _Toc196915222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"_Toc196915223" </w:instrText>
          </w:r>
          <w:r>
            <w:fldChar w:fldCharType="separate"/>
          </w:r>
          <w:r>
            <w:rPr>
              <w:rStyle w:val="19"/>
              <w:rFonts w:hint="eastAsia"/>
            </w:rPr>
            <w:t>6.7 喷涂法</w:t>
          </w:r>
          <w:r>
            <w:rPr>
              <w:rFonts w:hint="eastAsia"/>
            </w:rPr>
            <w:tab/>
          </w:r>
          <w:r>
            <w:rPr>
              <w:rFonts w:hint="eastAsia"/>
            </w:rPr>
            <w:fldChar w:fldCharType="begin"/>
          </w:r>
          <w:r>
            <w:rPr>
              <w:rFonts w:hint="eastAsia"/>
            </w:rPr>
            <w:instrText xml:space="preserve"> </w:instrText>
          </w:r>
          <w:r>
            <w:instrText xml:space="preserve">PAGEREF _Toc196915223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"_Toc196915224" </w:instrText>
          </w:r>
          <w:r>
            <w:fldChar w:fldCharType="separate"/>
          </w:r>
          <w:r>
            <w:rPr>
              <w:rStyle w:val="19"/>
              <w:rFonts w:hint="eastAsia"/>
            </w:rPr>
            <w:t>6.8 碎裂管法</w:t>
          </w:r>
          <w:r>
            <w:rPr>
              <w:rFonts w:hint="eastAsia"/>
            </w:rPr>
            <w:tab/>
          </w:r>
          <w:r>
            <w:rPr>
              <w:rFonts w:hint="eastAsia"/>
            </w:rPr>
            <w:fldChar w:fldCharType="begin"/>
          </w:r>
          <w:r>
            <w:rPr>
              <w:rFonts w:hint="eastAsia"/>
            </w:rPr>
            <w:instrText xml:space="preserve"> </w:instrText>
          </w:r>
          <w:r>
            <w:instrText xml:space="preserve">PAGEREF _Toc196915224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"_Toc196915225" </w:instrText>
          </w:r>
          <w:r>
            <w:fldChar w:fldCharType="separate"/>
          </w:r>
          <w:r>
            <w:rPr>
              <w:rStyle w:val="19"/>
              <w:rFonts w:hint="eastAsia" w:eastAsia="黑体" w:cs="Times New Roman"/>
              <w:lang w:eastAsia="zh-CN"/>
            </w:rPr>
            <w:t>7 管道功能性检验</w:t>
          </w:r>
          <w:r>
            <w:rPr>
              <w:rFonts w:hint="eastAsia"/>
            </w:rPr>
            <w:tab/>
          </w:r>
          <w:r>
            <w:rPr>
              <w:rFonts w:hint="eastAsia"/>
            </w:rPr>
            <w:fldChar w:fldCharType="begin"/>
          </w:r>
          <w:r>
            <w:rPr>
              <w:rFonts w:hint="eastAsia"/>
            </w:rPr>
            <w:instrText xml:space="preserve"> </w:instrText>
          </w:r>
          <w:r>
            <w:instrText xml:space="preserve">PAGEREF _Toc196915225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"_Toc196915226" </w:instrText>
          </w:r>
          <w:r>
            <w:fldChar w:fldCharType="separate"/>
          </w:r>
          <w:r>
            <w:rPr>
              <w:rStyle w:val="19"/>
              <w:rFonts w:hint="eastAsia"/>
            </w:rPr>
            <w:t>7.1 一般规定</w:t>
          </w:r>
          <w:r>
            <w:rPr>
              <w:rFonts w:hint="eastAsia"/>
            </w:rPr>
            <w:tab/>
          </w:r>
          <w:r>
            <w:rPr>
              <w:rFonts w:hint="eastAsia"/>
            </w:rPr>
            <w:fldChar w:fldCharType="begin"/>
          </w:r>
          <w:r>
            <w:rPr>
              <w:rFonts w:hint="eastAsia"/>
            </w:rPr>
            <w:instrText xml:space="preserve"> </w:instrText>
          </w:r>
          <w:r>
            <w:instrText xml:space="preserve">PAGEREF _Toc196915226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"_Toc196915227" </w:instrText>
          </w:r>
          <w:r>
            <w:fldChar w:fldCharType="separate"/>
          </w:r>
          <w:r>
            <w:rPr>
              <w:rStyle w:val="19"/>
              <w:rFonts w:hint="eastAsia"/>
            </w:rPr>
            <w:t>7.2 闭水试验</w:t>
          </w:r>
          <w:r>
            <w:rPr>
              <w:rFonts w:hint="eastAsia"/>
            </w:rPr>
            <w:tab/>
          </w:r>
          <w:r>
            <w:rPr>
              <w:rFonts w:hint="eastAsia"/>
            </w:rPr>
            <w:fldChar w:fldCharType="begin"/>
          </w:r>
          <w:r>
            <w:rPr>
              <w:rFonts w:hint="eastAsia"/>
            </w:rPr>
            <w:instrText xml:space="preserve"> </w:instrText>
          </w:r>
          <w:r>
            <w:instrText xml:space="preserve">PAGEREF _Toc196915227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"_Toc196915228" </w:instrText>
          </w:r>
          <w:r>
            <w:fldChar w:fldCharType="separate"/>
          </w:r>
          <w:r>
            <w:rPr>
              <w:rStyle w:val="19"/>
              <w:rFonts w:hint="eastAsia"/>
            </w:rPr>
            <w:t>7.3 闭气试验</w:t>
          </w:r>
          <w:r>
            <w:rPr>
              <w:rFonts w:hint="eastAsia"/>
            </w:rPr>
            <w:tab/>
          </w:r>
          <w:r>
            <w:rPr>
              <w:rFonts w:hint="eastAsia"/>
            </w:rPr>
            <w:fldChar w:fldCharType="begin"/>
          </w:r>
          <w:r>
            <w:rPr>
              <w:rFonts w:hint="eastAsia"/>
            </w:rPr>
            <w:instrText xml:space="preserve"> </w:instrText>
          </w:r>
          <w:r>
            <w:instrText xml:space="preserve">PAGEREF _Toc196915228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"_Toc196915229" </w:instrText>
          </w:r>
          <w:r>
            <w:fldChar w:fldCharType="separate"/>
          </w:r>
          <w:r>
            <w:rPr>
              <w:rStyle w:val="19"/>
              <w:rFonts w:hint="eastAsia"/>
            </w:rPr>
            <w:t>7.4 管道渗水调查检验</w:t>
          </w:r>
          <w:r>
            <w:rPr>
              <w:rFonts w:hint="eastAsia"/>
            </w:rPr>
            <w:tab/>
          </w:r>
          <w:r>
            <w:rPr>
              <w:rFonts w:hint="eastAsia"/>
            </w:rPr>
            <w:fldChar w:fldCharType="begin"/>
          </w:r>
          <w:r>
            <w:rPr>
              <w:rFonts w:hint="eastAsia"/>
            </w:rPr>
            <w:instrText xml:space="preserve"> </w:instrText>
          </w:r>
          <w:r>
            <w:instrText xml:space="preserve">PAGEREF _Toc196915229 \h</w:instrText>
          </w:r>
          <w:r>
            <w:rPr>
              <w:rFonts w:hint="eastAsia"/>
            </w:rPr>
            <w:instrText xml:space="preserve"> </w:instrText>
          </w:r>
          <w:r>
            <w:rPr>
              <w:rFonts w:hint="eastAsia"/>
            </w:rPr>
            <w:fldChar w:fldCharType="separate"/>
          </w:r>
          <w:r>
            <w:t>53</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"_Toc196915230" </w:instrText>
          </w:r>
          <w:r>
            <w:fldChar w:fldCharType="separate"/>
          </w:r>
          <w:r>
            <w:rPr>
              <w:rStyle w:val="19"/>
              <w:rFonts w:hint="eastAsia" w:eastAsia="黑体" w:cs="Times New Roman"/>
              <w:lang w:eastAsia="zh-CN"/>
            </w:rPr>
            <w:t>8 验 收</w:t>
          </w:r>
          <w:r>
            <w:rPr>
              <w:rFonts w:hint="eastAsia"/>
            </w:rPr>
            <w:tab/>
          </w:r>
          <w:r>
            <w:rPr>
              <w:rFonts w:hint="eastAsia"/>
            </w:rPr>
            <w:fldChar w:fldCharType="begin"/>
          </w:r>
          <w:r>
            <w:rPr>
              <w:rFonts w:hint="eastAsia"/>
            </w:rPr>
            <w:instrText xml:space="preserve"> </w:instrText>
          </w:r>
          <w:r>
            <w:instrText xml:space="preserve">PAGEREF _Toc196915230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"_Toc196915231" </w:instrText>
          </w:r>
          <w:r>
            <w:fldChar w:fldCharType="separate"/>
          </w:r>
          <w:r>
            <w:rPr>
              <w:rStyle w:val="19"/>
              <w:rFonts w:hint="eastAsia"/>
            </w:rPr>
            <w:t>8.1 一般规定</w:t>
          </w:r>
          <w:r>
            <w:rPr>
              <w:rFonts w:hint="eastAsia"/>
            </w:rPr>
            <w:tab/>
          </w:r>
          <w:r>
            <w:rPr>
              <w:rFonts w:hint="eastAsia"/>
            </w:rPr>
            <w:fldChar w:fldCharType="begin"/>
          </w:r>
          <w:r>
            <w:rPr>
              <w:rFonts w:hint="eastAsia"/>
            </w:rPr>
            <w:instrText xml:space="preserve"> </w:instrText>
          </w:r>
          <w:r>
            <w:instrText xml:space="preserve">PAGEREF _Toc196915231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"_Toc196915232" </w:instrText>
          </w:r>
          <w:r>
            <w:fldChar w:fldCharType="separate"/>
          </w:r>
          <w:r>
            <w:rPr>
              <w:rStyle w:val="19"/>
              <w:rFonts w:hint="eastAsia"/>
            </w:rPr>
            <w:t xml:space="preserve">8.2 </w:t>
          </w:r>
          <w:r>
            <w:rPr>
              <w:rStyle w:val="19"/>
              <w:rFonts w:hint="eastAsia"/>
              <w:lang w:eastAsia="zh-CN"/>
            </w:rPr>
            <w:t>功能性缺陷修复与预处理</w:t>
          </w:r>
          <w:r>
            <w:rPr>
              <w:rFonts w:hint="eastAsia"/>
            </w:rPr>
            <w:tab/>
          </w:r>
          <w:r>
            <w:rPr>
              <w:rFonts w:hint="eastAsia"/>
            </w:rPr>
            <w:fldChar w:fldCharType="begin"/>
          </w:r>
          <w:r>
            <w:rPr>
              <w:rFonts w:hint="eastAsia"/>
            </w:rPr>
            <w:instrText xml:space="preserve"> </w:instrText>
          </w:r>
          <w:r>
            <w:instrText xml:space="preserve">PAGEREF _Toc196915232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"_Toc196915233" </w:instrText>
          </w:r>
          <w:r>
            <w:fldChar w:fldCharType="separate"/>
          </w:r>
          <w:r>
            <w:rPr>
              <w:rStyle w:val="19"/>
              <w:rFonts w:hint="eastAsia"/>
            </w:rPr>
            <w:t>8.3 紫外光原位固化法</w:t>
          </w:r>
          <w:r>
            <w:rPr>
              <w:rFonts w:hint="eastAsia"/>
            </w:rPr>
            <w:tab/>
          </w:r>
          <w:r>
            <w:rPr>
              <w:rFonts w:hint="eastAsia"/>
            </w:rPr>
            <w:fldChar w:fldCharType="begin"/>
          </w:r>
          <w:r>
            <w:rPr>
              <w:rFonts w:hint="eastAsia"/>
            </w:rPr>
            <w:instrText xml:space="preserve"> </w:instrText>
          </w:r>
          <w:r>
            <w:instrText xml:space="preserve">PAGEREF _Toc196915233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"_Toc196915234" </w:instrText>
          </w:r>
          <w:r>
            <w:fldChar w:fldCharType="separate"/>
          </w:r>
          <w:r>
            <w:rPr>
              <w:rStyle w:val="19"/>
              <w:rFonts w:hint="eastAsia"/>
            </w:rPr>
            <w:t>8.4 翻转式原位固化法</w:t>
          </w:r>
          <w:r>
            <w:rPr>
              <w:rFonts w:hint="eastAsia"/>
            </w:rPr>
            <w:tab/>
          </w:r>
          <w:r>
            <w:rPr>
              <w:rFonts w:hint="eastAsia"/>
            </w:rPr>
            <w:fldChar w:fldCharType="begin"/>
          </w:r>
          <w:r>
            <w:rPr>
              <w:rFonts w:hint="eastAsia"/>
            </w:rPr>
            <w:instrText xml:space="preserve"> </w:instrText>
          </w:r>
          <w:r>
            <w:instrText xml:space="preserve">PAGEREF _Toc196915234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"_Toc196915235" </w:instrText>
          </w:r>
          <w:r>
            <w:fldChar w:fldCharType="separate"/>
          </w:r>
          <w:r>
            <w:rPr>
              <w:rStyle w:val="19"/>
              <w:rFonts w:hint="eastAsia"/>
            </w:rPr>
            <w:t>8.5 原位热塑成型法</w:t>
          </w:r>
          <w:r>
            <w:rPr>
              <w:rFonts w:hint="eastAsia"/>
            </w:rPr>
            <w:tab/>
          </w:r>
          <w:r>
            <w:rPr>
              <w:rFonts w:hint="eastAsia"/>
            </w:rPr>
            <w:fldChar w:fldCharType="begin"/>
          </w:r>
          <w:r>
            <w:rPr>
              <w:rFonts w:hint="eastAsia"/>
            </w:rPr>
            <w:instrText xml:space="preserve"> </w:instrText>
          </w:r>
          <w:r>
            <w:instrText xml:space="preserve">PAGEREF _Toc196915235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"_Toc196915236" </w:instrText>
          </w:r>
          <w:r>
            <w:fldChar w:fldCharType="separate"/>
          </w:r>
          <w:r>
            <w:rPr>
              <w:rStyle w:val="19"/>
              <w:rFonts w:hint="eastAsia"/>
            </w:rPr>
            <w:t>8.6 螺旋缠绕内衬法</w:t>
          </w:r>
          <w:r>
            <w:rPr>
              <w:rFonts w:hint="eastAsia"/>
            </w:rPr>
            <w:tab/>
          </w:r>
          <w:r>
            <w:rPr>
              <w:rFonts w:hint="eastAsia"/>
            </w:rPr>
            <w:fldChar w:fldCharType="begin"/>
          </w:r>
          <w:r>
            <w:rPr>
              <w:rFonts w:hint="eastAsia"/>
            </w:rPr>
            <w:instrText xml:space="preserve"> </w:instrText>
          </w:r>
          <w:r>
            <w:instrText xml:space="preserve">PAGEREF _Toc196915236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"_Toc196915237" </w:instrText>
          </w:r>
          <w:r>
            <w:fldChar w:fldCharType="separate"/>
          </w:r>
          <w:r>
            <w:rPr>
              <w:rStyle w:val="19"/>
              <w:rFonts w:hint="eastAsia"/>
            </w:rPr>
            <w:t>8.7 短管内衬法</w:t>
          </w:r>
          <w:r>
            <w:rPr>
              <w:rFonts w:hint="eastAsia"/>
            </w:rPr>
            <w:tab/>
          </w:r>
          <w:r>
            <w:rPr>
              <w:rFonts w:hint="eastAsia"/>
            </w:rPr>
            <w:fldChar w:fldCharType="begin"/>
          </w:r>
          <w:r>
            <w:rPr>
              <w:rFonts w:hint="eastAsia"/>
            </w:rPr>
            <w:instrText xml:space="preserve"> </w:instrText>
          </w:r>
          <w:r>
            <w:instrText xml:space="preserve">PAGEREF _Toc196915237 \h</w:instrText>
          </w:r>
          <w:r>
            <w:rPr>
              <w:rFonts w:hint="eastAsia"/>
            </w:rPr>
            <w:instrText xml:space="preserve"> </w:instrText>
          </w:r>
          <w:r>
            <w:rPr>
              <w:rFonts w:hint="eastAsia"/>
            </w:rPr>
            <w:fldChar w:fldCharType="separate"/>
          </w:r>
          <w:r>
            <w:t>61</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"_Toc196915238" </w:instrText>
          </w:r>
          <w:r>
            <w:fldChar w:fldCharType="separate"/>
          </w:r>
          <w:r>
            <w:rPr>
              <w:rStyle w:val="19"/>
              <w:rFonts w:hint="eastAsia"/>
            </w:rPr>
            <w:t>8.8 喷涂法</w:t>
          </w:r>
          <w:r>
            <w:rPr>
              <w:rFonts w:hint="eastAsia"/>
            </w:rPr>
            <w:tab/>
          </w:r>
          <w:r>
            <w:rPr>
              <w:rFonts w:hint="eastAsia"/>
            </w:rPr>
            <w:fldChar w:fldCharType="begin"/>
          </w:r>
          <w:r>
            <w:rPr>
              <w:rFonts w:hint="eastAsia"/>
            </w:rPr>
            <w:instrText xml:space="preserve"> </w:instrText>
          </w:r>
          <w:r>
            <w:instrText xml:space="preserve">PAGEREF _Toc196915238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"_Toc196915239" </w:instrText>
          </w:r>
          <w:r>
            <w:fldChar w:fldCharType="separate"/>
          </w:r>
          <w:r>
            <w:rPr>
              <w:rStyle w:val="19"/>
              <w:rFonts w:hint="eastAsia"/>
            </w:rPr>
            <w:t>8.9 碎裂管法</w:t>
          </w:r>
          <w:r>
            <w:rPr>
              <w:rFonts w:hint="eastAsia"/>
            </w:rPr>
            <w:tab/>
          </w:r>
          <w:r>
            <w:rPr>
              <w:rFonts w:hint="eastAsia"/>
            </w:rPr>
            <w:fldChar w:fldCharType="begin"/>
          </w:r>
          <w:r>
            <w:rPr>
              <w:rFonts w:hint="eastAsia"/>
            </w:rPr>
            <w:instrText xml:space="preserve"> </w:instrText>
          </w:r>
          <w:r>
            <w:instrText xml:space="preserve">PAGEREF _Toc196915239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"_Toc196915240" </w:instrText>
          </w:r>
          <w:r>
            <w:fldChar w:fldCharType="separate"/>
          </w:r>
          <w:r>
            <w:rPr>
              <w:rStyle w:val="19"/>
              <w:rFonts w:hint="eastAsia" w:eastAsia="黑体" w:cs="Times New Roman"/>
              <w:lang w:eastAsia="zh-CN"/>
            </w:rPr>
            <w:t>9 数字化</w:t>
          </w:r>
          <w:r>
            <w:rPr>
              <w:rFonts w:hint="eastAsia"/>
            </w:rPr>
            <w:tab/>
          </w:r>
          <w:r>
            <w:rPr>
              <w:rFonts w:hint="eastAsia"/>
            </w:rPr>
            <w:fldChar w:fldCharType="begin"/>
          </w:r>
          <w:r>
            <w:rPr>
              <w:rFonts w:hint="eastAsia"/>
            </w:rPr>
            <w:instrText xml:space="preserve"> </w:instrText>
          </w:r>
          <w:r>
            <w:instrText xml:space="preserve">PAGEREF _Toc196915240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"_Toc196915241" </w:instrText>
          </w:r>
          <w:r>
            <w:fldChar w:fldCharType="separate"/>
          </w:r>
          <w:r>
            <w:rPr>
              <w:rStyle w:val="19"/>
              <w:rFonts w:hint="eastAsia"/>
            </w:rPr>
            <w:t>9.1 一般规定</w:t>
          </w:r>
          <w:r>
            <w:rPr>
              <w:rFonts w:hint="eastAsia"/>
            </w:rPr>
            <w:tab/>
          </w:r>
          <w:r>
            <w:rPr>
              <w:rFonts w:hint="eastAsia"/>
            </w:rPr>
            <w:fldChar w:fldCharType="begin"/>
          </w:r>
          <w:r>
            <w:rPr>
              <w:rFonts w:hint="eastAsia"/>
            </w:rPr>
            <w:instrText xml:space="preserve"> </w:instrText>
          </w:r>
          <w:r>
            <w:instrText xml:space="preserve">PAGEREF _Toc196915241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"_Toc196915242" </w:instrText>
          </w:r>
          <w:r>
            <w:fldChar w:fldCharType="separate"/>
          </w:r>
          <w:r>
            <w:rPr>
              <w:rStyle w:val="19"/>
              <w:rFonts w:hint="eastAsia"/>
            </w:rPr>
            <w:t>9.2 信息系统构成</w:t>
          </w:r>
          <w:r>
            <w:rPr>
              <w:rFonts w:hint="eastAsia"/>
            </w:rPr>
            <w:tab/>
          </w:r>
          <w:r>
            <w:rPr>
              <w:rFonts w:hint="eastAsia"/>
            </w:rPr>
            <w:fldChar w:fldCharType="begin"/>
          </w:r>
          <w:r>
            <w:rPr>
              <w:rFonts w:hint="eastAsia"/>
            </w:rPr>
            <w:instrText xml:space="preserve"> </w:instrText>
          </w:r>
          <w:r>
            <w:instrText xml:space="preserve">PAGEREF _Toc196915242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"_Toc196915243" </w:instrText>
          </w:r>
          <w:r>
            <w:fldChar w:fldCharType="separate"/>
          </w:r>
          <w:r>
            <w:rPr>
              <w:rStyle w:val="19"/>
              <w:rFonts w:hint="eastAsia"/>
            </w:rPr>
            <w:t>9.3 在线监测布点</w:t>
          </w:r>
          <w:r>
            <w:rPr>
              <w:rFonts w:hint="eastAsia"/>
            </w:rPr>
            <w:tab/>
          </w:r>
          <w:r>
            <w:rPr>
              <w:rFonts w:hint="eastAsia"/>
            </w:rPr>
            <w:fldChar w:fldCharType="begin"/>
          </w:r>
          <w:r>
            <w:rPr>
              <w:rFonts w:hint="eastAsia"/>
            </w:rPr>
            <w:instrText xml:space="preserve"> </w:instrText>
          </w:r>
          <w:r>
            <w:instrText xml:space="preserve">PAGEREF _Toc196915243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"_Toc196915244" </w:instrText>
          </w:r>
          <w:r>
            <w:fldChar w:fldCharType="separate"/>
          </w:r>
          <w:r>
            <w:rPr>
              <w:rStyle w:val="19"/>
              <w:rFonts w:hint="eastAsia"/>
            </w:rPr>
            <w:t>9.4 在线监测设备</w:t>
          </w:r>
          <w:r>
            <w:rPr>
              <w:rFonts w:hint="eastAsia"/>
            </w:rPr>
            <w:tab/>
          </w:r>
          <w:r>
            <w:rPr>
              <w:rFonts w:hint="eastAsia"/>
            </w:rPr>
            <w:fldChar w:fldCharType="begin"/>
          </w:r>
          <w:r>
            <w:rPr>
              <w:rFonts w:hint="eastAsia"/>
            </w:rPr>
            <w:instrText xml:space="preserve"> </w:instrText>
          </w:r>
          <w:r>
            <w:instrText xml:space="preserve">PAGEREF _Toc196915244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pPr>
            <w:pStyle w:val="13"/>
            <w:tabs>
              <w:tab w:val="right" w:leader="dot" w:pos="8296"/>
            </w:tabs>
            <w:ind w:left="480"/>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"_Toc196915245" </w:instrText>
          </w:r>
          <w:r>
            <w:fldChar w:fldCharType="separate"/>
          </w:r>
          <w:r>
            <w:rPr>
              <w:rStyle w:val="19"/>
              <w:rFonts w:hint="eastAsia"/>
            </w:rPr>
            <w:t>9.5 数据采集与管理</w:t>
          </w:r>
          <w:r>
            <w:rPr>
              <w:rFonts w:hint="eastAsia"/>
            </w:rPr>
            <w:tab/>
          </w:r>
          <w:r>
            <w:rPr>
              <w:rFonts w:hint="eastAsia"/>
            </w:rPr>
            <w:fldChar w:fldCharType="begin"/>
          </w:r>
          <w:r>
            <w:rPr>
              <w:rFonts w:hint="eastAsia"/>
            </w:rPr>
            <w:instrText xml:space="preserve"> </w:instrText>
          </w:r>
          <w:r>
            <w:instrText xml:space="preserve">PAGEREF _Toc196915245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"_Toc196915246" </w:instrText>
          </w:r>
          <w:r>
            <w:fldChar w:fldCharType="separate"/>
          </w:r>
          <w:r>
            <w:rPr>
              <w:rStyle w:val="19"/>
              <w:rFonts w:hint="eastAsia" w:eastAsia="黑体" w:cs="Times New Roman"/>
              <w:lang w:eastAsia="zh-CN"/>
            </w:rPr>
            <w:t>10 安全与环境保护</w:t>
          </w:r>
          <w:r>
            <w:rPr>
              <w:rFonts w:hint="eastAsia"/>
            </w:rPr>
            <w:tab/>
          </w:r>
          <w:r>
            <w:rPr>
              <w:rFonts w:hint="eastAsia"/>
            </w:rPr>
            <w:fldChar w:fldCharType="begin"/>
          </w:r>
          <w:r>
            <w:rPr>
              <w:rFonts w:hint="eastAsia"/>
            </w:rPr>
            <w:instrText xml:space="preserve"> </w:instrText>
          </w:r>
          <w:r>
            <w:instrText xml:space="preserve">PAGEREF _Toc196915246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"_Toc196915247" </w:instrText>
          </w:r>
          <w:r>
            <w:fldChar w:fldCharType="separate"/>
          </w:r>
          <w:r>
            <w:rPr>
              <w:rStyle w:val="19"/>
              <w:rFonts w:hint="eastAsia" w:eastAsia="黑体" w:cs="Times New Roman"/>
              <w:lang w:eastAsia="zh-CN"/>
            </w:rPr>
            <w:t>附录A</w:t>
          </w:r>
          <w:r>
            <w:rPr>
              <w:rFonts w:hint="eastAsia"/>
            </w:rPr>
            <w:tab/>
          </w:r>
          <w:r>
            <w:rPr>
              <w:rFonts w:hint="eastAsia"/>
            </w:rPr>
            <w:fldChar w:fldCharType="begin"/>
          </w:r>
          <w:r>
            <w:rPr>
              <w:rFonts w:hint="eastAsia"/>
            </w:rPr>
            <w:instrText xml:space="preserve"> </w:instrText>
          </w:r>
          <w:r>
            <w:instrText xml:space="preserve">PAGEREF _Toc196915247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"_Toc196915248" </w:instrText>
          </w:r>
          <w:r>
            <w:fldChar w:fldCharType="separate"/>
          </w:r>
          <w:r>
            <w:rPr>
              <w:rStyle w:val="19"/>
              <w:rFonts w:hint="eastAsia" w:eastAsia="黑体" w:cs="Times New Roman"/>
              <w:bCs/>
              <w:lang w:eastAsia="zh-CN"/>
            </w:rPr>
            <w:t>附录B</w:t>
          </w:r>
          <w:r>
            <w:rPr>
              <w:rFonts w:hint="eastAsia"/>
            </w:rPr>
            <w:tab/>
          </w:r>
          <w:r>
            <w:rPr>
              <w:rFonts w:hint="eastAsia"/>
            </w:rPr>
            <w:fldChar w:fldCharType="begin"/>
          </w:r>
          <w:r>
            <w:rPr>
              <w:rFonts w:hint="eastAsia"/>
            </w:rPr>
            <w:instrText xml:space="preserve"> </w:instrText>
          </w:r>
          <w:r>
            <w:instrText xml:space="preserve">PAGEREF _Toc196915248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"_Toc196915249" </w:instrText>
          </w:r>
          <w:r>
            <w:fldChar w:fldCharType="separate"/>
          </w:r>
          <w:r>
            <w:rPr>
              <w:rStyle w:val="19"/>
              <w:rFonts w:hint="eastAsia" w:eastAsia="黑体" w:cs="Times New Roman"/>
              <w:lang w:eastAsia="zh-CN"/>
            </w:rPr>
            <w:t>附录C</w:t>
          </w:r>
          <w:r>
            <w:rPr>
              <w:rFonts w:hint="eastAsia"/>
            </w:rPr>
            <w:tab/>
          </w:r>
          <w:r>
            <w:rPr>
              <w:rFonts w:hint="eastAsia"/>
            </w:rPr>
            <w:fldChar w:fldCharType="begin"/>
          </w:r>
          <w:r>
            <w:rPr>
              <w:rFonts w:hint="eastAsia"/>
            </w:rPr>
            <w:instrText xml:space="preserve"> </w:instrText>
          </w:r>
          <w:r>
            <w:instrText xml:space="preserve">PAGEREF _Toc196915249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"_Toc196915250" </w:instrText>
          </w:r>
          <w:r>
            <w:fldChar w:fldCharType="separate"/>
          </w:r>
          <w:r>
            <w:rPr>
              <w:rStyle w:val="19"/>
              <w:rFonts w:hint="eastAsia" w:eastAsia="黑体" w:cs="Times New Roman"/>
              <w:lang w:eastAsia="zh-CN"/>
            </w:rPr>
            <w:t>附录D</w:t>
          </w:r>
          <w:r>
            <w:rPr>
              <w:rFonts w:hint="eastAsia"/>
            </w:rPr>
            <w:tab/>
          </w:r>
          <w:r>
            <w:rPr>
              <w:rFonts w:hint="eastAsia"/>
            </w:rPr>
            <w:fldChar w:fldCharType="begin"/>
          </w:r>
          <w:r>
            <w:rPr>
              <w:rFonts w:hint="eastAsia"/>
            </w:rPr>
            <w:instrText xml:space="preserve"> </w:instrText>
          </w:r>
          <w:r>
            <w:instrText xml:space="preserve">PAGEREF _Toc196915250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"_Toc196915251" </w:instrText>
          </w:r>
          <w:r>
            <w:fldChar w:fldCharType="separate"/>
          </w:r>
          <w:r>
            <w:rPr>
              <w:rStyle w:val="19"/>
              <w:rFonts w:hint="eastAsia" w:eastAsia="黑体" w:cs="Times New Roman"/>
              <w:bCs/>
              <w:kern w:val="44"/>
              <w:lang w:eastAsia="zh-CN"/>
            </w:rPr>
            <w:t>本规程用词说明</w:t>
          </w:r>
          <w:r>
            <w:rPr>
              <w:rFonts w:hint="eastAsia"/>
            </w:rPr>
            <w:tab/>
          </w:r>
          <w:r>
            <w:rPr>
              <w:rFonts w:hint="eastAsia"/>
            </w:rPr>
            <w:fldChar w:fldCharType="begin"/>
          </w:r>
          <w:r>
            <w:rPr>
              <w:rFonts w:hint="eastAsia"/>
            </w:rPr>
            <w:instrText xml:space="preserve"> </w:instrText>
          </w:r>
          <w:r>
            <w:instrText xml:space="preserve">PAGEREF _Toc196915251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pPr>
            <w:pStyle w:val="12"/>
            <w:tabs>
              <w:tab w:val="right" w:leader="dot" w:pos="8296"/>
            </w:tabs>
            <w:rPr>
              <w:rFonts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"_Toc196915252" </w:instrText>
          </w:r>
          <w:r>
            <w:fldChar w:fldCharType="separate"/>
          </w:r>
          <w:r>
            <w:rPr>
              <w:rStyle w:val="19"/>
              <w:rFonts w:hint="eastAsia" w:eastAsia="黑体" w:cs="Times New Roman"/>
              <w:bCs/>
              <w:kern w:val="44"/>
              <w:lang w:eastAsia="zh-CN"/>
            </w:rPr>
            <w:t>引用标准名录</w:t>
          </w:r>
          <w:r>
            <w:rPr>
              <w:rFonts w:hint="eastAsia"/>
            </w:rPr>
            <w:tab/>
          </w:r>
          <w:r>
            <w:rPr>
              <w:rFonts w:hint="eastAsia"/>
            </w:rPr>
            <w:fldChar w:fldCharType="begin"/>
          </w:r>
          <w:r>
            <w:rPr>
              <w:rFonts w:hint="eastAsia"/>
            </w:rPr>
            <w:instrText xml:space="preserve"> </w:instrText>
          </w:r>
          <w:r>
            <w:instrText xml:space="preserve">PAGEREF _Toc196915252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r>
            <w:rPr>
              <w:rFonts w:cs="Times New Roman" w:asciiTheme="minorEastAsia" w:hAnsiTheme="minorEastAsia" w:eastAsiaTheme="minorEastAsia"/>
              <w:color w:val="000000" w:themeColor="text1"/>
              <w:sz w:val="21"/>
              <w14:textFill>
                <w14:solidFill>
                  <w14:schemeClr w14:val="tx1"/>
                </w14:solidFill>
              </w14:textFill>
            </w:rPr>
            <w:fldChar w:fldCharType="end"/>
          </w:r>
        </w:p>
      </w:sdtContent>
    </w:sdt>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br w:type="page"/>
      </w:r>
    </w:p>
    <w:sdt>
      <w:sdtPr>
        <w:rPr>
          <w:rFonts w:cs="Times New Roman"/>
          <w:color w:val="000000" w:themeColor="text1"/>
          <w:sz w:val="21"/>
          <w14:textFill>
            <w14:solidFill>
              <w14:schemeClr w14:val="tx1"/>
            </w14:solidFill>
          </w14:textFill>
        </w:rPr>
        <w:id w:val="1027528098"/>
        <w15:color w:val="DBDBDB"/>
        <w:docPartObj>
          <w:docPartGallery w:val="Table of Contents"/>
          <w:docPartUnique/>
        </w:docPartObj>
      </w:sdtPr>
      <w:sdtEndPr>
        <w:rPr>
          <w:rFonts w:cs="Times New Roman"/>
          <w:color w:val="000000" w:themeColor="text1"/>
          <w:sz w:val="21"/>
          <w14:textFill>
            <w14:solidFill>
              <w14:schemeClr w14:val="tx1"/>
            </w14:solidFill>
          </w14:textFill>
        </w:rPr>
      </w:sdtEndPr>
      <w:sdtContent>
        <w:p>
          <w:pPr>
            <w:ind w:firstLine="420"/>
            <w:jc w:val="center"/>
            <w:rPr>
              <w:rFonts w:eastAsia="黑体" w:cs="Times New Roman"/>
              <w:color w:val="000000" w:themeColor="text1"/>
              <w:sz w:val="36"/>
              <w:szCs w:val="36"/>
              <w:lang w:eastAsia="zh-CN"/>
              <w14:textFill>
                <w14:solidFill>
                  <w14:schemeClr w14:val="tx1"/>
                </w14:solidFill>
              </w14:textFill>
            </w:rPr>
          </w:pPr>
          <w:r>
            <w:rPr>
              <w:rFonts w:eastAsia="黑体" w:cs="Times New Roman"/>
              <w:color w:val="000000" w:themeColor="text1"/>
              <w:sz w:val="36"/>
              <w:szCs w:val="36"/>
              <w:lang w:eastAsia="zh-CN"/>
              <w14:textFill>
                <w14:solidFill>
                  <w14:schemeClr w14:val="tx1"/>
                </w14:solidFill>
              </w14:textFill>
            </w:rPr>
            <w:t>Contents</w:t>
          </w:r>
        </w:p>
        <w:p>
          <w:pPr>
            <w:pStyle w:val="12"/>
            <w:tabs>
              <w:tab w:val="right" w:leader="dot" w:pos="8296"/>
            </w:tabs>
            <w:ind w:firstLine="420"/>
            <w:rPr>
              <w:rStyle w:val="19"/>
            </w:rPr>
          </w:pPr>
          <w:r>
            <w:rPr>
              <w:rFonts w:cs="Times New Roman"/>
              <w:snapToGrid/>
              <w:color w:val="000000" w:themeColor="text1"/>
              <w:sz w:val="21"/>
              <w:lang w:eastAsia="zh-CN"/>
              <w14:textFill>
                <w14:solidFill>
                  <w14:schemeClr w14:val="tx1"/>
                </w14:solidFill>
              </w14:textFill>
            </w:rPr>
            <w:fldChar w:fldCharType="begin"/>
          </w:r>
          <w:r>
            <w:rPr>
              <w:rFonts w:cs="Times New Roman"/>
              <w:color w:val="000000" w:themeColor="text1"/>
              <w:sz w:val="21"/>
              <w14:textFill>
                <w14:solidFill>
                  <w14:schemeClr w14:val="tx1"/>
                </w14:solidFill>
              </w14:textFill>
            </w:rPr>
            <w:instrText xml:space="preserve">TOC \o "1-2" \h \u </w:instrText>
          </w:r>
          <w:r>
            <w:rPr>
              <w:rFonts w:cs="Times New Roman"/>
              <w:snapToGrid/>
              <w:color w:val="000000" w:themeColor="text1"/>
              <w:sz w:val="21"/>
              <w:lang w:eastAsia="zh-CN"/>
              <w14:textFill>
                <w14:solidFill>
                  <w14:schemeClr w14:val="tx1"/>
                </w14:solidFill>
              </w14:textFill>
            </w:rPr>
            <w:fldChar w:fldCharType="separate"/>
          </w:r>
          <w:r>
            <w:fldChar w:fldCharType="begin"/>
          </w:r>
          <w:r>
            <w:instrText xml:space="preserve"> HYPERLINK \l "_Toc171074672" </w:instrText>
          </w:r>
          <w:r>
            <w:fldChar w:fldCharType="separate"/>
          </w:r>
          <w:r>
            <w:rPr>
              <w:rStyle w:val="19"/>
              <w:rFonts w:cs="Times New Roman"/>
              <w:sz w:val="21"/>
              <w:lang w:eastAsia="zh-CN"/>
            </w:rPr>
            <w:t>1 General Provisions</w:t>
          </w:r>
          <w:r>
            <w:rPr>
              <w:rStyle w:val="19"/>
              <w:rFonts w:cs="Times New Roman"/>
              <w:sz w:val="21"/>
              <w:lang w:eastAsia="zh-CN"/>
            </w:rPr>
            <w:tab/>
          </w:r>
          <w:r>
            <w:rPr>
              <w:rStyle w:val="19"/>
              <w:rFonts w:hint="eastAsia" w:cs="Times New Roman"/>
              <w:sz w:val="21"/>
              <w:lang w:eastAsia="zh-CN"/>
            </w:rPr>
            <w:t>1</w:t>
          </w:r>
          <w:r>
            <w:rPr>
              <w:rStyle w:val="19"/>
              <w:rFonts w:hint="eastAsia" w:cs="Times New Roman"/>
              <w:sz w:val="21"/>
              <w:lang w:eastAsia="zh-CN"/>
            </w:rPr>
            <w:fldChar w:fldCharType="end"/>
          </w:r>
        </w:p>
        <w:p>
          <w:pPr>
            <w:pStyle w:val="12"/>
            <w:tabs>
              <w:tab w:val="right" w:leader="dot" w:pos="8296"/>
            </w:tabs>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"_Toc171074673" </w:instrText>
          </w:r>
          <w:r>
            <w:fldChar w:fldCharType="separate"/>
          </w:r>
          <w:r>
            <w:rPr>
              <w:rStyle w:val="19"/>
              <w:rFonts w:cs="Times New Roman"/>
              <w:sz w:val="21"/>
              <w:lang w:eastAsia="zh-CN"/>
            </w:rPr>
            <w:t>2 Terms and symbols</w:t>
          </w:r>
          <w:r>
            <w:rPr>
              <w:rStyle w:val="19"/>
              <w:rFonts w:cs="Times New Roman"/>
              <w:sz w:val="21"/>
            </w:rPr>
            <w:tab/>
          </w:r>
          <w:r>
            <w:rPr>
              <w:rStyle w:val="19"/>
              <w:rFonts w:hint="eastAsia" w:cs="Times New Roman"/>
              <w:sz w:val="21"/>
              <w:lang w:eastAsia="zh-CN"/>
            </w:rPr>
            <w:t>2</w:t>
          </w:r>
          <w:r>
            <w:rPr>
              <w:rStyle w:val="19"/>
              <w:rFonts w:hint="eastAsia" w:cs="Times New Roman"/>
              <w:sz w:val="21"/>
              <w:lang w:eastAsia="zh-CN"/>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"_Toc171074674" </w:instrText>
          </w:r>
          <w:r>
            <w:fldChar w:fldCharType="separate"/>
          </w:r>
          <w:r>
            <w:rPr>
              <w:rStyle w:val="19"/>
              <w:rFonts w:cs="Times New Roman"/>
              <w:color w:val="000000" w:themeColor="text1"/>
              <w:sz w:val="21"/>
              <w:lang w:eastAsia="zh-CN"/>
              <w14:textFill>
                <w14:solidFill>
                  <w14:schemeClr w14:val="tx1"/>
                </w14:solidFill>
              </w14:textFill>
            </w:rPr>
            <w:t xml:space="preserve">2.1 </w:t>
          </w:r>
          <w:r>
            <w:rPr>
              <w:rStyle w:val="19"/>
              <w:rFonts w:hint="eastAsia" w:cs="Times New Roman"/>
              <w:color w:val="000000" w:themeColor="text1"/>
              <w:sz w:val="21"/>
              <w:lang w:eastAsia="zh-CN"/>
              <w14:textFill>
                <w14:solidFill>
                  <w14:schemeClr w14:val="tx1"/>
                </w14:solidFill>
              </w14:textFill>
            </w:rPr>
            <w:t>Terms</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"_Toc171074675" </w:instrText>
          </w:r>
          <w:r>
            <w:fldChar w:fldCharType="separate"/>
          </w:r>
          <w:r>
            <w:rPr>
              <w:rStyle w:val="19"/>
              <w:rFonts w:cs="Times New Roman"/>
              <w:color w:val="000000" w:themeColor="text1"/>
              <w:sz w:val="21"/>
              <w:lang w:eastAsia="zh-CN"/>
              <w14:textFill>
                <w14:solidFill>
                  <w14:schemeClr w14:val="tx1"/>
                </w14:solidFill>
              </w14:textFill>
            </w:rPr>
            <w:t xml:space="preserve">2.2 </w:t>
          </w:r>
          <w:r>
            <w:rPr>
              <w:rStyle w:val="19"/>
              <w:rFonts w:hint="eastAsia" w:cs="Times New Roman"/>
              <w:color w:val="000000" w:themeColor="text1"/>
              <w:sz w:val="21"/>
              <w:lang w:eastAsia="zh-CN"/>
              <w14:textFill>
                <w14:solidFill>
                  <w14:schemeClr w14:val="tx1"/>
                </w14:solidFill>
              </w14:textFill>
            </w:rPr>
            <w:t>Symbols</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fldChar w:fldCharType="end"/>
          </w:r>
        </w:p>
        <w:p>
          <w:pPr>
            <w:pStyle w:val="12"/>
            <w:tabs>
              <w:tab w:val="right" w:leader="dot" w:pos="8296"/>
            </w:tabs>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"_Toc171074676" </w:instrText>
          </w:r>
          <w:r>
            <w:fldChar w:fldCharType="separate"/>
          </w:r>
          <w:r>
            <w:rPr>
              <w:rStyle w:val="19"/>
              <w:rFonts w:cs="Times New Roman"/>
              <w:color w:val="000000" w:themeColor="text1"/>
              <w:sz w:val="21"/>
              <w:lang w:eastAsia="zh-CN"/>
              <w14:textFill>
                <w14:solidFill>
                  <w14:schemeClr w14:val="tx1"/>
                </w14:solidFill>
              </w14:textFill>
            </w:rPr>
            <w:t xml:space="preserve">3 </w:t>
          </w:r>
          <w:r>
            <w:rPr>
              <w:rStyle w:val="19"/>
              <w:rFonts w:hint="eastAsia" w:cs="Times New Roman"/>
              <w:color w:val="000000" w:themeColor="text1"/>
              <w:sz w:val="21"/>
              <w:lang w:eastAsia="zh-CN"/>
              <w14:textFill>
                <w14:solidFill>
                  <w14:schemeClr w14:val="tx1"/>
                </w14:solidFill>
              </w14:textFill>
            </w:rPr>
            <w:t>Design</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6</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"_Toc171074677" </w:instrText>
          </w:r>
          <w:r>
            <w:fldChar w:fldCharType="separate"/>
          </w:r>
          <w:r>
            <w:rPr>
              <w:rStyle w:val="19"/>
              <w:rFonts w:cs="Times New Roman"/>
              <w:sz w:val="21"/>
              <w:lang w:eastAsia="zh-CN"/>
            </w:rPr>
            <w:t xml:space="preserve">3.1 General </w:t>
          </w:r>
          <w:r>
            <w:rPr>
              <w:rStyle w:val="19"/>
              <w:rFonts w:hint="eastAsia" w:cs="Times New Roman"/>
              <w:sz w:val="21"/>
              <w:lang w:eastAsia="zh-CN"/>
            </w:rPr>
            <w:t>requirements</w:t>
          </w:r>
          <w:r>
            <w:rPr>
              <w:rStyle w:val="19"/>
              <w:rFonts w:cs="Times New Roman"/>
              <w:sz w:val="21"/>
            </w:rPr>
            <w:tab/>
          </w:r>
          <w:r>
            <w:rPr>
              <w:rStyle w:val="19"/>
              <w:rFonts w:hint="eastAsia" w:cs="Times New Roman"/>
              <w:sz w:val="21"/>
              <w:lang w:eastAsia="zh-CN"/>
            </w:rPr>
            <w:t>6</w:t>
          </w:r>
          <w:r>
            <w:rPr>
              <w:rStyle w:val="19"/>
              <w:rFonts w:hint="eastAsia" w:cs="Times New Roman"/>
              <w:sz w:val="21"/>
              <w:lang w:eastAsia="zh-CN"/>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"_Toc171074678" </w:instrText>
          </w:r>
          <w:r>
            <w:fldChar w:fldCharType="separate"/>
          </w:r>
          <w:r>
            <w:rPr>
              <w:rStyle w:val="19"/>
              <w:rFonts w:cs="Times New Roman"/>
              <w:color w:val="000000" w:themeColor="text1"/>
              <w:sz w:val="21"/>
              <w:lang w:eastAsia="zh-CN"/>
              <w14:textFill>
                <w14:solidFill>
                  <w14:schemeClr w14:val="tx1"/>
                </w14:solidFill>
              </w14:textFill>
            </w:rPr>
            <w:t xml:space="preserve">3.2 </w:t>
          </w:r>
          <w:r>
            <w:rPr>
              <w:rFonts w:hint="eastAsia" w:cs="Times New Roman"/>
            </w:rPr>
            <w:t xml:space="preserve">Selection of </w:t>
          </w:r>
          <w:r>
            <w:rPr>
              <w:rFonts w:hint="eastAsia" w:cs="Times New Roman"/>
              <w:lang w:eastAsia="zh-CN"/>
            </w:rPr>
            <w:t>repair</w:t>
          </w:r>
          <w:r>
            <w:rPr>
              <w:rFonts w:hint="eastAsia" w:cs="Times New Roman"/>
            </w:rPr>
            <w:t xml:space="preserve"> method</w:t>
          </w:r>
          <w:r>
            <w:rPr>
              <w:rFonts w:hint="eastAsia" w:cs="Times New Roman"/>
              <w:lang w:eastAsia="zh-CN"/>
            </w:rPr>
            <w:t>s</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7</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"_Toc171074679" </w:instrText>
          </w:r>
          <w:r>
            <w:fldChar w:fldCharType="separate"/>
          </w:r>
          <w:r>
            <w:rPr>
              <w:rStyle w:val="19"/>
              <w:rFonts w:cs="Times New Roman"/>
              <w:color w:val="000000" w:themeColor="text1"/>
              <w:sz w:val="21"/>
              <w:lang w:eastAsia="zh-CN"/>
              <w14:textFill>
                <w14:solidFill>
                  <w14:schemeClr w14:val="tx1"/>
                </w14:solidFill>
              </w14:textFill>
            </w:rPr>
            <w:t xml:space="preserve">3.3 </w:t>
          </w:r>
          <w:r>
            <w:rPr>
              <w:rFonts w:hint="eastAsia" w:cs="Times New Roman"/>
            </w:rPr>
            <w:t>Design of Liner</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8</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"_Toc171074680" </w:instrText>
          </w:r>
          <w:r>
            <w:fldChar w:fldCharType="separate"/>
          </w:r>
          <w:r>
            <w:rPr>
              <w:rStyle w:val="19"/>
              <w:rFonts w:cs="Times New Roman"/>
              <w:color w:val="000000" w:themeColor="text1"/>
              <w:sz w:val="21"/>
              <w:lang w:eastAsia="zh-CN"/>
              <w14:textFill>
                <w14:solidFill>
                  <w14:schemeClr w14:val="tx1"/>
                </w14:solidFill>
              </w14:textFill>
            </w:rPr>
            <w:t xml:space="preserve">3.4 </w:t>
          </w:r>
          <w:r>
            <w:rPr>
              <w:rFonts w:hint="eastAsia" w:cs="Times New Roman"/>
            </w:rPr>
            <w:t>Design of spray-on liner</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12</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"_Toc171074681" </w:instrText>
          </w:r>
          <w:r>
            <w:fldChar w:fldCharType="separate"/>
          </w:r>
          <w:r>
            <w:rPr>
              <w:rStyle w:val="19"/>
              <w:rFonts w:cs="Times New Roman"/>
              <w:color w:val="000000" w:themeColor="text1"/>
              <w:sz w:val="21"/>
              <w:lang w:eastAsia="zh-CN"/>
              <w14:textFill>
                <w14:solidFill>
                  <w14:schemeClr w14:val="tx1"/>
                </w14:solidFill>
              </w14:textFill>
            </w:rPr>
            <w:t xml:space="preserve">3.5 </w:t>
          </w:r>
          <w:r>
            <w:rPr>
              <w:rFonts w:hint="eastAsia" w:cs="Times New Roman"/>
            </w:rPr>
            <w:t>Hydraulic design</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12</w:t>
          </w:r>
          <w:r>
            <w:rPr>
              <w:rFonts w:hint="eastAsia" w:cs="Times New Roman"/>
              <w:color w:val="000000" w:themeColor="text1"/>
              <w:sz w:val="21"/>
              <w:lang w:eastAsia="zh-CN"/>
              <w14:textFill>
                <w14:solidFill>
                  <w14:schemeClr w14:val="tx1"/>
                </w14:solidFill>
              </w14:textFill>
            </w:rPr>
            <w:fldChar w:fldCharType="end"/>
          </w:r>
        </w:p>
        <w:p>
          <w:pPr>
            <w:pStyle w:val="12"/>
            <w:tabs>
              <w:tab w:val="right" w:leader="dot" w:pos="8296"/>
            </w:tabs>
            <w:rPr>
              <w:rFonts w:cs="Times New Roman" w:eastAsiaTheme="minorEastAsia"/>
              <w:snapToGrid/>
              <w:color w:val="000000" w:themeColor="text1"/>
              <w:kern w:val="2"/>
              <w:sz w:val="21"/>
              <w:lang w:eastAsia="zh-CN"/>
              <w14:textFill>
                <w14:solidFill>
                  <w14:schemeClr w14:val="tx1"/>
                </w14:solidFill>
              </w14:textFill>
              <w14:ligatures w14:val="standardContextual"/>
            </w:rPr>
          </w:pPr>
          <w:bookmarkStart w:id="3" w:name="OLE_LINK27"/>
          <w:r>
            <w:fldChar w:fldCharType="begin"/>
          </w:r>
          <w:r>
            <w:instrText xml:space="preserve">HYPERLINK \l "_Toc171074683"</w:instrText>
          </w:r>
          <w:r>
            <w:fldChar w:fldCharType="separate"/>
          </w:r>
          <w:r>
            <w:rPr>
              <w:rStyle w:val="19"/>
              <w:rFonts w:cs="Times New Roman"/>
              <w:color w:val="000000" w:themeColor="text1"/>
              <w:sz w:val="21"/>
              <w:lang w:eastAsia="zh-CN"/>
              <w14:textFill>
                <w14:solidFill>
                  <w14:schemeClr w14:val="tx1"/>
                </w14:solidFill>
              </w14:textFill>
            </w:rPr>
            <w:t xml:space="preserve">4 </w:t>
          </w:r>
          <w:r>
            <w:rPr>
              <w:kern w:val="44"/>
            </w:rPr>
            <w:t>Material</w:t>
          </w:r>
          <w:r>
            <w:rPr>
              <w:rFonts w:hint="eastAsia"/>
              <w:kern w:val="44"/>
              <w:lang w:eastAsia="zh-CN"/>
            </w:rPr>
            <w:t xml:space="preserve"> and equipment</w:t>
          </w:r>
          <w:r>
            <w:rPr>
              <w:rFonts w:cs="Times New Roman"/>
              <w:color w:val="000000" w:themeColor="text1"/>
              <w:sz w:val="21"/>
              <w14:textFill>
                <w14:solidFill>
                  <w14:schemeClr w14:val="tx1"/>
                </w14:solidFill>
              </w14:textFill>
            </w:rPr>
            <w:tab/>
          </w:r>
          <w:r>
            <w:rPr>
              <w:rFonts w:cs="Times New Roman"/>
              <w:color w:val="000000" w:themeColor="text1"/>
              <w:sz w:val="21"/>
              <w14:textFill>
                <w14:solidFill>
                  <w14:schemeClr w14:val="tx1"/>
                </w14:solidFill>
              </w14:textFill>
            </w:rPr>
            <w:fldChar w:fldCharType="begin"/>
          </w:r>
          <w:r>
            <w:rPr>
              <w:rFonts w:cs="Times New Roman"/>
              <w:color w:val="000000" w:themeColor="text1"/>
              <w:sz w:val="21"/>
              <w14:textFill>
                <w14:solidFill>
                  <w14:schemeClr w14:val="tx1"/>
                </w14:solidFill>
              </w14:textFill>
            </w:rPr>
            <w:instrText xml:space="preserve"> PAGEREF _Toc171074683 \h </w:instrText>
          </w:r>
          <w:r>
            <w:rPr>
              <w:rFonts w:cs="Times New Roman"/>
              <w:color w:val="000000" w:themeColor="text1"/>
              <w:sz w:val="21"/>
              <w14:textFill>
                <w14:solidFill>
                  <w14:schemeClr w14:val="tx1"/>
                </w14:solidFill>
              </w14:textFill>
            </w:rPr>
            <w:fldChar w:fldCharType="separate"/>
          </w:r>
          <w:r>
            <w:rPr>
              <w:rFonts w:hint="eastAsia" w:cs="Times New Roman"/>
              <w:color w:val="000000" w:themeColor="text1"/>
              <w:sz w:val="21"/>
              <w:lang w:eastAsia="zh-CN"/>
              <w14:textFill>
                <w14:solidFill>
                  <w14:schemeClr w14:val="tx1"/>
                </w14:solidFill>
              </w14:textFill>
            </w:rPr>
            <w:t>14</w:t>
          </w:r>
          <w:r>
            <w:rPr>
              <w:rFonts w:cs="Times New Roman"/>
              <w:color w:val="000000" w:themeColor="text1"/>
              <w:sz w:val="21"/>
              <w14:textFill>
                <w14:solidFill>
                  <w14:schemeClr w14:val="tx1"/>
                </w14:solidFill>
              </w14:textFill>
            </w:rPr>
            <w:fldChar w:fldCharType="end"/>
          </w:r>
          <w:r>
            <w:fldChar w:fldCharType="end"/>
          </w:r>
        </w:p>
        <w:p>
          <w:pPr>
            <w:pStyle w:val="13"/>
            <w:tabs>
              <w:tab w:val="right" w:leader="dot" w:pos="8296"/>
            </w:tabs>
            <w:ind w:left="480"/>
          </w:pPr>
          <w:r>
            <w:fldChar w:fldCharType="begin"/>
          </w:r>
          <w:r>
            <w:instrText xml:space="preserve"> HYPERLINK \l "_Toc171074684" </w:instrText>
          </w:r>
          <w:r>
            <w:fldChar w:fldCharType="separate"/>
          </w:r>
          <w:r>
            <w:rPr>
              <w:rStyle w:val="19"/>
              <w:rFonts w:cs="Times New Roman"/>
              <w:color w:val="000000" w:themeColor="text1"/>
              <w:sz w:val="21"/>
              <w:lang w:eastAsia="zh-CN"/>
              <w14:textFill>
                <w14:solidFill>
                  <w14:schemeClr w14:val="tx1"/>
                </w14:solidFill>
              </w14:textFill>
            </w:rPr>
            <w:t>4.1 General requirements</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14</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bookmarkStart w:id="4" w:name="OLE_LINK104"/>
          <w:r>
            <w:fldChar w:fldCharType="begin"/>
          </w:r>
          <w:r>
            <w:instrText xml:space="preserve">HYPERLINK \l "_Toc171074685"</w:instrText>
          </w:r>
          <w:r>
            <w:fldChar w:fldCharType="separate"/>
          </w:r>
          <w:r>
            <w:rPr>
              <w:rStyle w:val="19"/>
              <w:rFonts w:hint="eastAsia" w:cs="Times New Roman"/>
              <w:color w:val="000000" w:themeColor="text1"/>
              <w:sz w:val="21"/>
              <w:lang w:eastAsia="zh-CN"/>
              <w14:textFill>
                <w14:solidFill>
                  <w14:schemeClr w14:val="tx1"/>
                </w14:solidFill>
              </w14:textFill>
            </w:rPr>
            <w:t>4.3</w:t>
          </w:r>
          <w:r>
            <w:rPr>
              <w:rStyle w:val="19"/>
              <w:rFonts w:cs="Times New Roman"/>
              <w:color w:val="000000" w:themeColor="text1"/>
              <w:sz w:val="21"/>
              <w:lang w:eastAsia="zh-CN"/>
              <w14:textFill>
                <w14:solidFill>
                  <w14:schemeClr w14:val="tx1"/>
                </w14:solidFill>
              </w14:textFill>
            </w:rPr>
            <w:t xml:space="preserve"> </w:t>
          </w:r>
          <w:r>
            <w:rPr>
              <w:rStyle w:val="19"/>
              <w:rFonts w:hint="eastAsia"/>
              <w:color w:val="000000" w:themeColor="text1"/>
              <w:sz w:val="21"/>
              <w14:textFill>
                <w14:solidFill>
                  <w14:schemeClr w14:val="tx1"/>
                </w14:solidFill>
              </w14:textFill>
            </w:rPr>
            <w:t>Pretreatment Materials</w:t>
          </w:r>
          <w:r>
            <w:rPr>
              <w:rStyle w:val="19"/>
              <w:rFonts w:cs="Times New Roman"/>
              <w:color w:val="000000" w:themeColor="text1"/>
              <w:sz w:val="21"/>
              <w14:textFill>
                <w14:solidFill>
                  <w14:schemeClr w14:val="tx1"/>
                </w14:solidFill>
              </w14:textFill>
            </w:rPr>
            <w:tab/>
          </w:r>
          <w:r>
            <w:rPr>
              <w:rStyle w:val="19"/>
              <w:rFonts w:hint="eastAsia" w:cs="Times New Roman"/>
              <w:color w:val="000000" w:themeColor="text1"/>
              <w:sz w:val="21"/>
              <w:lang w:eastAsia="zh-CN"/>
              <w14:textFill>
                <w14:solidFill>
                  <w14:schemeClr w14:val="tx1"/>
                </w14:solidFill>
              </w14:textFill>
            </w:rPr>
            <w:t>14</w:t>
          </w:r>
          <w:r>
            <w:fldChar w:fldCharType="end"/>
          </w:r>
        </w:p>
        <w:bookmarkEnd w:id="4"/>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HYPERLINK \l "_Toc171074685"</w:instrText>
          </w:r>
          <w:r>
            <w:fldChar w:fldCharType="separate"/>
          </w:r>
          <w:r>
            <w:rPr>
              <w:rStyle w:val="19"/>
              <w:rFonts w:cs="Times New Roman"/>
              <w:color w:val="000000" w:themeColor="text1"/>
              <w:sz w:val="21"/>
              <w:lang w:eastAsia="zh-CN"/>
              <w14:textFill>
                <w14:solidFill>
                  <w14:schemeClr w14:val="tx1"/>
                </w14:solidFill>
              </w14:textFill>
            </w:rPr>
            <w:t>4.</w:t>
          </w:r>
          <w:r>
            <w:rPr>
              <w:rStyle w:val="19"/>
              <w:rFonts w:hint="eastAsia" w:cs="Times New Roman"/>
              <w:color w:val="000000" w:themeColor="text1"/>
              <w:sz w:val="21"/>
              <w:lang w:eastAsia="zh-CN"/>
              <w14:textFill>
                <w14:solidFill>
                  <w14:schemeClr w14:val="tx1"/>
                </w14:solidFill>
              </w14:textFill>
            </w:rPr>
            <w:t>3</w:t>
          </w:r>
          <w:r>
            <w:rPr>
              <w:rStyle w:val="19"/>
              <w:rFonts w:cs="Times New Roman"/>
              <w:color w:val="000000" w:themeColor="text1"/>
              <w:sz w:val="21"/>
              <w:lang w:eastAsia="zh-CN"/>
              <w14:textFill>
                <w14:solidFill>
                  <w14:schemeClr w14:val="tx1"/>
                </w14:solidFill>
              </w14:textFill>
            </w:rPr>
            <w:t xml:space="preserve"> </w:t>
          </w:r>
          <w:r>
            <w:rPr>
              <w:rStyle w:val="19"/>
              <w:rFonts w:hint="eastAsia"/>
              <w:color w:val="000000" w:themeColor="text1"/>
              <w:sz w:val="21"/>
              <w14:textFill>
                <w14:solidFill>
                  <w14:schemeClr w14:val="tx1"/>
                </w14:solidFill>
              </w14:textFill>
            </w:rPr>
            <w:t xml:space="preserve">UV </w:t>
          </w:r>
          <w:r>
            <w:rPr>
              <w:rStyle w:val="19"/>
              <w:color w:val="000000" w:themeColor="text1"/>
              <w:sz w:val="21"/>
              <w:lang w:eastAsia="zh-CN"/>
              <w14:textFill>
                <w14:solidFill>
                  <w14:schemeClr w14:val="tx1"/>
                </w14:solidFill>
              </w14:textFill>
            </w:rPr>
            <w:t>cur</w:t>
          </w:r>
          <w:r>
            <w:rPr>
              <w:rStyle w:val="19"/>
              <w:rFonts w:hint="eastAsia"/>
              <w:color w:val="000000" w:themeColor="text1"/>
              <w:sz w:val="21"/>
              <w:lang w:eastAsia="zh-CN"/>
              <w14:textFill>
                <w14:solidFill>
                  <w14:schemeClr w14:val="tx1"/>
                </w14:solidFill>
              </w14:textFill>
            </w:rPr>
            <w:t>e</w:t>
          </w:r>
          <w:r>
            <w:rPr>
              <w:rStyle w:val="19"/>
              <w:color w:val="000000" w:themeColor="text1"/>
              <w:sz w:val="21"/>
              <w:lang w:eastAsia="zh-CN"/>
              <w14:textFill>
                <w14:solidFill>
                  <w14:schemeClr w14:val="tx1"/>
                </w14:solidFill>
              </w14:textFill>
            </w:rPr>
            <w:t>d</w:t>
          </w:r>
          <w:r>
            <w:rPr>
              <w:rStyle w:val="19"/>
              <w:rFonts w:hint="eastAsia"/>
              <w:color w:val="000000" w:themeColor="text1"/>
              <w:sz w:val="21"/>
              <w14:textFill>
                <w14:solidFill>
                  <w14:schemeClr w14:val="tx1"/>
                </w14:solidFill>
              </w14:textFill>
            </w:rPr>
            <w:t>-</w:t>
          </w:r>
          <w:r>
            <w:rPr>
              <w:rStyle w:val="19"/>
              <w:color w:val="000000" w:themeColor="text1"/>
              <w:sz w:val="21"/>
              <w:lang w:eastAsia="zh-CN"/>
              <w14:textFill>
                <w14:solidFill>
                  <w14:schemeClr w14:val="tx1"/>
                </w14:solidFill>
              </w14:textFill>
            </w:rPr>
            <w:t>in</w:t>
          </w:r>
          <w:r>
            <w:rPr>
              <w:rStyle w:val="19"/>
              <w:rFonts w:hint="eastAsia"/>
              <w:color w:val="000000" w:themeColor="text1"/>
              <w:sz w:val="21"/>
              <w14:textFill>
                <w14:solidFill>
                  <w14:schemeClr w14:val="tx1"/>
                </w14:solidFill>
              </w14:textFill>
            </w:rPr>
            <w:t>-</w:t>
          </w:r>
          <w:r>
            <w:rPr>
              <w:rStyle w:val="19"/>
              <w:color w:val="000000" w:themeColor="text1"/>
              <w:sz w:val="21"/>
              <w:lang w:eastAsia="zh-CN"/>
              <w14:textFill>
                <w14:solidFill>
                  <w14:schemeClr w14:val="tx1"/>
                </w14:solidFill>
              </w14:textFill>
            </w:rPr>
            <w:t>place</w:t>
          </w:r>
          <w:r>
            <w:rPr>
              <w:rStyle w:val="19"/>
              <w:rFonts w:hint="eastAsia"/>
              <w:color w:val="000000" w:themeColor="text1"/>
              <w:sz w:val="21"/>
              <w14:textFill>
                <w14:solidFill>
                  <w14:schemeClr w14:val="tx1"/>
                </w14:solidFill>
              </w14:textFill>
            </w:rPr>
            <w:t xml:space="preserve"> </w:t>
          </w:r>
          <w:r>
            <w:rPr>
              <w:rStyle w:val="19"/>
              <w:color w:val="000000" w:themeColor="text1"/>
              <w:sz w:val="21"/>
              <w:lang w:eastAsia="zh-CN"/>
              <w14:textFill>
                <w14:solidFill>
                  <w14:schemeClr w14:val="tx1"/>
                </w14:solidFill>
              </w14:textFill>
            </w:rPr>
            <w:t>pipe method</w:t>
          </w:r>
          <w:r>
            <w:rPr>
              <w:rStyle w:val="19"/>
              <w:rFonts w:cs="Times New Roman"/>
              <w:color w:val="000000" w:themeColor="text1"/>
              <w:sz w:val="21"/>
              <w14:textFill>
                <w14:solidFill>
                  <w14:schemeClr w14:val="tx1"/>
                </w14:solidFill>
              </w14:textFill>
            </w:rPr>
            <w:tab/>
          </w:r>
          <w:r>
            <w:rPr>
              <w:rStyle w:val="19"/>
              <w:rFonts w:hint="eastAsia" w:cs="Times New Roman"/>
              <w:color w:val="000000" w:themeColor="text1"/>
              <w:sz w:val="21"/>
              <w:lang w:eastAsia="zh-CN"/>
              <w14:textFill>
                <w14:solidFill>
                  <w14:schemeClr w14:val="tx1"/>
                </w14:solidFill>
              </w14:textFill>
            </w:rPr>
            <w:t>17</w:t>
          </w:r>
          <w: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"_Toc171074686" </w:instrText>
          </w:r>
          <w:r>
            <w:fldChar w:fldCharType="separate"/>
          </w:r>
          <w:r>
            <w:rPr>
              <w:rStyle w:val="19"/>
              <w:rFonts w:cs="Times New Roman"/>
              <w:color w:val="000000" w:themeColor="text1"/>
              <w:sz w:val="21"/>
              <w:lang w:eastAsia="zh-CN"/>
              <w14:textFill>
                <w14:solidFill>
                  <w14:schemeClr w14:val="tx1"/>
                </w14:solidFill>
              </w14:textFill>
            </w:rPr>
            <w:t>4.</w:t>
          </w:r>
          <w:r>
            <w:rPr>
              <w:rStyle w:val="19"/>
              <w:rFonts w:hint="eastAsia" w:cs="Times New Roman"/>
              <w:color w:val="000000" w:themeColor="text1"/>
              <w:sz w:val="21"/>
              <w:lang w:eastAsia="zh-CN"/>
              <w14:textFill>
                <w14:solidFill>
                  <w14:schemeClr w14:val="tx1"/>
                </w14:solidFill>
              </w14:textFill>
            </w:rPr>
            <w:t>4</w:t>
          </w:r>
          <w:r>
            <w:rPr>
              <w:rStyle w:val="19"/>
              <w:rFonts w:cs="Times New Roman"/>
              <w:color w:val="000000" w:themeColor="text1"/>
              <w:sz w:val="21"/>
              <w:lang w:eastAsia="zh-CN"/>
              <w14:textFill>
                <w14:solidFill>
                  <w14:schemeClr w14:val="tx1"/>
                </w14:solidFill>
              </w14:textFill>
            </w:rPr>
            <w:t xml:space="preserve"> </w:t>
          </w:r>
          <w:r>
            <w:rPr>
              <w:rStyle w:val="19"/>
              <w:rFonts w:hint="eastAsia"/>
              <w:color w:val="000000" w:themeColor="text1"/>
              <w:sz w:val="21"/>
              <w:lang w:eastAsia="zh-CN"/>
              <w14:textFill>
                <w14:solidFill>
                  <w14:schemeClr w14:val="tx1"/>
                </w14:solidFill>
              </w14:textFill>
            </w:rPr>
            <w:t>I</w:t>
          </w:r>
          <w:r>
            <w:rPr>
              <w:rStyle w:val="19"/>
              <w:color w:val="000000" w:themeColor="text1"/>
              <w:sz w:val="21"/>
              <w14:textFill>
                <w14:solidFill>
                  <w14:schemeClr w14:val="tx1"/>
                </w14:solidFill>
              </w14:textFill>
            </w:rPr>
            <w:t xml:space="preserve">nversion </w:t>
          </w:r>
          <w:r>
            <w:rPr>
              <w:rStyle w:val="19"/>
              <w:rFonts w:hint="eastAsia"/>
              <w:color w:val="000000" w:themeColor="text1"/>
              <w:sz w:val="21"/>
              <w14:textFill>
                <w14:solidFill>
                  <w14:schemeClr w14:val="tx1"/>
                </w14:solidFill>
              </w14:textFill>
            </w:rPr>
            <w:t>cured-in-place pipe</w:t>
          </w:r>
          <w:r>
            <w:rPr>
              <w:rStyle w:val="19"/>
              <w:color w:val="000000" w:themeColor="text1"/>
              <w:sz w:val="21"/>
              <w14:textFill>
                <w14:solidFill>
                  <w14:schemeClr w14:val="tx1"/>
                </w14:solidFill>
              </w14:textFill>
            </w:rPr>
            <w:t xml:space="preserve"> method</w:t>
          </w:r>
          <w:r>
            <w:rPr>
              <w:rStyle w:val="19"/>
              <w:rFonts w:cs="Times New Roman"/>
              <w:color w:val="000000" w:themeColor="text1"/>
              <w:sz w:val="21"/>
              <w14:textFill>
                <w14:solidFill>
                  <w14:schemeClr w14:val="tx1"/>
                </w14:solidFill>
              </w14:textFill>
            </w:rPr>
            <w:tab/>
          </w:r>
          <w:r>
            <w:rPr>
              <w:rStyle w:val="19"/>
              <w:rFonts w:hint="eastAsia" w:cs="Times New Roman"/>
              <w:color w:val="000000" w:themeColor="text1"/>
              <w:sz w:val="21"/>
              <w:lang w:eastAsia="zh-CN"/>
              <w14:textFill>
                <w14:solidFill>
                  <w14:schemeClr w14:val="tx1"/>
                </w14:solidFill>
              </w14:textFill>
            </w:rPr>
            <w:t>18</w:t>
          </w:r>
          <w:r>
            <w:rPr>
              <w:rStyle w:val="19"/>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"_Toc171074687" </w:instrText>
          </w:r>
          <w:r>
            <w:fldChar w:fldCharType="separate"/>
          </w:r>
          <w:r>
            <w:rPr>
              <w:rStyle w:val="19"/>
              <w:rFonts w:cs="Times New Roman"/>
              <w:color w:val="000000" w:themeColor="text1"/>
              <w:sz w:val="21"/>
              <w:lang w:eastAsia="zh-CN"/>
              <w14:textFill>
                <w14:solidFill>
                  <w14:schemeClr w14:val="tx1"/>
                </w14:solidFill>
              </w14:textFill>
            </w:rPr>
            <w:t>4.</w:t>
          </w:r>
          <w:r>
            <w:rPr>
              <w:rStyle w:val="19"/>
              <w:rFonts w:hint="eastAsia" w:cs="Times New Roman"/>
              <w:color w:val="000000" w:themeColor="text1"/>
              <w:sz w:val="21"/>
              <w:lang w:eastAsia="zh-CN"/>
              <w14:textFill>
                <w14:solidFill>
                  <w14:schemeClr w14:val="tx1"/>
                </w14:solidFill>
              </w14:textFill>
            </w:rPr>
            <w:t>5</w:t>
          </w:r>
          <w:r>
            <w:rPr>
              <w:rStyle w:val="19"/>
              <w:rFonts w:cs="Times New Roman"/>
              <w:color w:val="000000" w:themeColor="text1"/>
              <w:sz w:val="21"/>
              <w:lang w:eastAsia="zh-CN"/>
              <w14:textFill>
                <w14:solidFill>
                  <w14:schemeClr w14:val="tx1"/>
                </w14:solidFill>
              </w14:textFill>
            </w:rPr>
            <w:t xml:space="preserve"> </w:t>
          </w:r>
          <w:r>
            <w:rPr>
              <w:rStyle w:val="19"/>
              <w:rFonts w:hint="eastAsia" w:cs="Times New Roman"/>
              <w:color w:val="000000" w:themeColor="text1"/>
              <w:sz w:val="21"/>
              <w:lang w:eastAsia="zh-CN"/>
              <w14:textFill>
                <w14:solidFill>
                  <w14:schemeClr w14:val="tx1"/>
                </w14:solidFill>
              </w14:textFill>
            </w:rPr>
            <w:t xml:space="preserve">Formed-in-place </w:t>
          </w:r>
          <w:r>
            <w:rPr>
              <w:rStyle w:val="19"/>
              <w:rFonts w:cs="Times New Roman"/>
              <w:color w:val="000000" w:themeColor="text1"/>
              <w:sz w:val="21"/>
              <w:lang w:eastAsia="zh-CN"/>
              <w14:textFill>
                <w14:solidFill>
                  <w14:schemeClr w14:val="tx1"/>
                </w14:solidFill>
              </w14:textFill>
            </w:rPr>
            <w:t>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21</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pPr>
          <w:r>
            <w:fldChar w:fldCharType="begin"/>
          </w:r>
          <w:r>
            <w:instrText xml:space="preserve"> HYPERLINK \l "_Toc171074688" </w:instrText>
          </w:r>
          <w:r>
            <w:fldChar w:fldCharType="separate"/>
          </w:r>
          <w:r>
            <w:rPr>
              <w:rStyle w:val="19"/>
              <w:rFonts w:cs="Times New Roman"/>
              <w:color w:val="000000" w:themeColor="text1"/>
              <w:sz w:val="21"/>
              <w:lang w:eastAsia="zh-CN"/>
              <w14:textFill>
                <w14:solidFill>
                  <w14:schemeClr w14:val="tx1"/>
                </w14:solidFill>
              </w14:textFill>
            </w:rPr>
            <w:t>4.</w:t>
          </w:r>
          <w:r>
            <w:rPr>
              <w:rStyle w:val="19"/>
              <w:rFonts w:hint="eastAsia" w:cs="Times New Roman"/>
              <w:color w:val="000000" w:themeColor="text1"/>
              <w:sz w:val="21"/>
              <w:lang w:eastAsia="zh-CN"/>
              <w14:textFill>
                <w14:solidFill>
                  <w14:schemeClr w14:val="tx1"/>
                </w14:solidFill>
              </w14:textFill>
            </w:rPr>
            <w:t>6</w:t>
          </w:r>
          <w:r>
            <w:rPr>
              <w:rStyle w:val="19"/>
              <w:rFonts w:cs="Times New Roman"/>
              <w:color w:val="000000" w:themeColor="text1"/>
              <w:sz w:val="21"/>
              <w:lang w:eastAsia="zh-CN"/>
              <w14:textFill>
                <w14:solidFill>
                  <w14:schemeClr w14:val="tx1"/>
                </w14:solidFill>
              </w14:textFill>
            </w:rPr>
            <w:t xml:space="preserve"> </w:t>
          </w:r>
          <w:r>
            <w:rPr>
              <w:rStyle w:val="19"/>
              <w:rFonts w:hint="eastAsia" w:cs="Times New Roman"/>
              <w:color w:val="000000" w:themeColor="text1"/>
              <w:sz w:val="21"/>
              <w:lang w:eastAsia="zh-CN"/>
              <w14:textFill>
                <w14:solidFill>
                  <w14:schemeClr w14:val="tx1"/>
                </w14:solidFill>
              </w14:textFill>
            </w:rPr>
            <w:t>Lining with spirally-wound pipes 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22</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"_Toc171074689" </w:instrText>
          </w:r>
          <w:r>
            <w:fldChar w:fldCharType="separate"/>
          </w:r>
          <w:r>
            <w:rPr>
              <w:rStyle w:val="19"/>
              <w:rFonts w:cs="Times New Roman"/>
              <w:color w:val="000000" w:themeColor="text1"/>
              <w:sz w:val="21"/>
              <w:lang w:eastAsia="zh-CN"/>
              <w14:textFill>
                <w14:solidFill>
                  <w14:schemeClr w14:val="tx1"/>
                </w14:solidFill>
              </w14:textFill>
            </w:rPr>
            <w:t>4.</w:t>
          </w:r>
          <w:r>
            <w:rPr>
              <w:rStyle w:val="19"/>
              <w:rFonts w:hint="eastAsia" w:cs="Times New Roman"/>
              <w:color w:val="000000" w:themeColor="text1"/>
              <w:sz w:val="21"/>
              <w:lang w:eastAsia="zh-CN"/>
              <w14:textFill>
                <w14:solidFill>
                  <w14:schemeClr w14:val="tx1"/>
                </w14:solidFill>
              </w14:textFill>
            </w:rPr>
            <w:t>7</w:t>
          </w:r>
          <w:r>
            <w:rPr>
              <w:rStyle w:val="19"/>
              <w:rFonts w:cs="Times New Roman"/>
              <w:color w:val="000000" w:themeColor="text1"/>
              <w:sz w:val="21"/>
              <w:lang w:eastAsia="zh-CN"/>
              <w14:textFill>
                <w14:solidFill>
                  <w14:schemeClr w14:val="tx1"/>
                </w14:solidFill>
              </w14:textFill>
            </w:rPr>
            <w:t xml:space="preserve"> </w:t>
          </w:r>
          <w:bookmarkStart w:id="5" w:name="OLE_LINK81"/>
          <w:r>
            <w:rPr>
              <w:rStyle w:val="19"/>
              <w:rFonts w:hint="eastAsia" w:cs="Times New Roman"/>
              <w:color w:val="000000" w:themeColor="text1"/>
              <w:sz w:val="21"/>
              <w:lang w:eastAsia="zh-CN"/>
              <w14:textFill>
                <w14:solidFill>
                  <w14:schemeClr w14:val="tx1"/>
                </w14:solidFill>
              </w14:textFill>
            </w:rPr>
            <w:t>Short pipe lining method</w:t>
          </w:r>
          <w:bookmarkEnd w:id="5"/>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24</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"_Toc171074689" </w:instrText>
          </w:r>
          <w:r>
            <w:fldChar w:fldCharType="separate"/>
          </w:r>
          <w:r>
            <w:rPr>
              <w:rStyle w:val="19"/>
              <w:rFonts w:cs="Times New Roman"/>
              <w:color w:val="000000" w:themeColor="text1"/>
              <w:sz w:val="21"/>
              <w:lang w:eastAsia="zh-CN"/>
              <w14:textFill>
                <w14:solidFill>
                  <w14:schemeClr w14:val="tx1"/>
                </w14:solidFill>
              </w14:textFill>
            </w:rPr>
            <w:t>4.</w:t>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 xml:space="preserve"> </w:t>
          </w:r>
          <w:r>
            <w:rPr>
              <w:rStyle w:val="19"/>
              <w:color w:val="000000" w:themeColor="text1"/>
              <w:sz w:val="21"/>
              <w:lang w:eastAsia="zh-CN"/>
              <w14:textFill>
                <w14:solidFill>
                  <w14:schemeClr w14:val="tx1"/>
                </w14:solidFill>
              </w14:textFill>
            </w:rPr>
            <w:t>Spraying</w:t>
          </w:r>
          <w:r>
            <w:rPr>
              <w:rStyle w:val="19"/>
              <w:rFonts w:hint="eastAsia"/>
              <w:color w:val="000000" w:themeColor="text1"/>
              <w:sz w:val="21"/>
              <w:lang w:eastAsia="zh-CN"/>
              <w14:textFill>
                <w14:solidFill>
                  <w14:schemeClr w14:val="tx1"/>
                </w14:solidFill>
              </w14:textFill>
            </w:rPr>
            <w:t xml:space="preserve"> </w:t>
          </w:r>
          <w:r>
            <w:rPr>
              <w:rStyle w:val="19"/>
              <w:color w:val="000000" w:themeColor="text1"/>
              <w:sz w:val="21"/>
              <w:lang w:eastAsia="zh-CN"/>
              <w14:textFill>
                <w14:solidFill>
                  <w14:schemeClr w14:val="tx1"/>
                </w14:solidFill>
              </w14:textFill>
            </w:rPr>
            <w:t>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24</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"_Toc171074689" </w:instrText>
          </w:r>
          <w:r>
            <w:fldChar w:fldCharType="separate"/>
          </w:r>
          <w:r>
            <w:rPr>
              <w:rStyle w:val="19"/>
              <w:rFonts w:cs="Times New Roman"/>
              <w:color w:val="000000" w:themeColor="text1"/>
              <w:sz w:val="21"/>
              <w:lang w:eastAsia="zh-CN"/>
              <w14:textFill>
                <w14:solidFill>
                  <w14:schemeClr w14:val="tx1"/>
                </w14:solidFill>
              </w14:textFill>
            </w:rPr>
            <w:t>4.</w:t>
          </w:r>
          <w:r>
            <w:rPr>
              <w:rStyle w:val="19"/>
              <w:rFonts w:hint="eastAsia" w:cs="Times New Roman"/>
              <w:color w:val="000000" w:themeColor="text1"/>
              <w:sz w:val="21"/>
              <w:lang w:eastAsia="zh-CN"/>
              <w14:textFill>
                <w14:solidFill>
                  <w14:schemeClr w14:val="tx1"/>
                </w14:solidFill>
              </w14:textFill>
            </w:rPr>
            <w:t>9</w:t>
          </w:r>
          <w:r>
            <w:rPr>
              <w:rStyle w:val="19"/>
              <w:rFonts w:cs="Times New Roman"/>
              <w:color w:val="000000" w:themeColor="text1"/>
              <w:sz w:val="21"/>
              <w:lang w:eastAsia="zh-CN"/>
              <w14:textFill>
                <w14:solidFill>
                  <w14:schemeClr w14:val="tx1"/>
                </w14:solidFill>
              </w14:textFill>
            </w:rPr>
            <w:t xml:space="preserve"> </w:t>
          </w:r>
          <w:r>
            <w:rPr>
              <w:rStyle w:val="19"/>
              <w:rFonts w:hint="eastAsia" w:cs="Times New Roman"/>
              <w:color w:val="000000" w:themeColor="text1"/>
              <w:sz w:val="21"/>
              <w:lang w:eastAsia="zh-CN"/>
              <w14:textFill>
                <w14:solidFill>
                  <w14:schemeClr w14:val="tx1"/>
                </w14:solidFill>
              </w14:textFill>
            </w:rPr>
            <w:t xml:space="preserve">Pipe bursting </w:t>
          </w:r>
          <w:bookmarkStart w:id="6" w:name="OLE_LINK79"/>
          <w:r>
            <w:rPr>
              <w:rStyle w:val="19"/>
              <w:rFonts w:hint="eastAsia" w:cs="Times New Roman"/>
              <w:color w:val="000000" w:themeColor="text1"/>
              <w:sz w:val="21"/>
              <w:lang w:eastAsia="zh-CN"/>
              <w14:textFill>
                <w14:solidFill>
                  <w14:schemeClr w14:val="tx1"/>
                </w14:solidFill>
              </w14:textFill>
            </w:rPr>
            <w:t>method</w:t>
          </w:r>
          <w:bookmarkEnd w:id="6"/>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27</w:t>
          </w:r>
          <w:r>
            <w:rPr>
              <w:rFonts w:hint="eastAsia" w:cs="Times New Roman"/>
              <w:color w:val="000000" w:themeColor="text1"/>
              <w:sz w:val="21"/>
              <w:lang w:eastAsia="zh-CN"/>
              <w14:textFill>
                <w14:solidFill>
                  <w14:schemeClr w14:val="tx1"/>
                </w14:solidFill>
              </w14:textFill>
            </w:rPr>
            <w:fldChar w:fldCharType="end"/>
          </w:r>
        </w:p>
        <w:bookmarkEnd w:id="3"/>
        <w:p>
          <w:pPr>
            <w:pStyle w:val="12"/>
            <w:tabs>
              <w:tab w:val="right" w:leader="dot" w:pos="8296"/>
            </w:tabs>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HYPERLINK \l "_Toc171074683"</w:instrText>
          </w:r>
          <w:r>
            <w:fldChar w:fldCharType="separate"/>
          </w:r>
          <w:r>
            <w:rPr>
              <w:rStyle w:val="19"/>
              <w:rFonts w:hint="eastAsia" w:cs="Times New Roman"/>
              <w:sz w:val="21"/>
              <w:lang w:eastAsia="zh-CN"/>
            </w:rPr>
            <w:t>5</w:t>
          </w:r>
          <w:r>
            <w:rPr>
              <w:rStyle w:val="19"/>
              <w:rFonts w:cs="Times New Roman"/>
              <w:sz w:val="21"/>
              <w:lang w:eastAsia="zh-CN"/>
            </w:rPr>
            <w:t xml:space="preserve"> </w:t>
          </w:r>
          <w:bookmarkStart w:id="7" w:name="OLE_LINK129"/>
          <w:r>
            <w:rPr>
              <w:rStyle w:val="19"/>
              <w:rFonts w:cs="Times New Roman"/>
              <w:color w:val="000000" w:themeColor="text1"/>
              <w:sz w:val="21"/>
              <w:lang w:eastAsia="zh-CN"/>
              <w14:textFill>
                <w14:solidFill>
                  <w14:schemeClr w14:val="tx1"/>
                </w14:solidFill>
              </w14:textFill>
            </w:rPr>
            <w:t>Repair and pretreatment of functional defects</w:t>
          </w:r>
          <w:bookmarkEnd w:id="7"/>
          <w:r>
            <w:rPr>
              <w:rStyle w:val="19"/>
              <w:rFonts w:cs="Times New Roman"/>
              <w:sz w:val="21"/>
            </w:rPr>
            <w:tab/>
          </w:r>
          <w:r>
            <w:rPr>
              <w:rStyle w:val="19"/>
              <w:rFonts w:hint="eastAsia" w:cs="Times New Roman"/>
              <w:sz w:val="21"/>
              <w:lang w:eastAsia="zh-CN"/>
            </w:rPr>
            <w:t>29</w:t>
          </w:r>
          <w: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"_Toc171074684" </w:instrText>
          </w:r>
          <w:r>
            <w:fldChar w:fldCharType="separate"/>
          </w:r>
          <w:r>
            <w:rPr>
              <w:rStyle w:val="19"/>
              <w:rFonts w:hint="eastAsia" w:cs="Times New Roman"/>
              <w:color w:val="000000" w:themeColor="text1"/>
              <w:sz w:val="21"/>
              <w:lang w:eastAsia="zh-CN"/>
              <w14:textFill>
                <w14:solidFill>
                  <w14:schemeClr w14:val="tx1"/>
                </w14:solidFill>
              </w14:textFill>
            </w:rPr>
            <w:t>5</w:t>
          </w:r>
          <w:r>
            <w:rPr>
              <w:rStyle w:val="19"/>
              <w:rFonts w:cs="Times New Roman"/>
              <w:color w:val="000000" w:themeColor="text1"/>
              <w:sz w:val="21"/>
              <w:lang w:eastAsia="zh-CN"/>
              <w14:textFill>
                <w14:solidFill>
                  <w14:schemeClr w14:val="tx1"/>
                </w14:solidFill>
              </w14:textFill>
            </w:rPr>
            <w:t>.1 General requirements</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29</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"_Toc171074685" </w:instrText>
          </w:r>
          <w:r>
            <w:fldChar w:fldCharType="separate"/>
          </w:r>
          <w:r>
            <w:rPr>
              <w:rStyle w:val="19"/>
              <w:rFonts w:hint="eastAsia" w:cs="Times New Roman"/>
              <w:sz w:val="21"/>
              <w:lang w:eastAsia="zh-CN"/>
            </w:rPr>
            <w:t>5</w:t>
          </w:r>
          <w:r>
            <w:rPr>
              <w:rStyle w:val="19"/>
              <w:rFonts w:cs="Times New Roman"/>
              <w:sz w:val="21"/>
              <w:lang w:eastAsia="zh-CN"/>
            </w:rPr>
            <w:t xml:space="preserve">.2 </w:t>
          </w:r>
          <w:r>
            <w:rPr>
              <w:rStyle w:val="19"/>
              <w:rFonts w:hint="eastAsia" w:cs="Times New Roman"/>
              <w:sz w:val="21"/>
              <w:lang w:eastAsia="zh-CN"/>
            </w:rPr>
            <w:t>Functional defect fixes</w:t>
          </w:r>
          <w:r>
            <w:rPr>
              <w:rStyle w:val="19"/>
              <w:rFonts w:cs="Times New Roman"/>
              <w:sz w:val="21"/>
            </w:rPr>
            <w:tab/>
          </w:r>
          <w:r>
            <w:rPr>
              <w:rStyle w:val="19"/>
              <w:rFonts w:hint="eastAsia" w:cs="Times New Roman"/>
              <w:sz w:val="21"/>
              <w:lang w:eastAsia="zh-CN"/>
            </w:rPr>
            <w:t>30</w:t>
          </w:r>
          <w:r>
            <w:rPr>
              <w:rStyle w:val="19"/>
              <w:rFonts w:hint="eastAsia" w:cs="Times New Roman"/>
              <w:sz w:val="21"/>
              <w:lang w:eastAsia="zh-CN"/>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"_Toc171074686" </w:instrText>
          </w:r>
          <w:r>
            <w:fldChar w:fldCharType="separate"/>
          </w:r>
          <w:r>
            <w:rPr>
              <w:rStyle w:val="19"/>
              <w:rFonts w:hint="eastAsia" w:cs="Times New Roman"/>
              <w:color w:val="000000" w:themeColor="text1"/>
              <w:sz w:val="21"/>
              <w:lang w:eastAsia="zh-CN"/>
              <w14:textFill>
                <w14:solidFill>
                  <w14:schemeClr w14:val="tx1"/>
                </w14:solidFill>
              </w14:textFill>
            </w:rPr>
            <w:t>5</w:t>
          </w:r>
          <w:r>
            <w:rPr>
              <w:rStyle w:val="19"/>
              <w:rFonts w:cs="Times New Roman"/>
              <w:color w:val="000000" w:themeColor="text1"/>
              <w:sz w:val="21"/>
              <w:lang w:eastAsia="zh-CN"/>
              <w14:textFill>
                <w14:solidFill>
                  <w14:schemeClr w14:val="tx1"/>
                </w14:solidFill>
              </w14:textFill>
            </w:rPr>
            <w:t xml:space="preserve">.3 </w:t>
          </w:r>
          <w:r>
            <w:rPr>
              <w:rStyle w:val="19"/>
              <w:rFonts w:hint="eastAsia" w:cs="Times New Roman"/>
              <w:color w:val="000000" w:themeColor="text1"/>
              <w:sz w:val="21"/>
              <w:highlight w:val="none"/>
              <w:lang w:eastAsia="zh-CN"/>
              <w14:textFill>
                <w14:solidFill>
                  <w14:schemeClr w14:val="tx1"/>
                </w14:solidFill>
              </w14:textFill>
            </w:rPr>
            <w:t>Pretreatment</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31</w:t>
          </w:r>
          <w:r>
            <w:rPr>
              <w:rFonts w:hint="eastAsia" w:cs="Times New Roman"/>
              <w:color w:val="000000" w:themeColor="text1"/>
              <w:sz w:val="21"/>
              <w:lang w:eastAsia="zh-CN"/>
              <w14:textFill>
                <w14:solidFill>
                  <w14:schemeClr w14:val="tx1"/>
                </w14:solidFill>
              </w14:textFill>
            </w:rPr>
            <w:fldChar w:fldCharType="end"/>
          </w:r>
        </w:p>
        <w:p>
          <w:pPr>
            <w:pStyle w:val="12"/>
            <w:tabs>
              <w:tab w:val="right" w:leader="dot" w:pos="8296"/>
            </w:tabs>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"_Toc171074695" </w:instrText>
          </w:r>
          <w:r>
            <w:fldChar w:fldCharType="separate"/>
          </w:r>
          <w:r>
            <w:rPr>
              <w:rStyle w:val="19"/>
              <w:rFonts w:hint="eastAsia" w:cs="Times New Roman"/>
              <w:color w:val="000000" w:themeColor="text1"/>
              <w:sz w:val="21"/>
              <w:lang w:eastAsia="zh-CN"/>
              <w14:textFill>
                <w14:solidFill>
                  <w14:schemeClr w14:val="tx1"/>
                </w14:solidFill>
              </w14:textFill>
            </w:rPr>
            <w:t>6</w:t>
          </w:r>
          <w:r>
            <w:rPr>
              <w:rStyle w:val="19"/>
              <w:rFonts w:cs="Times New Roman"/>
              <w:color w:val="000000" w:themeColor="text1"/>
              <w:sz w:val="21"/>
              <w:lang w:eastAsia="zh-CN"/>
              <w14:textFill>
                <w14:solidFill>
                  <w14:schemeClr w14:val="tx1"/>
                </w14:solidFill>
              </w14:textFill>
            </w:rPr>
            <w:t xml:space="preserve"> </w:t>
          </w:r>
          <w:r>
            <w:rPr>
              <w:rStyle w:val="19"/>
              <w:rFonts w:hint="eastAsia" w:cs="Times New Roman"/>
              <w:color w:val="000000" w:themeColor="text1"/>
              <w:sz w:val="21"/>
              <w:lang w:eastAsia="zh-CN"/>
              <w14:textFill>
                <w14:solidFill>
                  <w14:schemeClr w14:val="tx1"/>
                </w14:solidFill>
              </w14:textFill>
            </w:rPr>
            <w:t>Construction</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34</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"_Toc171074696" </w:instrText>
          </w:r>
          <w:r>
            <w:fldChar w:fldCharType="separate"/>
          </w:r>
          <w:r>
            <w:rPr>
              <w:rStyle w:val="19"/>
              <w:rFonts w:hint="eastAsia" w:cs="Times New Roman"/>
              <w:color w:val="000000" w:themeColor="text1"/>
              <w:sz w:val="21"/>
              <w:lang w:eastAsia="zh-CN"/>
              <w14:textFill>
                <w14:solidFill>
                  <w14:schemeClr w14:val="tx1"/>
                </w14:solidFill>
              </w14:textFill>
            </w:rPr>
            <w:t>6</w:t>
          </w:r>
          <w:r>
            <w:rPr>
              <w:rStyle w:val="19"/>
              <w:rFonts w:cs="Times New Roman"/>
              <w:color w:val="000000" w:themeColor="text1"/>
              <w:sz w:val="21"/>
              <w:lang w:eastAsia="zh-CN"/>
              <w14:textFill>
                <w14:solidFill>
                  <w14:schemeClr w14:val="tx1"/>
                </w14:solidFill>
              </w14:textFill>
            </w:rPr>
            <w:t>.1 General requirements</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34</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"_Toc171074697" </w:instrText>
          </w:r>
          <w:r>
            <w:fldChar w:fldCharType="separate"/>
          </w:r>
          <w:r>
            <w:rPr>
              <w:rStyle w:val="19"/>
              <w:rFonts w:hint="eastAsia" w:cs="Times New Roman"/>
              <w:color w:val="000000" w:themeColor="text1"/>
              <w:sz w:val="21"/>
              <w:lang w:eastAsia="zh-CN"/>
              <w14:textFill>
                <w14:solidFill>
                  <w14:schemeClr w14:val="tx1"/>
                </w14:solidFill>
              </w14:textFill>
            </w:rPr>
            <w:t>6</w:t>
          </w:r>
          <w:r>
            <w:rPr>
              <w:rStyle w:val="19"/>
              <w:rFonts w:cs="Times New Roman"/>
              <w:color w:val="000000" w:themeColor="text1"/>
              <w:sz w:val="21"/>
              <w:lang w:eastAsia="zh-CN"/>
              <w14:textFill>
                <w14:solidFill>
                  <w14:schemeClr w14:val="tx1"/>
                </w14:solidFill>
              </w14:textFill>
            </w:rPr>
            <w:t xml:space="preserve">.2 </w:t>
          </w:r>
          <w:r>
            <w:rPr>
              <w:rStyle w:val="19"/>
              <w:rFonts w:hint="eastAsia" w:cs="Times New Roman"/>
              <w:color w:val="000000" w:themeColor="text1"/>
              <w:sz w:val="21"/>
              <w:lang w:eastAsia="zh-CN"/>
              <w14:textFill>
                <w14:solidFill>
                  <w14:schemeClr w14:val="tx1"/>
                </w14:solidFill>
              </w14:textFill>
            </w:rPr>
            <w:t xml:space="preserve">UV </w:t>
          </w:r>
          <w:r>
            <w:rPr>
              <w:rStyle w:val="19"/>
              <w:rFonts w:cs="Times New Roman"/>
              <w:color w:val="000000" w:themeColor="text1"/>
              <w:sz w:val="21"/>
              <w:lang w:eastAsia="zh-CN"/>
              <w14:textFill>
                <w14:solidFill>
                  <w14:schemeClr w14:val="tx1"/>
                </w14:solidFill>
              </w14:textFill>
            </w:rPr>
            <w:t>cur</w:t>
          </w:r>
          <w:r>
            <w:rPr>
              <w:rStyle w:val="19"/>
              <w:rFonts w:hint="eastAsia" w:cs="Times New Roman"/>
              <w:color w:val="000000" w:themeColor="text1"/>
              <w:sz w:val="21"/>
              <w:lang w:eastAsia="zh-CN"/>
              <w14:textFill>
                <w14:solidFill>
                  <w14:schemeClr w14:val="tx1"/>
                </w14:solidFill>
              </w14:textFill>
            </w:rPr>
            <w:t>e</w:t>
          </w:r>
          <w:r>
            <w:rPr>
              <w:rStyle w:val="19"/>
              <w:rFonts w:cs="Times New Roman"/>
              <w:color w:val="000000" w:themeColor="text1"/>
              <w:sz w:val="21"/>
              <w:lang w:eastAsia="zh-CN"/>
              <w14:textFill>
                <w14:solidFill>
                  <w14:schemeClr w14:val="tx1"/>
                </w14:solidFill>
              </w14:textFill>
            </w:rPr>
            <w:t>d</w:t>
          </w:r>
          <w:r>
            <w:rPr>
              <w:rStyle w:val="19"/>
              <w:rFonts w:hint="eastAsia" w:cs="Times New Roman"/>
              <w:color w:val="000000" w:themeColor="text1"/>
              <w:sz w:val="21"/>
              <w:lang w:eastAsia="zh-CN"/>
              <w14:textFill>
                <w14:solidFill>
                  <w14:schemeClr w14:val="tx1"/>
                </w14:solidFill>
              </w14:textFill>
            </w:rPr>
            <w:t>-</w:t>
          </w:r>
          <w:r>
            <w:rPr>
              <w:rStyle w:val="19"/>
              <w:rFonts w:cs="Times New Roman"/>
              <w:color w:val="000000" w:themeColor="text1"/>
              <w:sz w:val="21"/>
              <w:lang w:eastAsia="zh-CN"/>
              <w14:textFill>
                <w14:solidFill>
                  <w14:schemeClr w14:val="tx1"/>
                </w14:solidFill>
              </w14:textFill>
            </w:rPr>
            <w:t>in</w:t>
          </w:r>
          <w:r>
            <w:rPr>
              <w:rStyle w:val="19"/>
              <w:rFonts w:hint="eastAsia" w:cs="Times New Roman"/>
              <w:color w:val="000000" w:themeColor="text1"/>
              <w:sz w:val="21"/>
              <w:lang w:eastAsia="zh-CN"/>
              <w14:textFill>
                <w14:solidFill>
                  <w14:schemeClr w14:val="tx1"/>
                </w14:solidFill>
              </w14:textFill>
            </w:rPr>
            <w:t>-</w:t>
          </w:r>
          <w:r>
            <w:rPr>
              <w:rStyle w:val="19"/>
              <w:rFonts w:cs="Times New Roman"/>
              <w:color w:val="000000" w:themeColor="text1"/>
              <w:sz w:val="21"/>
              <w:lang w:eastAsia="zh-CN"/>
              <w14:textFill>
                <w14:solidFill>
                  <w14:schemeClr w14:val="tx1"/>
                </w14:solidFill>
              </w14:textFill>
            </w:rPr>
            <w:t>place</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pipe 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35</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"_Toc171074698" </w:instrText>
          </w:r>
          <w:r>
            <w:fldChar w:fldCharType="separate"/>
          </w:r>
          <w:r>
            <w:rPr>
              <w:rStyle w:val="19"/>
              <w:rFonts w:hint="eastAsia" w:cs="Times New Roman"/>
              <w:color w:val="000000" w:themeColor="text1"/>
              <w:sz w:val="21"/>
              <w:lang w:eastAsia="zh-CN"/>
              <w14:textFill>
                <w14:solidFill>
                  <w14:schemeClr w14:val="tx1"/>
                </w14:solidFill>
              </w14:textFill>
            </w:rPr>
            <w:t>6</w:t>
          </w:r>
          <w:r>
            <w:rPr>
              <w:rStyle w:val="19"/>
              <w:rFonts w:cs="Times New Roman"/>
              <w:color w:val="000000" w:themeColor="text1"/>
              <w:sz w:val="21"/>
              <w:lang w:eastAsia="zh-CN"/>
              <w14:textFill>
                <w14:solidFill>
                  <w14:schemeClr w14:val="tx1"/>
                </w14:solidFill>
              </w14:textFill>
            </w:rPr>
            <w:t xml:space="preserve">.3 </w:t>
          </w:r>
          <w:r>
            <w:rPr>
              <w:rStyle w:val="19"/>
              <w:rFonts w:hint="eastAsia" w:cs="Times New Roman"/>
              <w:color w:val="000000" w:themeColor="text1"/>
              <w:sz w:val="21"/>
              <w:lang w:eastAsia="zh-CN"/>
              <w14:textFill>
                <w14:solidFill>
                  <w14:schemeClr w14:val="tx1"/>
                </w14:solidFill>
              </w14:textFill>
            </w:rPr>
            <w:t>I</w:t>
          </w:r>
          <w:r>
            <w:rPr>
              <w:rStyle w:val="19"/>
              <w:rFonts w:cs="Times New Roman"/>
              <w:color w:val="000000" w:themeColor="text1"/>
              <w:sz w:val="21"/>
              <w:lang w:eastAsia="zh-CN"/>
              <w14:textFill>
                <w14:solidFill>
                  <w14:schemeClr w14:val="tx1"/>
                </w14:solidFill>
              </w14:textFill>
            </w:rPr>
            <w:t>nversion cured</w:t>
          </w:r>
          <w:r>
            <w:rPr>
              <w:rStyle w:val="19"/>
              <w:rFonts w:hint="eastAsia" w:cs="Times New Roman"/>
              <w:color w:val="000000" w:themeColor="text1"/>
              <w:sz w:val="21"/>
              <w:lang w:eastAsia="zh-CN"/>
              <w14:textFill>
                <w14:solidFill>
                  <w14:schemeClr w14:val="tx1"/>
                </w14:solidFill>
              </w14:textFill>
            </w:rPr>
            <w:t>-</w:t>
          </w:r>
          <w:r>
            <w:rPr>
              <w:rStyle w:val="19"/>
              <w:rFonts w:cs="Times New Roman"/>
              <w:color w:val="000000" w:themeColor="text1"/>
              <w:sz w:val="21"/>
              <w:lang w:eastAsia="zh-CN"/>
              <w14:textFill>
                <w14:solidFill>
                  <w14:schemeClr w14:val="tx1"/>
                </w14:solidFill>
              </w14:textFill>
            </w:rPr>
            <w:t>in-place</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pipe 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36</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"_Toc171074699" </w:instrText>
          </w:r>
          <w:r>
            <w:fldChar w:fldCharType="separate"/>
          </w:r>
          <w:r>
            <w:rPr>
              <w:rStyle w:val="19"/>
              <w:rFonts w:hint="eastAsia" w:cs="Times New Roman"/>
              <w:color w:val="000000" w:themeColor="text1"/>
              <w:sz w:val="21"/>
              <w:lang w:eastAsia="zh-CN"/>
              <w14:textFill>
                <w14:solidFill>
                  <w14:schemeClr w14:val="tx1"/>
                </w14:solidFill>
              </w14:textFill>
            </w:rPr>
            <w:t>6</w:t>
          </w:r>
          <w:r>
            <w:rPr>
              <w:rStyle w:val="19"/>
              <w:rFonts w:cs="Times New Roman"/>
              <w:color w:val="000000" w:themeColor="text1"/>
              <w:sz w:val="21"/>
              <w:lang w:eastAsia="zh-CN"/>
              <w14:textFill>
                <w14:solidFill>
                  <w14:schemeClr w14:val="tx1"/>
                </w14:solidFill>
              </w14:textFill>
            </w:rPr>
            <w:t xml:space="preserve">.4 </w:t>
          </w:r>
          <w:r>
            <w:rPr>
              <w:rStyle w:val="19"/>
              <w:rFonts w:hint="eastAsia" w:cs="Times New Roman"/>
              <w:color w:val="000000" w:themeColor="text1"/>
              <w:sz w:val="21"/>
              <w:lang w:eastAsia="zh-CN"/>
              <w14:textFill>
                <w14:solidFill>
                  <w14:schemeClr w14:val="tx1"/>
                </w14:solidFill>
              </w14:textFill>
            </w:rPr>
            <w:t>F</w:t>
          </w:r>
          <w:r>
            <w:rPr>
              <w:rStyle w:val="19"/>
              <w:rFonts w:cs="Times New Roman"/>
              <w:color w:val="000000" w:themeColor="text1"/>
              <w:sz w:val="21"/>
              <w:lang w:eastAsia="zh-CN"/>
              <w14:textFill>
                <w14:solidFill>
                  <w14:schemeClr w14:val="tx1"/>
                </w14:solidFill>
              </w14:textFill>
            </w:rPr>
            <w:t>ormed</w:t>
          </w:r>
          <w:r>
            <w:rPr>
              <w:rStyle w:val="19"/>
              <w:rFonts w:hint="eastAsia" w:cs="Times New Roman"/>
              <w:color w:val="000000" w:themeColor="text1"/>
              <w:sz w:val="21"/>
              <w:lang w:eastAsia="zh-CN"/>
              <w14:textFill>
                <w14:solidFill>
                  <w14:schemeClr w14:val="tx1"/>
                </w14:solidFill>
              </w14:textFill>
            </w:rPr>
            <w:t>-</w:t>
          </w:r>
          <w:r>
            <w:rPr>
              <w:rStyle w:val="19"/>
              <w:rFonts w:cs="Times New Roman"/>
              <w:color w:val="000000" w:themeColor="text1"/>
              <w:sz w:val="21"/>
              <w:lang w:eastAsia="zh-CN"/>
              <w14:textFill>
                <w14:solidFill>
                  <w14:schemeClr w14:val="tx1"/>
                </w14:solidFill>
              </w14:textFill>
            </w:rPr>
            <w:t>in</w:t>
          </w:r>
          <w:r>
            <w:rPr>
              <w:rStyle w:val="19"/>
              <w:rFonts w:hint="eastAsia" w:cs="Times New Roman"/>
              <w:color w:val="000000" w:themeColor="text1"/>
              <w:sz w:val="21"/>
              <w:lang w:eastAsia="zh-CN"/>
              <w14:textFill>
                <w14:solidFill>
                  <w14:schemeClr w14:val="tx1"/>
                </w14:solidFill>
              </w14:textFill>
            </w:rPr>
            <w:t>-</w:t>
          </w:r>
          <w:r>
            <w:rPr>
              <w:rStyle w:val="19"/>
              <w:rFonts w:cs="Times New Roman"/>
              <w:color w:val="000000" w:themeColor="text1"/>
              <w:sz w:val="21"/>
              <w:lang w:eastAsia="zh-CN"/>
              <w14:textFill>
                <w14:solidFill>
                  <w14:schemeClr w14:val="tx1"/>
                </w14:solidFill>
              </w14:textFill>
            </w:rPr>
            <w:t>place 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37</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"_Toc171074700" </w:instrText>
          </w:r>
          <w:r>
            <w:fldChar w:fldCharType="separate"/>
          </w:r>
          <w:r>
            <w:rPr>
              <w:rStyle w:val="19"/>
              <w:rFonts w:hint="eastAsia" w:cs="Times New Roman"/>
              <w:color w:val="000000" w:themeColor="text1"/>
              <w:sz w:val="21"/>
              <w:lang w:eastAsia="zh-CN"/>
              <w14:textFill>
                <w14:solidFill>
                  <w14:schemeClr w14:val="tx1"/>
                </w14:solidFill>
              </w14:textFill>
            </w:rPr>
            <w:t>6</w:t>
          </w:r>
          <w:r>
            <w:rPr>
              <w:rStyle w:val="19"/>
              <w:rFonts w:cs="Times New Roman"/>
              <w:color w:val="000000" w:themeColor="text1"/>
              <w:sz w:val="21"/>
              <w:lang w:eastAsia="zh-CN"/>
              <w14:textFill>
                <w14:solidFill>
                  <w14:schemeClr w14:val="tx1"/>
                </w14:solidFill>
              </w14:textFill>
            </w:rPr>
            <w:t xml:space="preserve">.5 </w:t>
          </w:r>
          <w:r>
            <w:rPr>
              <w:rStyle w:val="19"/>
              <w:rFonts w:hint="eastAsia" w:cs="Times New Roman"/>
              <w:color w:val="000000" w:themeColor="text1"/>
              <w:sz w:val="21"/>
              <w:lang w:eastAsia="zh-CN"/>
              <w14:textFill>
                <w14:solidFill>
                  <w14:schemeClr w14:val="tx1"/>
                </w14:solidFill>
              </w14:textFill>
            </w:rPr>
            <w:t>L</w:t>
          </w:r>
          <w:r>
            <w:rPr>
              <w:rStyle w:val="19"/>
              <w:rFonts w:cs="Times New Roman"/>
              <w:color w:val="000000" w:themeColor="text1"/>
              <w:sz w:val="21"/>
              <w:lang w:eastAsia="zh-CN"/>
              <w14:textFill>
                <w14:solidFill>
                  <w14:schemeClr w14:val="tx1"/>
                </w14:solidFill>
              </w14:textFill>
            </w:rPr>
            <w:t>ining</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with</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spirally</w:t>
          </w:r>
          <w:r>
            <w:rPr>
              <w:rStyle w:val="19"/>
              <w:rFonts w:hint="eastAsia" w:cs="Times New Roman"/>
              <w:color w:val="000000" w:themeColor="text1"/>
              <w:sz w:val="21"/>
              <w:lang w:eastAsia="zh-CN"/>
              <w14:textFill>
                <w14:solidFill>
                  <w14:schemeClr w14:val="tx1"/>
                </w14:solidFill>
              </w14:textFill>
            </w:rPr>
            <w:t>-</w:t>
          </w:r>
          <w:r>
            <w:rPr>
              <w:rStyle w:val="19"/>
              <w:rFonts w:cs="Times New Roman"/>
              <w:color w:val="000000" w:themeColor="text1"/>
              <w:sz w:val="21"/>
              <w:lang w:eastAsia="zh-CN"/>
              <w14:textFill>
                <w14:solidFill>
                  <w14:schemeClr w14:val="tx1"/>
                </w14:solidFill>
              </w14:textFill>
            </w:rPr>
            <w:t>wound</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pipes</w:t>
          </w:r>
          <w:r>
            <w:rPr>
              <w:rStyle w:val="19"/>
              <w:rFonts w:hint="eastAsia" w:cs="Times New Roman"/>
              <w:color w:val="000000" w:themeColor="text1"/>
              <w:sz w:val="21"/>
              <w:lang w:eastAsia="zh-CN"/>
              <w14:textFill>
                <w14:solidFill>
                  <w14:schemeClr w14:val="tx1"/>
                </w14:solidFill>
              </w14:textFill>
            </w:rPr>
            <w:t xml:space="preserve"> 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38</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"_Toc171074701" </w:instrText>
          </w:r>
          <w:r>
            <w:fldChar w:fldCharType="separate"/>
          </w:r>
          <w:r>
            <w:rPr>
              <w:rStyle w:val="19"/>
              <w:rFonts w:hint="eastAsia" w:cs="Times New Roman"/>
              <w:color w:val="000000" w:themeColor="text1"/>
              <w:sz w:val="21"/>
              <w:lang w:eastAsia="zh-CN"/>
              <w14:textFill>
                <w14:solidFill>
                  <w14:schemeClr w14:val="tx1"/>
                </w14:solidFill>
              </w14:textFill>
            </w:rPr>
            <w:t>6</w:t>
          </w:r>
          <w:r>
            <w:rPr>
              <w:rStyle w:val="19"/>
              <w:rFonts w:cs="Times New Roman"/>
              <w:color w:val="000000" w:themeColor="text1"/>
              <w:sz w:val="21"/>
              <w:lang w:eastAsia="zh-CN"/>
              <w14:textFill>
                <w14:solidFill>
                  <w14:schemeClr w14:val="tx1"/>
                </w14:solidFill>
              </w14:textFill>
            </w:rPr>
            <w:t xml:space="preserve">.6 </w:t>
          </w:r>
          <w:r>
            <w:rPr>
              <w:rStyle w:val="19"/>
              <w:rFonts w:hint="eastAsia" w:cs="Times New Roman"/>
              <w:color w:val="000000" w:themeColor="text1"/>
              <w:sz w:val="21"/>
              <w:lang w:eastAsia="zh-CN"/>
              <w14:textFill>
                <w14:solidFill>
                  <w14:schemeClr w14:val="tx1"/>
                </w14:solidFill>
              </w14:textFill>
            </w:rPr>
            <w:t>S</w:t>
          </w:r>
          <w:r>
            <w:rPr>
              <w:rStyle w:val="19"/>
              <w:rFonts w:cs="Times New Roman"/>
              <w:color w:val="000000" w:themeColor="text1"/>
              <w:sz w:val="21"/>
              <w:lang w:eastAsia="zh-CN"/>
              <w14:textFill>
                <w14:solidFill>
                  <w14:schemeClr w14:val="tx1"/>
                </w14:solidFill>
              </w14:textFill>
            </w:rPr>
            <w:t>hort</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pipe</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lining</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41</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pPr>
          <w:r>
            <w:fldChar w:fldCharType="begin"/>
          </w:r>
          <w:r>
            <w:instrText xml:space="preserve"> HYPERLINK \l "_Toc171074702" </w:instrText>
          </w:r>
          <w:r>
            <w:fldChar w:fldCharType="separate"/>
          </w:r>
          <w:r>
            <w:rPr>
              <w:rStyle w:val="19"/>
              <w:rFonts w:hint="eastAsia" w:cs="Times New Roman"/>
              <w:color w:val="000000" w:themeColor="text1"/>
              <w:sz w:val="21"/>
              <w:lang w:eastAsia="zh-CN"/>
              <w14:textFill>
                <w14:solidFill>
                  <w14:schemeClr w14:val="tx1"/>
                </w14:solidFill>
              </w14:textFill>
            </w:rPr>
            <w:t>6</w:t>
          </w:r>
          <w:r>
            <w:rPr>
              <w:rStyle w:val="19"/>
              <w:rFonts w:cs="Times New Roman"/>
              <w:color w:val="000000" w:themeColor="text1"/>
              <w:sz w:val="21"/>
              <w:lang w:eastAsia="zh-CN"/>
              <w14:textFill>
                <w14:solidFill>
                  <w14:schemeClr w14:val="tx1"/>
                </w14:solidFill>
              </w14:textFill>
            </w:rPr>
            <w:t>.7 Spraying 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41</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pPr>
          <w:r>
            <w:fldChar w:fldCharType="begin"/>
          </w:r>
          <w:r>
            <w:instrText xml:space="preserve"> HYPERLINK \l "_Toc171074702" </w:instrText>
          </w:r>
          <w:r>
            <w:fldChar w:fldCharType="separate"/>
          </w:r>
          <w:r>
            <w:rPr>
              <w:rStyle w:val="19"/>
              <w:rFonts w:hint="eastAsia" w:cs="Times New Roman"/>
              <w:color w:val="000000" w:themeColor="text1"/>
              <w:sz w:val="21"/>
              <w:lang w:eastAsia="zh-CN"/>
              <w14:textFill>
                <w14:solidFill>
                  <w14:schemeClr w14:val="tx1"/>
                </w14:solidFill>
              </w14:textFill>
            </w:rPr>
            <w:t>6</w:t>
          </w:r>
          <w:r>
            <w:rPr>
              <w:rStyle w:val="19"/>
              <w:rFonts w:cs="Times New Roman"/>
              <w:color w:val="000000" w:themeColor="text1"/>
              <w:sz w:val="21"/>
              <w:lang w:eastAsia="zh-CN"/>
              <w14:textFill>
                <w14:solidFill>
                  <w14:schemeClr w14:val="tx1"/>
                </w14:solidFill>
              </w14:textFill>
            </w:rPr>
            <w:t>.</w:t>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 xml:space="preserve"> </w:t>
          </w:r>
          <w:bookmarkStart w:id="8" w:name="OLE_LINK82"/>
          <w:r>
            <w:rPr>
              <w:rStyle w:val="19"/>
              <w:rFonts w:hint="eastAsia" w:cs="Times New Roman"/>
              <w:color w:val="000000" w:themeColor="text1"/>
              <w:sz w:val="21"/>
              <w:lang w:eastAsia="zh-CN"/>
              <w14:textFill>
                <w14:solidFill>
                  <w14:schemeClr w14:val="tx1"/>
                </w14:solidFill>
              </w14:textFill>
            </w:rPr>
            <w:t>P</w:t>
          </w:r>
          <w:r>
            <w:rPr>
              <w:rStyle w:val="19"/>
              <w:rFonts w:cs="Times New Roman"/>
              <w:color w:val="000000" w:themeColor="text1"/>
              <w:sz w:val="21"/>
              <w:lang w:eastAsia="zh-CN"/>
              <w14:textFill>
                <w14:solidFill>
                  <w14:schemeClr w14:val="tx1"/>
                </w14:solidFill>
              </w14:textFill>
            </w:rPr>
            <w:t>ipe</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bursting</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method</w:t>
          </w:r>
          <w:bookmarkEnd w:id="8"/>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43</w:t>
          </w:r>
          <w:r>
            <w:rPr>
              <w:rFonts w:hint="eastAsia" w:cs="Times New Roman"/>
              <w:color w:val="000000" w:themeColor="text1"/>
              <w:sz w:val="21"/>
              <w:lang w:eastAsia="zh-CN"/>
              <w14:textFill>
                <w14:solidFill>
                  <w14:schemeClr w14:val="tx1"/>
                </w14:solidFill>
              </w14:textFill>
            </w:rPr>
            <w:fldChar w:fldCharType="end"/>
          </w:r>
        </w:p>
        <w:p>
          <w:pPr>
            <w:pStyle w:val="12"/>
            <w:tabs>
              <w:tab w:val="right" w:leader="dot" w:pos="8296"/>
            </w:tabs>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"_Toc171074704" </w:instrText>
          </w:r>
          <w:r>
            <w:fldChar w:fldCharType="separate"/>
          </w:r>
          <w:r>
            <w:rPr>
              <w:rStyle w:val="19"/>
              <w:rFonts w:hint="eastAsia" w:cs="Times New Roman"/>
              <w:color w:val="000000" w:themeColor="text1"/>
              <w:sz w:val="21"/>
              <w:lang w:eastAsia="zh-CN"/>
              <w14:textFill>
                <w14:solidFill>
                  <w14:schemeClr w14:val="tx1"/>
                </w14:solidFill>
              </w14:textFill>
            </w:rPr>
            <w:t>7</w:t>
          </w:r>
          <w:r>
            <w:rPr>
              <w:rStyle w:val="19"/>
              <w:rFonts w:cs="Times New Roman"/>
              <w:color w:val="000000" w:themeColor="text1"/>
              <w:sz w:val="21"/>
              <w:lang w:eastAsia="zh-CN"/>
              <w14:textFill>
                <w14:solidFill>
                  <w14:schemeClr w14:val="tx1"/>
                </w14:solidFill>
              </w14:textFill>
            </w:rPr>
            <w:t xml:space="preserve"> </w:t>
          </w:r>
          <w:r>
            <w:rPr>
              <w:rStyle w:val="19"/>
              <w:rFonts w:hint="eastAsia" w:cs="Times New Roman"/>
              <w:color w:val="000000" w:themeColor="text1"/>
              <w:sz w:val="21"/>
              <w:lang w:eastAsia="zh-CN"/>
              <w14:textFill>
                <w14:solidFill>
                  <w14:schemeClr w14:val="tx1"/>
                </w14:solidFill>
              </w14:textFill>
            </w:rPr>
            <w:t>Function test</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50</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"_Toc171074705" </w:instrText>
          </w:r>
          <w:r>
            <w:fldChar w:fldCharType="separate"/>
          </w:r>
          <w:r>
            <w:rPr>
              <w:rStyle w:val="19"/>
              <w:rFonts w:hint="eastAsia" w:cs="Times New Roman"/>
              <w:color w:val="000000" w:themeColor="text1"/>
              <w:sz w:val="21"/>
              <w:lang w:eastAsia="zh-CN"/>
              <w14:textFill>
                <w14:solidFill>
                  <w14:schemeClr w14:val="tx1"/>
                </w14:solidFill>
              </w14:textFill>
            </w:rPr>
            <w:t>7.</w:t>
          </w:r>
          <w:r>
            <w:rPr>
              <w:rStyle w:val="19"/>
              <w:rFonts w:cs="Times New Roman"/>
              <w:color w:val="000000" w:themeColor="text1"/>
              <w:sz w:val="21"/>
              <w:lang w:eastAsia="zh-CN"/>
              <w14:textFill>
                <w14:solidFill>
                  <w14:schemeClr w14:val="tx1"/>
                </w14:solidFill>
              </w14:textFill>
            </w:rPr>
            <w:t>1 General requirements</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50</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"_Toc171074706" </w:instrText>
          </w:r>
          <w:r>
            <w:fldChar w:fldCharType="separate"/>
          </w:r>
          <w:r>
            <w:rPr>
              <w:rStyle w:val="19"/>
              <w:rFonts w:hint="eastAsia" w:cs="Times New Roman"/>
              <w:color w:val="000000" w:themeColor="text1"/>
              <w:sz w:val="21"/>
              <w:lang w:eastAsia="zh-CN"/>
              <w14:textFill>
                <w14:solidFill>
                  <w14:schemeClr w14:val="tx1"/>
                </w14:solidFill>
              </w14:textFill>
            </w:rPr>
            <w:t>7</w:t>
          </w:r>
          <w:r>
            <w:rPr>
              <w:rStyle w:val="19"/>
              <w:rFonts w:cs="Times New Roman"/>
              <w:color w:val="000000" w:themeColor="text1"/>
              <w:sz w:val="21"/>
              <w:lang w:eastAsia="zh-CN"/>
              <w14:textFill>
                <w14:solidFill>
                  <w14:schemeClr w14:val="tx1"/>
                </w14:solidFill>
              </w14:textFill>
            </w:rPr>
            <w:t xml:space="preserve">.2 </w:t>
          </w:r>
          <w:r>
            <w:rPr>
              <w:rStyle w:val="19"/>
              <w:rFonts w:hint="eastAsia" w:cs="Times New Roman"/>
              <w:color w:val="000000" w:themeColor="text1"/>
              <w:sz w:val="21"/>
              <w:lang w:eastAsia="zh-CN"/>
              <w14:textFill>
                <w14:solidFill>
                  <w14:schemeClr w14:val="tx1"/>
                </w14:solidFill>
              </w14:textFill>
            </w:rPr>
            <w:t>Waterproof test</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50</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pPr>
          <w:r>
            <w:fldChar w:fldCharType="begin"/>
          </w:r>
          <w:r>
            <w:instrText xml:space="preserve"> HYPERLINK \l "_Toc171074707" </w:instrText>
          </w:r>
          <w:r>
            <w:fldChar w:fldCharType="separate"/>
          </w:r>
          <w:r>
            <w:rPr>
              <w:rStyle w:val="19"/>
              <w:rFonts w:hint="eastAsia" w:cs="Times New Roman"/>
              <w:color w:val="000000" w:themeColor="text1"/>
              <w:sz w:val="21"/>
              <w:lang w:eastAsia="zh-CN"/>
              <w14:textFill>
                <w14:solidFill>
                  <w14:schemeClr w14:val="tx1"/>
                </w14:solidFill>
              </w14:textFill>
            </w:rPr>
            <w:t>7</w:t>
          </w:r>
          <w:r>
            <w:rPr>
              <w:rStyle w:val="19"/>
              <w:rFonts w:cs="Times New Roman"/>
              <w:color w:val="000000" w:themeColor="text1"/>
              <w:sz w:val="21"/>
              <w:lang w:eastAsia="zh-CN"/>
              <w14:textFill>
                <w14:solidFill>
                  <w14:schemeClr w14:val="tx1"/>
                </w14:solidFill>
              </w14:textFill>
            </w:rPr>
            <w:t xml:space="preserve">.3 </w:t>
          </w:r>
          <w:r>
            <w:rPr>
              <w:rStyle w:val="19"/>
              <w:rFonts w:hint="eastAsia" w:cs="Times New Roman"/>
              <w:color w:val="000000" w:themeColor="text1"/>
              <w:sz w:val="21"/>
              <w:lang w:eastAsia="zh-CN"/>
              <w14:textFill>
                <w14:solidFill>
                  <w14:schemeClr w14:val="tx1"/>
                </w14:solidFill>
              </w14:textFill>
            </w:rPr>
            <w:t>Gasproof test</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51</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pPr>
          <w:r>
            <w:fldChar w:fldCharType="begin"/>
          </w:r>
          <w:r>
            <w:instrText xml:space="preserve"> HYPERLINK \l "_Toc171074707" </w:instrText>
          </w:r>
          <w:r>
            <w:fldChar w:fldCharType="separate"/>
          </w:r>
          <w:r>
            <w:rPr>
              <w:rStyle w:val="19"/>
              <w:rFonts w:hint="eastAsia" w:cs="Times New Roman"/>
              <w:color w:val="000000" w:themeColor="text1"/>
              <w:sz w:val="21"/>
              <w:lang w:eastAsia="zh-CN"/>
              <w14:textFill>
                <w14:solidFill>
                  <w14:schemeClr w14:val="tx1"/>
                </w14:solidFill>
              </w14:textFill>
            </w:rPr>
            <w:t>7</w:t>
          </w:r>
          <w:r>
            <w:rPr>
              <w:rStyle w:val="19"/>
              <w:rFonts w:cs="Times New Roman"/>
              <w:color w:val="000000" w:themeColor="text1"/>
              <w:sz w:val="21"/>
              <w:lang w:eastAsia="zh-CN"/>
              <w14:textFill>
                <w14:solidFill>
                  <w14:schemeClr w14:val="tx1"/>
                </w14:solidFill>
              </w14:textFill>
            </w:rPr>
            <w:t>.</w:t>
          </w:r>
          <w:r>
            <w:rPr>
              <w:rStyle w:val="19"/>
              <w:rFonts w:hint="eastAsia" w:cs="Times New Roman"/>
              <w:color w:val="000000" w:themeColor="text1"/>
              <w:sz w:val="21"/>
              <w:lang w:eastAsia="zh-CN"/>
              <w14:textFill>
                <w14:solidFill>
                  <w14:schemeClr w14:val="tx1"/>
                </w14:solidFill>
              </w14:textFill>
            </w:rPr>
            <w:t>4 Infiltration test 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53</w:t>
          </w:r>
          <w:r>
            <w:rPr>
              <w:rFonts w:hint="eastAsia" w:cs="Times New Roman"/>
              <w:color w:val="000000" w:themeColor="text1"/>
              <w:sz w:val="21"/>
              <w:lang w:eastAsia="zh-CN"/>
              <w14:textFill>
                <w14:solidFill>
                  <w14:schemeClr w14:val="tx1"/>
                </w14:solidFill>
              </w14:textFill>
            </w:rPr>
            <w:fldChar w:fldCharType="end"/>
          </w:r>
        </w:p>
        <w:p>
          <w:pPr>
            <w:pStyle w:val="12"/>
            <w:tabs>
              <w:tab w:val="right" w:leader="dot" w:pos="8296"/>
            </w:tabs>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"_Toc171074708" </w:instrText>
          </w:r>
          <w:r>
            <w:fldChar w:fldCharType="separate"/>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 xml:space="preserve"> </w:t>
          </w:r>
          <w:r>
            <w:rPr>
              <w:rStyle w:val="19"/>
              <w:rFonts w:hint="eastAsia" w:cs="Times New Roman"/>
              <w:color w:val="000000" w:themeColor="text1"/>
              <w:sz w:val="21"/>
              <w:lang w:eastAsia="zh-CN"/>
              <w14:textFill>
                <w14:solidFill>
                  <w14:schemeClr w14:val="tx1"/>
                </w14:solidFill>
              </w14:textFill>
            </w:rPr>
            <w:t>Works acceptance</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54</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"_Toc171074709" </w:instrText>
          </w:r>
          <w:r>
            <w:fldChar w:fldCharType="separate"/>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 xml:space="preserve">.1 </w:t>
          </w:r>
          <w:bookmarkStart w:id="9" w:name="OLE_LINK31"/>
          <w:r>
            <w:rPr>
              <w:rStyle w:val="19"/>
              <w:rFonts w:cs="Times New Roman"/>
              <w:color w:val="000000" w:themeColor="text1"/>
              <w:sz w:val="21"/>
              <w:lang w:eastAsia="zh-CN"/>
              <w14:textFill>
                <w14:solidFill>
                  <w14:schemeClr w14:val="tx1"/>
                </w14:solidFill>
              </w14:textFill>
            </w:rPr>
            <w:t>General requirements</w:t>
          </w:r>
          <w:bookmarkEnd w:id="9"/>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54</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"_Toc171074710" </w:instrText>
          </w:r>
          <w:r>
            <w:fldChar w:fldCharType="separate"/>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.2 Repair and pretreatment of functional defects</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55</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"_Toc171074712" </w:instrText>
          </w:r>
          <w:r>
            <w:fldChar w:fldCharType="separate"/>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 xml:space="preserve">.3 </w:t>
          </w:r>
          <w:r>
            <w:rPr>
              <w:rStyle w:val="19"/>
              <w:rFonts w:hint="eastAsia" w:cs="Times New Roman"/>
              <w:color w:val="000000" w:themeColor="text1"/>
              <w:sz w:val="21"/>
              <w:lang w:eastAsia="zh-CN"/>
              <w14:textFill>
                <w14:solidFill>
                  <w14:schemeClr w14:val="tx1"/>
                </w14:solidFill>
              </w14:textFill>
            </w:rPr>
            <w:t xml:space="preserve">UV </w:t>
          </w:r>
          <w:r>
            <w:rPr>
              <w:rStyle w:val="19"/>
              <w:rFonts w:cs="Times New Roman"/>
              <w:color w:val="000000" w:themeColor="text1"/>
              <w:sz w:val="21"/>
              <w:lang w:eastAsia="zh-CN"/>
              <w14:textFill>
                <w14:solidFill>
                  <w14:schemeClr w14:val="tx1"/>
                </w14:solidFill>
              </w14:textFill>
            </w:rPr>
            <w:t>cur</w:t>
          </w:r>
          <w:r>
            <w:rPr>
              <w:rStyle w:val="19"/>
              <w:rFonts w:hint="eastAsia" w:cs="Times New Roman"/>
              <w:color w:val="000000" w:themeColor="text1"/>
              <w:sz w:val="21"/>
              <w:lang w:eastAsia="zh-CN"/>
              <w14:textFill>
                <w14:solidFill>
                  <w14:schemeClr w14:val="tx1"/>
                </w14:solidFill>
              </w14:textFill>
            </w:rPr>
            <w:t>e</w:t>
          </w:r>
          <w:r>
            <w:rPr>
              <w:rStyle w:val="19"/>
              <w:rFonts w:cs="Times New Roman"/>
              <w:color w:val="000000" w:themeColor="text1"/>
              <w:sz w:val="21"/>
              <w:lang w:eastAsia="zh-CN"/>
              <w14:textFill>
                <w14:solidFill>
                  <w14:schemeClr w14:val="tx1"/>
                </w14:solidFill>
              </w14:textFill>
            </w:rPr>
            <w:t>d</w:t>
          </w:r>
          <w:r>
            <w:rPr>
              <w:rStyle w:val="19"/>
              <w:rFonts w:hint="eastAsia" w:cs="Times New Roman"/>
              <w:color w:val="000000" w:themeColor="text1"/>
              <w:sz w:val="21"/>
              <w:lang w:eastAsia="zh-CN"/>
              <w14:textFill>
                <w14:solidFill>
                  <w14:schemeClr w14:val="tx1"/>
                </w14:solidFill>
              </w14:textFill>
            </w:rPr>
            <w:t>-</w:t>
          </w:r>
          <w:r>
            <w:rPr>
              <w:rStyle w:val="19"/>
              <w:rFonts w:cs="Times New Roman"/>
              <w:color w:val="000000" w:themeColor="text1"/>
              <w:sz w:val="21"/>
              <w:lang w:eastAsia="zh-CN"/>
              <w14:textFill>
                <w14:solidFill>
                  <w14:schemeClr w14:val="tx1"/>
                </w14:solidFill>
              </w14:textFill>
            </w:rPr>
            <w:t>in</w:t>
          </w:r>
          <w:r>
            <w:rPr>
              <w:rStyle w:val="19"/>
              <w:rFonts w:hint="eastAsia" w:cs="Times New Roman"/>
              <w:color w:val="000000" w:themeColor="text1"/>
              <w:sz w:val="21"/>
              <w:lang w:eastAsia="zh-CN"/>
              <w14:textFill>
                <w14:solidFill>
                  <w14:schemeClr w14:val="tx1"/>
                </w14:solidFill>
              </w14:textFill>
            </w:rPr>
            <w:t>-</w:t>
          </w:r>
          <w:r>
            <w:rPr>
              <w:rStyle w:val="19"/>
              <w:rFonts w:cs="Times New Roman"/>
              <w:color w:val="000000" w:themeColor="text1"/>
              <w:sz w:val="21"/>
              <w:lang w:eastAsia="zh-CN"/>
              <w14:textFill>
                <w14:solidFill>
                  <w14:schemeClr w14:val="tx1"/>
                </w14:solidFill>
              </w14:textFill>
            </w:rPr>
            <w:t>place</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pipe repair 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56</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"_Toc171074713" </w:instrText>
          </w:r>
          <w:r>
            <w:fldChar w:fldCharType="separate"/>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 xml:space="preserve">.4 </w:t>
          </w:r>
          <w:r>
            <w:rPr>
              <w:rStyle w:val="19"/>
              <w:rFonts w:hint="eastAsia" w:cs="Times New Roman"/>
              <w:color w:val="000000" w:themeColor="text1"/>
              <w:sz w:val="21"/>
              <w:lang w:eastAsia="zh-CN"/>
              <w14:textFill>
                <w14:solidFill>
                  <w14:schemeClr w14:val="tx1"/>
                </w14:solidFill>
              </w14:textFill>
            </w:rPr>
            <w:t>I</w:t>
          </w:r>
          <w:r>
            <w:rPr>
              <w:rStyle w:val="19"/>
              <w:rFonts w:cs="Times New Roman"/>
              <w:color w:val="000000" w:themeColor="text1"/>
              <w:sz w:val="21"/>
              <w:lang w:eastAsia="zh-CN"/>
              <w14:textFill>
                <w14:solidFill>
                  <w14:schemeClr w14:val="tx1"/>
                </w14:solidFill>
              </w14:textFill>
            </w:rPr>
            <w:t>nversion cured</w:t>
          </w:r>
          <w:r>
            <w:rPr>
              <w:rStyle w:val="19"/>
              <w:rFonts w:hint="eastAsia" w:cs="Times New Roman"/>
              <w:color w:val="000000" w:themeColor="text1"/>
              <w:sz w:val="21"/>
              <w:lang w:eastAsia="zh-CN"/>
              <w14:textFill>
                <w14:solidFill>
                  <w14:schemeClr w14:val="tx1"/>
                </w14:solidFill>
              </w14:textFill>
            </w:rPr>
            <w:t>-</w:t>
          </w:r>
          <w:r>
            <w:rPr>
              <w:rStyle w:val="19"/>
              <w:rFonts w:cs="Times New Roman"/>
              <w:color w:val="000000" w:themeColor="text1"/>
              <w:sz w:val="21"/>
              <w:lang w:eastAsia="zh-CN"/>
              <w14:textFill>
                <w14:solidFill>
                  <w14:schemeClr w14:val="tx1"/>
                </w14:solidFill>
              </w14:textFill>
            </w:rPr>
            <w:t>in-place</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pipe repair 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58</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"_Toc171074714" </w:instrText>
          </w:r>
          <w:r>
            <w:fldChar w:fldCharType="separate"/>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 xml:space="preserve">.5 </w:t>
          </w:r>
          <w:r>
            <w:rPr>
              <w:rStyle w:val="19"/>
              <w:rFonts w:hint="eastAsia" w:cs="Times New Roman"/>
              <w:color w:val="000000" w:themeColor="text1"/>
              <w:sz w:val="21"/>
              <w:lang w:eastAsia="zh-CN"/>
              <w14:textFill>
                <w14:solidFill>
                  <w14:schemeClr w14:val="tx1"/>
                </w14:solidFill>
              </w14:textFill>
            </w:rPr>
            <w:t>F</w:t>
          </w:r>
          <w:r>
            <w:rPr>
              <w:rStyle w:val="19"/>
              <w:rFonts w:cs="Times New Roman"/>
              <w:color w:val="000000" w:themeColor="text1"/>
              <w:sz w:val="21"/>
              <w:lang w:eastAsia="zh-CN"/>
              <w14:textFill>
                <w14:solidFill>
                  <w14:schemeClr w14:val="tx1"/>
                </w14:solidFill>
              </w14:textFill>
            </w:rPr>
            <w:t>ormed</w:t>
          </w:r>
          <w:r>
            <w:rPr>
              <w:rStyle w:val="19"/>
              <w:rFonts w:hint="eastAsia" w:cs="Times New Roman"/>
              <w:color w:val="000000" w:themeColor="text1"/>
              <w:sz w:val="21"/>
              <w:lang w:eastAsia="zh-CN"/>
              <w14:textFill>
                <w14:solidFill>
                  <w14:schemeClr w14:val="tx1"/>
                </w14:solidFill>
              </w14:textFill>
            </w:rPr>
            <w:t>-</w:t>
          </w:r>
          <w:r>
            <w:rPr>
              <w:rStyle w:val="19"/>
              <w:rFonts w:cs="Times New Roman"/>
              <w:color w:val="000000" w:themeColor="text1"/>
              <w:sz w:val="21"/>
              <w:lang w:eastAsia="zh-CN"/>
              <w14:textFill>
                <w14:solidFill>
                  <w14:schemeClr w14:val="tx1"/>
                </w14:solidFill>
              </w14:textFill>
            </w:rPr>
            <w:t>in</w:t>
          </w:r>
          <w:r>
            <w:rPr>
              <w:rStyle w:val="19"/>
              <w:rFonts w:hint="eastAsia" w:cs="Times New Roman"/>
              <w:color w:val="000000" w:themeColor="text1"/>
              <w:sz w:val="21"/>
              <w:lang w:eastAsia="zh-CN"/>
              <w14:textFill>
                <w14:solidFill>
                  <w14:schemeClr w14:val="tx1"/>
                </w14:solidFill>
              </w14:textFill>
            </w:rPr>
            <w:t>-</w:t>
          </w:r>
          <w:r>
            <w:rPr>
              <w:rStyle w:val="19"/>
              <w:rFonts w:cs="Times New Roman"/>
              <w:color w:val="000000" w:themeColor="text1"/>
              <w:sz w:val="21"/>
              <w:lang w:eastAsia="zh-CN"/>
              <w14:textFill>
                <w14:solidFill>
                  <w14:schemeClr w14:val="tx1"/>
                </w14:solidFill>
              </w14:textFill>
            </w:rPr>
            <w:t>place</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repair 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59</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pPr>
          <w:r>
            <w:fldChar w:fldCharType="begin"/>
          </w:r>
          <w:r>
            <w:instrText xml:space="preserve"> HYPERLINK \l "_Toc171074715" </w:instrText>
          </w:r>
          <w:r>
            <w:fldChar w:fldCharType="separate"/>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 xml:space="preserve">.6 </w:t>
          </w:r>
          <w:r>
            <w:rPr>
              <w:rStyle w:val="19"/>
              <w:rFonts w:hint="eastAsia" w:cs="Times New Roman"/>
              <w:color w:val="000000" w:themeColor="text1"/>
              <w:sz w:val="21"/>
              <w:lang w:eastAsia="zh-CN"/>
              <w14:textFill>
                <w14:solidFill>
                  <w14:schemeClr w14:val="tx1"/>
                </w14:solidFill>
              </w14:textFill>
            </w:rPr>
            <w:t>L</w:t>
          </w:r>
          <w:r>
            <w:rPr>
              <w:rStyle w:val="19"/>
              <w:rFonts w:cs="Times New Roman"/>
              <w:color w:val="000000" w:themeColor="text1"/>
              <w:sz w:val="21"/>
              <w:lang w:eastAsia="zh-CN"/>
              <w14:textFill>
                <w14:solidFill>
                  <w14:schemeClr w14:val="tx1"/>
                </w14:solidFill>
              </w14:textFill>
            </w:rPr>
            <w:t>ining</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with</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spirally</w:t>
          </w:r>
          <w:r>
            <w:rPr>
              <w:rStyle w:val="19"/>
              <w:rFonts w:hint="eastAsia" w:cs="Times New Roman"/>
              <w:color w:val="000000" w:themeColor="text1"/>
              <w:sz w:val="21"/>
              <w:lang w:eastAsia="zh-CN"/>
              <w14:textFill>
                <w14:solidFill>
                  <w14:schemeClr w14:val="tx1"/>
                </w14:solidFill>
              </w14:textFill>
            </w:rPr>
            <w:t>-</w:t>
          </w:r>
          <w:r>
            <w:rPr>
              <w:rStyle w:val="19"/>
              <w:rFonts w:cs="Times New Roman"/>
              <w:color w:val="000000" w:themeColor="text1"/>
              <w:sz w:val="21"/>
              <w:lang w:eastAsia="zh-CN"/>
              <w14:textFill>
                <w14:solidFill>
                  <w14:schemeClr w14:val="tx1"/>
                </w14:solidFill>
              </w14:textFill>
            </w:rPr>
            <w:t>wound</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pipes</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repair</w:t>
          </w:r>
          <w:r>
            <w:rPr>
              <w:rStyle w:val="19"/>
              <w:rFonts w:hint="eastAsia" w:cs="Times New Roman"/>
              <w:color w:val="000000" w:themeColor="text1"/>
              <w:sz w:val="21"/>
              <w:lang w:eastAsia="zh-CN"/>
              <w14:textFill>
                <w14:solidFill>
                  <w14:schemeClr w14:val="tx1"/>
                </w14:solidFill>
              </w14:textFill>
            </w:rPr>
            <w:t xml:space="preserve"> 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60</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pPr>
          <w:r>
            <w:fldChar w:fldCharType="begin"/>
          </w:r>
          <w:r>
            <w:instrText xml:space="preserve"> HYPERLINK \l "_Toc171074702" </w:instrText>
          </w:r>
          <w:r>
            <w:fldChar w:fldCharType="separate"/>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 xml:space="preserve">.7 </w:t>
          </w:r>
          <w:r>
            <w:rPr>
              <w:rStyle w:val="19"/>
              <w:rFonts w:hint="eastAsia" w:cs="Times New Roman"/>
              <w:color w:val="000000" w:themeColor="text1"/>
              <w:sz w:val="21"/>
              <w:lang w:eastAsia="zh-CN"/>
              <w14:textFill>
                <w14:solidFill>
                  <w14:schemeClr w14:val="tx1"/>
                </w14:solidFill>
              </w14:textFill>
            </w:rPr>
            <w:t>S</w:t>
          </w:r>
          <w:r>
            <w:rPr>
              <w:rStyle w:val="19"/>
              <w:rFonts w:cs="Times New Roman"/>
              <w:color w:val="000000" w:themeColor="text1"/>
              <w:sz w:val="21"/>
              <w:lang w:eastAsia="zh-CN"/>
              <w14:textFill>
                <w14:solidFill>
                  <w14:schemeClr w14:val="tx1"/>
                </w14:solidFill>
              </w14:textFill>
            </w:rPr>
            <w:t>hort</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pipe</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lining</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repair</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61</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pPr>
          <w:r>
            <w:fldChar w:fldCharType="begin"/>
          </w:r>
          <w:r>
            <w:instrText xml:space="preserve"> HYPERLINK \l "_Toc171074715" </w:instrText>
          </w:r>
          <w:r>
            <w:fldChar w:fldCharType="separate"/>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w:t>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 xml:space="preserve"> Spraying (building) repair 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62</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pPr>
          <w:r>
            <w:fldChar w:fldCharType="begin"/>
          </w:r>
          <w:r>
            <w:instrText xml:space="preserve"> HYPERLINK \l "_Toc171074715" </w:instrText>
          </w:r>
          <w:r>
            <w:fldChar w:fldCharType="separate"/>
          </w:r>
          <w:r>
            <w:rPr>
              <w:rStyle w:val="19"/>
              <w:rFonts w:hint="eastAsia" w:cs="Times New Roman"/>
              <w:color w:val="000000" w:themeColor="text1"/>
              <w:sz w:val="21"/>
              <w:lang w:eastAsia="zh-CN"/>
              <w14:textFill>
                <w14:solidFill>
                  <w14:schemeClr w14:val="tx1"/>
                </w14:solidFill>
              </w14:textFill>
            </w:rPr>
            <w:t>8</w:t>
          </w:r>
          <w:r>
            <w:rPr>
              <w:rStyle w:val="19"/>
              <w:rFonts w:cs="Times New Roman"/>
              <w:color w:val="000000" w:themeColor="text1"/>
              <w:sz w:val="21"/>
              <w:lang w:eastAsia="zh-CN"/>
              <w14:textFill>
                <w14:solidFill>
                  <w14:schemeClr w14:val="tx1"/>
                </w14:solidFill>
              </w14:textFill>
            </w:rPr>
            <w:t>.</w:t>
          </w:r>
          <w:r>
            <w:rPr>
              <w:rStyle w:val="19"/>
              <w:rFonts w:hint="eastAsia" w:cs="Times New Roman"/>
              <w:color w:val="000000" w:themeColor="text1"/>
              <w:sz w:val="21"/>
              <w:lang w:eastAsia="zh-CN"/>
              <w14:textFill>
                <w14:solidFill>
                  <w14:schemeClr w14:val="tx1"/>
                </w14:solidFill>
              </w14:textFill>
            </w:rPr>
            <w:t>9</w:t>
          </w:r>
          <w:r>
            <w:rPr>
              <w:rStyle w:val="19"/>
              <w:rFonts w:cs="Times New Roman"/>
              <w:color w:val="000000" w:themeColor="text1"/>
              <w:sz w:val="21"/>
              <w:lang w:eastAsia="zh-CN"/>
              <w14:textFill>
                <w14:solidFill>
                  <w14:schemeClr w14:val="tx1"/>
                </w14:solidFill>
              </w14:textFill>
            </w:rPr>
            <w:t xml:space="preserve"> </w:t>
          </w:r>
          <w:r>
            <w:rPr>
              <w:rStyle w:val="19"/>
              <w:rFonts w:hint="eastAsia" w:cs="Times New Roman"/>
              <w:color w:val="000000" w:themeColor="text1"/>
              <w:sz w:val="21"/>
              <w:lang w:eastAsia="zh-CN"/>
              <w14:textFill>
                <w14:solidFill>
                  <w14:schemeClr w14:val="tx1"/>
                </w14:solidFill>
              </w14:textFill>
            </w:rPr>
            <w:t>P</w:t>
          </w:r>
          <w:r>
            <w:rPr>
              <w:rStyle w:val="19"/>
              <w:rFonts w:cs="Times New Roman"/>
              <w:color w:val="000000" w:themeColor="text1"/>
              <w:sz w:val="21"/>
              <w:lang w:eastAsia="zh-CN"/>
              <w14:textFill>
                <w14:solidFill>
                  <w14:schemeClr w14:val="tx1"/>
                </w14:solidFill>
              </w14:textFill>
            </w:rPr>
            <w:t>ipe</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bursting</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repair</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method</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64</w:t>
          </w:r>
          <w:r>
            <w:rPr>
              <w:rFonts w:hint="eastAsia" w:cs="Times New Roman"/>
              <w:color w:val="000000" w:themeColor="text1"/>
              <w:sz w:val="21"/>
              <w:lang w:eastAsia="zh-CN"/>
              <w14:textFill>
                <w14:solidFill>
                  <w14:schemeClr w14:val="tx1"/>
                </w14:solidFill>
              </w14:textFill>
            </w:rPr>
            <w:fldChar w:fldCharType="end"/>
          </w:r>
        </w:p>
        <w:p>
          <w:pPr>
            <w:pStyle w:val="12"/>
            <w:tabs>
              <w:tab w:val="right" w:leader="dot" w:pos="8296"/>
            </w:tabs>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"_Toc171074717" </w:instrText>
          </w:r>
          <w:r>
            <w:fldChar w:fldCharType="separate"/>
          </w:r>
          <w:r>
            <w:rPr>
              <w:rStyle w:val="19"/>
              <w:rFonts w:hint="eastAsia" w:cs="Times New Roman"/>
              <w:sz w:val="21"/>
              <w:lang w:eastAsia="zh-CN"/>
            </w:rPr>
            <w:t>9</w:t>
          </w:r>
          <w:r>
            <w:rPr>
              <w:rStyle w:val="19"/>
              <w:rFonts w:cs="Times New Roman"/>
              <w:sz w:val="21"/>
              <w:lang w:eastAsia="zh-CN"/>
            </w:rPr>
            <w:t xml:space="preserve"> </w:t>
          </w:r>
          <w:r>
            <w:rPr>
              <w:rStyle w:val="19"/>
              <w:rFonts w:hint="eastAsia" w:cs="Times New Roman"/>
              <w:sz w:val="21"/>
              <w:lang w:eastAsia="zh-CN"/>
            </w:rPr>
            <w:t>D</w:t>
          </w:r>
          <w:r>
            <w:rPr>
              <w:rStyle w:val="19"/>
              <w:rFonts w:cs="Times New Roman"/>
              <w:sz w:val="21"/>
              <w:lang w:eastAsia="zh-CN"/>
            </w:rPr>
            <w:t>igitization</w:t>
          </w:r>
          <w:r>
            <w:rPr>
              <w:rStyle w:val="19"/>
              <w:rFonts w:cs="Times New Roman"/>
              <w:sz w:val="21"/>
            </w:rPr>
            <w:tab/>
          </w:r>
          <w:r>
            <w:rPr>
              <w:rStyle w:val="19"/>
              <w:rFonts w:hint="eastAsia" w:cs="Times New Roman"/>
              <w:sz w:val="21"/>
              <w:lang w:eastAsia="zh-CN"/>
            </w:rPr>
            <w:t>65</w:t>
          </w:r>
          <w:r>
            <w:rPr>
              <w:rStyle w:val="19"/>
              <w:rFonts w:hint="eastAsia" w:cs="Times New Roman"/>
              <w:sz w:val="21"/>
              <w:lang w:eastAsia="zh-CN"/>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"_Toc171074718" </w:instrText>
          </w:r>
          <w:r>
            <w:fldChar w:fldCharType="separate"/>
          </w:r>
          <w:r>
            <w:rPr>
              <w:rStyle w:val="19"/>
              <w:rFonts w:hint="eastAsia" w:cs="Times New Roman"/>
              <w:color w:val="000000" w:themeColor="text1"/>
              <w:sz w:val="21"/>
              <w:lang w:eastAsia="zh-CN"/>
              <w14:textFill>
                <w14:solidFill>
                  <w14:schemeClr w14:val="tx1"/>
                </w14:solidFill>
              </w14:textFill>
            </w:rPr>
            <w:t>9</w:t>
          </w:r>
          <w:r>
            <w:rPr>
              <w:rStyle w:val="19"/>
              <w:rFonts w:cs="Times New Roman"/>
              <w:color w:val="000000" w:themeColor="text1"/>
              <w:sz w:val="21"/>
              <w:lang w:eastAsia="zh-CN"/>
              <w14:textFill>
                <w14:solidFill>
                  <w14:schemeClr w14:val="tx1"/>
                </w14:solidFill>
              </w14:textFill>
            </w:rPr>
            <w:t>.1 General requirements</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65</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"_Toc171074719" </w:instrText>
          </w:r>
          <w:r>
            <w:fldChar w:fldCharType="separate"/>
          </w:r>
          <w:r>
            <w:rPr>
              <w:rStyle w:val="19"/>
              <w:rFonts w:hint="eastAsia" w:cs="Times New Roman"/>
              <w:color w:val="000000" w:themeColor="text1"/>
              <w:sz w:val="21"/>
              <w:lang w:eastAsia="zh-CN"/>
              <w14:textFill>
                <w14:solidFill>
                  <w14:schemeClr w14:val="tx1"/>
                </w14:solidFill>
              </w14:textFill>
            </w:rPr>
            <w:t>9</w:t>
          </w:r>
          <w:r>
            <w:rPr>
              <w:rStyle w:val="19"/>
              <w:rFonts w:cs="Times New Roman"/>
              <w:color w:val="000000" w:themeColor="text1"/>
              <w:sz w:val="21"/>
              <w:lang w:eastAsia="zh-CN"/>
              <w14:textFill>
                <w14:solidFill>
                  <w14:schemeClr w14:val="tx1"/>
                </w14:solidFill>
              </w14:textFill>
            </w:rPr>
            <w:t xml:space="preserve">.2 </w:t>
          </w:r>
          <w:r>
            <w:rPr>
              <w:rStyle w:val="19"/>
              <w:rFonts w:hint="eastAsia" w:cs="Times New Roman"/>
              <w:color w:val="000000" w:themeColor="text1"/>
              <w:sz w:val="21"/>
              <w:lang w:eastAsia="zh-CN"/>
              <w14:textFill>
                <w14:solidFill>
                  <w14:schemeClr w14:val="tx1"/>
                </w14:solidFill>
              </w14:textFill>
            </w:rPr>
            <w:t>Information system composition</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65</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"_Toc171074720" </w:instrText>
          </w:r>
          <w:r>
            <w:fldChar w:fldCharType="separate"/>
          </w:r>
          <w:r>
            <w:rPr>
              <w:rStyle w:val="19"/>
              <w:rFonts w:hint="eastAsia" w:cs="Times New Roman"/>
              <w:color w:val="000000" w:themeColor="text1"/>
              <w:sz w:val="21"/>
              <w:lang w:eastAsia="zh-CN"/>
              <w14:textFill>
                <w14:solidFill>
                  <w14:schemeClr w14:val="tx1"/>
                </w14:solidFill>
              </w14:textFill>
            </w:rPr>
            <w:t>9</w:t>
          </w:r>
          <w:r>
            <w:rPr>
              <w:rStyle w:val="19"/>
              <w:rFonts w:cs="Times New Roman"/>
              <w:color w:val="000000" w:themeColor="text1"/>
              <w:sz w:val="21"/>
              <w:lang w:eastAsia="zh-CN"/>
              <w14:textFill>
                <w14:solidFill>
                  <w14:schemeClr w14:val="tx1"/>
                </w14:solidFill>
              </w14:textFill>
            </w:rPr>
            <w:t>.3</w:t>
          </w:r>
          <w:r>
            <w:rPr>
              <w:rStyle w:val="19"/>
              <w:rFonts w:hint="eastAsia" w:cs="Times New Roman"/>
              <w:color w:val="000000" w:themeColor="text1"/>
              <w:sz w:val="21"/>
              <w:lang w:eastAsia="zh-CN"/>
              <w14:textFill>
                <w14:solidFill>
                  <w14:schemeClr w14:val="tx1"/>
                </w14:solidFill>
              </w14:textFill>
            </w:rPr>
            <w:t xml:space="preserve"> Online monitoring site</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67</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"_Toc171074721" </w:instrText>
          </w:r>
          <w:r>
            <w:fldChar w:fldCharType="separate"/>
          </w:r>
          <w:r>
            <w:rPr>
              <w:rStyle w:val="19"/>
              <w:rFonts w:hint="eastAsia" w:cs="Times New Roman"/>
              <w:color w:val="000000" w:themeColor="text1"/>
              <w:sz w:val="21"/>
              <w:lang w:eastAsia="zh-CN"/>
              <w14:textFill>
                <w14:solidFill>
                  <w14:schemeClr w14:val="tx1"/>
                </w14:solidFill>
              </w14:textFill>
            </w:rPr>
            <w:t>9</w:t>
          </w:r>
          <w:r>
            <w:rPr>
              <w:rStyle w:val="19"/>
              <w:rFonts w:cs="Times New Roman"/>
              <w:color w:val="000000" w:themeColor="text1"/>
              <w:sz w:val="21"/>
              <w:lang w:eastAsia="zh-CN"/>
              <w14:textFill>
                <w14:solidFill>
                  <w14:schemeClr w14:val="tx1"/>
                </w14:solidFill>
              </w14:textFill>
            </w:rPr>
            <w:t>.4</w:t>
          </w:r>
          <w:r>
            <w:rPr>
              <w:rStyle w:val="19"/>
              <w:rFonts w:hint="eastAsia" w:cs="Times New Roman"/>
              <w:color w:val="000000" w:themeColor="text1"/>
              <w:sz w:val="21"/>
              <w:lang w:eastAsia="zh-CN"/>
              <w14:textFill>
                <w14:solidFill>
                  <w14:schemeClr w14:val="tx1"/>
                </w14:solidFill>
              </w14:textFill>
            </w:rPr>
            <w:t xml:space="preserve"> Selection of monitoring equipment</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68</w:t>
          </w:r>
          <w:r>
            <w:rPr>
              <w:rFonts w:hint="eastAsia" w:cs="Times New Roman"/>
              <w:color w:val="000000" w:themeColor="text1"/>
              <w:sz w:val="21"/>
              <w:lang w:eastAsia="zh-CN"/>
              <w14:textFill>
                <w14:solidFill>
                  <w14:schemeClr w14:val="tx1"/>
                </w14:solidFill>
              </w14:textFill>
            </w:rPr>
            <w:fldChar w:fldCharType="end"/>
          </w:r>
        </w:p>
        <w:p>
          <w:pPr>
            <w:pStyle w:val="13"/>
            <w:tabs>
              <w:tab w:val="right" w:leader="dot" w:pos="8296"/>
            </w:tabs>
            <w:ind w:left="480"/>
            <w:rPr>
              <w:rFonts w:cs="Times New Roman" w:eastAsiaTheme="minorEastAsia"/>
              <w:snapToGrid/>
              <w:color w:val="000000" w:themeColor="text1"/>
              <w:kern w:val="2"/>
              <w:sz w:val="21"/>
              <w:lang w:eastAsia="zh-CN"/>
              <w14:textFill>
                <w14:solidFill>
                  <w14:schemeClr w14:val="tx1"/>
                </w14:solidFill>
              </w14:textFill>
              <w14:ligatures w14:val="standardContextual"/>
            </w:rPr>
          </w:pPr>
          <w:r>
            <w:fldChar w:fldCharType="begin"/>
          </w:r>
          <w:r>
            <w:instrText xml:space="preserve"> HYPERLINK \l "_Toc171074722" </w:instrText>
          </w:r>
          <w:r>
            <w:fldChar w:fldCharType="separate"/>
          </w:r>
          <w:r>
            <w:rPr>
              <w:rStyle w:val="19"/>
              <w:rFonts w:hint="eastAsia" w:cs="Times New Roman"/>
              <w:color w:val="000000" w:themeColor="text1"/>
              <w:sz w:val="21"/>
              <w:lang w:eastAsia="zh-CN"/>
              <w14:textFill>
                <w14:solidFill>
                  <w14:schemeClr w14:val="tx1"/>
                </w14:solidFill>
              </w14:textFill>
            </w:rPr>
            <w:t>9</w:t>
          </w:r>
          <w:r>
            <w:rPr>
              <w:rStyle w:val="19"/>
              <w:rFonts w:cs="Times New Roman"/>
              <w:color w:val="000000" w:themeColor="text1"/>
              <w:sz w:val="21"/>
              <w:lang w:eastAsia="zh-CN"/>
              <w14:textFill>
                <w14:solidFill>
                  <w14:schemeClr w14:val="tx1"/>
                </w14:solidFill>
              </w14:textFill>
            </w:rPr>
            <w:t>.5</w:t>
          </w:r>
          <w:r>
            <w:rPr>
              <w:rStyle w:val="19"/>
              <w:rFonts w:hint="eastAsia" w:cs="Times New Roman"/>
              <w:color w:val="000000" w:themeColor="text1"/>
              <w:sz w:val="21"/>
              <w:lang w:eastAsia="zh-CN"/>
              <w14:textFill>
                <w14:solidFill>
                  <w14:schemeClr w14:val="tx1"/>
                </w14:solidFill>
              </w14:textFill>
            </w:rPr>
            <w:t xml:space="preserve"> Data collection and management</w:t>
          </w:r>
          <w:r>
            <w:rPr>
              <w:rFonts w:cs="Times New Roman"/>
              <w:color w:val="000000" w:themeColor="text1"/>
              <w:sz w:val="21"/>
              <w14:textFill>
                <w14:solidFill>
                  <w14:schemeClr w14:val="tx1"/>
                </w14:solidFill>
              </w14:textFill>
            </w:rPr>
            <w:tab/>
          </w:r>
          <w:r>
            <w:rPr>
              <w:rFonts w:hint="eastAsia" w:cs="Times New Roman"/>
              <w:color w:val="000000" w:themeColor="text1"/>
              <w:sz w:val="21"/>
              <w:lang w:eastAsia="zh-CN"/>
              <w14:textFill>
                <w14:solidFill>
                  <w14:schemeClr w14:val="tx1"/>
                </w14:solidFill>
              </w14:textFill>
            </w:rPr>
            <w:t>71</w:t>
          </w:r>
          <w:r>
            <w:rPr>
              <w:rFonts w:hint="eastAsia" w:cs="Times New Roman"/>
              <w:color w:val="000000" w:themeColor="text1"/>
              <w:sz w:val="21"/>
              <w:lang w:eastAsia="zh-CN"/>
              <w14:textFill>
                <w14:solidFill>
                  <w14:schemeClr w14:val="tx1"/>
                </w14:solidFill>
              </w14:textFill>
            </w:rPr>
            <w:fldChar w:fldCharType="end"/>
          </w:r>
        </w:p>
        <w:p>
          <w:pPr>
            <w:pStyle w:val="12"/>
            <w:tabs>
              <w:tab w:val="right" w:leader="dot" w:pos="8296"/>
            </w:tabs>
          </w:pPr>
          <w:r>
            <w:fldChar w:fldCharType="begin"/>
          </w:r>
          <w:r>
            <w:instrText xml:space="preserve"> HYPERLINK \l "_Toc171074723" </w:instrText>
          </w:r>
          <w:r>
            <w:fldChar w:fldCharType="separate"/>
          </w:r>
          <w:r>
            <w:rPr>
              <w:rStyle w:val="19"/>
              <w:rFonts w:hint="eastAsia" w:cs="Times New Roman"/>
              <w:sz w:val="21"/>
              <w:lang w:eastAsia="zh-CN"/>
            </w:rPr>
            <w:t>10</w:t>
          </w:r>
          <w:r>
            <w:rPr>
              <w:rStyle w:val="19"/>
              <w:rFonts w:cs="Times New Roman"/>
              <w:sz w:val="21"/>
              <w:lang w:eastAsia="zh-CN"/>
            </w:rPr>
            <w:t xml:space="preserve"> Safety and environmental protection</w:t>
          </w:r>
          <w:r>
            <w:rPr>
              <w:rStyle w:val="19"/>
              <w:rFonts w:cs="Times New Roman"/>
              <w:sz w:val="21"/>
            </w:rPr>
            <w:tab/>
          </w:r>
          <w:r>
            <w:rPr>
              <w:rStyle w:val="19"/>
              <w:rFonts w:hint="eastAsia" w:cs="Times New Roman"/>
              <w:sz w:val="21"/>
              <w:lang w:eastAsia="zh-CN"/>
            </w:rPr>
            <w:t>74</w:t>
          </w:r>
          <w:r>
            <w:rPr>
              <w:rStyle w:val="19"/>
              <w:rFonts w:hint="eastAsia" w:cs="Times New Roman"/>
              <w:sz w:val="21"/>
              <w:lang w:eastAsia="zh-CN"/>
            </w:rPr>
            <w:fldChar w:fldCharType="end"/>
          </w:r>
        </w:p>
        <w:p>
          <w:pPr>
            <w:pStyle w:val="12"/>
            <w:tabs>
              <w:tab w:val="right" w:leader="dot" w:pos="8296"/>
            </w:tabs>
            <w:ind w:firstLine="420"/>
            <w:rPr>
              <w:rStyle w:val="19"/>
              <w:rFonts w:cs="Times New Roman"/>
              <w:color w:val="000000" w:themeColor="text1"/>
              <w:sz w:val="21"/>
              <w:lang w:eastAsia="zh-CN"/>
              <w14:textFill>
                <w14:solidFill>
                  <w14:schemeClr w14:val="tx1"/>
                </w14:solidFill>
              </w14:textFill>
            </w:rPr>
          </w:pPr>
          <w:r>
            <w:rPr>
              <w:rStyle w:val="19"/>
              <w:rFonts w:cs="Times New Roman"/>
              <w:color w:val="000000" w:themeColor="text1"/>
              <w:sz w:val="21"/>
              <w:lang w:eastAsia="zh-CN"/>
              <w14:textFill>
                <w14:solidFill>
                  <w14:schemeClr w14:val="tx1"/>
                </w14:solidFill>
              </w14:textFill>
            </w:rPr>
            <w:t>Appendix A</w:t>
          </w:r>
          <w:r>
            <w:rPr>
              <w:rStyle w:val="19"/>
              <w:rFonts w:cs="Times New Roman"/>
              <w:color w:val="000000" w:themeColor="text1"/>
              <w:sz w:val="21"/>
              <w:lang w:eastAsia="zh-CN"/>
              <w14:textFill>
                <w14:solidFill>
                  <w14:schemeClr w14:val="tx1"/>
                </w14:solidFill>
              </w14:textFill>
            </w:rPr>
            <w:tab/>
          </w:r>
          <w:r>
            <w:rPr>
              <w:rStyle w:val="19"/>
              <w:rFonts w:cs="Times New Roman"/>
              <w:color w:val="000000" w:themeColor="text1"/>
              <w:sz w:val="21"/>
              <w:lang w:eastAsia="zh-CN"/>
              <w14:textFill>
                <w14:solidFill>
                  <w14:schemeClr w14:val="tx1"/>
                </w14:solidFill>
              </w14:textFill>
            </w:rPr>
            <w:t xml:space="preserve"> </w:t>
          </w:r>
          <w:r>
            <w:rPr>
              <w:rStyle w:val="19"/>
              <w:rFonts w:hint="eastAsia" w:cs="Times New Roman"/>
              <w:color w:val="000000" w:themeColor="text1"/>
              <w:sz w:val="21"/>
              <w:lang w:eastAsia="zh-CN"/>
              <w14:textFill>
                <w14:solidFill>
                  <w14:schemeClr w14:val="tx1"/>
                </w14:solidFill>
              </w14:textFill>
            </w:rPr>
            <w:t>76</w:t>
          </w:r>
        </w:p>
        <w:p>
          <w:pPr>
            <w:pStyle w:val="12"/>
            <w:tabs>
              <w:tab w:val="right" w:leader="dot" w:pos="8296"/>
            </w:tabs>
            <w:ind w:firstLine="420"/>
            <w:rPr>
              <w:rStyle w:val="19"/>
              <w:rFonts w:cs="Times New Roman"/>
              <w:color w:val="000000" w:themeColor="text1"/>
              <w:sz w:val="21"/>
              <w:lang w:eastAsia="zh-CN"/>
              <w14:textFill>
                <w14:solidFill>
                  <w14:schemeClr w14:val="tx1"/>
                </w14:solidFill>
              </w14:textFill>
            </w:rPr>
          </w:pPr>
          <w:r>
            <w:rPr>
              <w:rStyle w:val="19"/>
              <w:rFonts w:cs="Times New Roman"/>
              <w:color w:val="000000" w:themeColor="text1"/>
              <w:sz w:val="21"/>
              <w:lang w:eastAsia="zh-CN"/>
              <w14:textFill>
                <w14:solidFill>
                  <w14:schemeClr w14:val="tx1"/>
                </w14:solidFill>
              </w14:textFill>
            </w:rPr>
            <w:t>Appendix B</w:t>
          </w:r>
          <w:r>
            <w:rPr>
              <w:rStyle w:val="19"/>
              <w:rFonts w:cs="Times New Roman"/>
              <w:color w:val="000000" w:themeColor="text1"/>
              <w:sz w:val="21"/>
              <w:lang w:eastAsia="zh-CN"/>
              <w14:textFill>
                <w14:solidFill>
                  <w14:schemeClr w14:val="tx1"/>
                </w14:solidFill>
              </w14:textFill>
            </w:rPr>
            <w:tab/>
          </w:r>
          <w:r>
            <w:rPr>
              <w:rStyle w:val="19"/>
              <w:rFonts w:cs="Times New Roman"/>
              <w:color w:val="000000" w:themeColor="text1"/>
              <w:sz w:val="21"/>
              <w:lang w:eastAsia="zh-CN"/>
              <w14:textFill>
                <w14:solidFill>
                  <w14:schemeClr w14:val="tx1"/>
                </w14:solidFill>
              </w14:textFill>
            </w:rPr>
            <w:t xml:space="preserve"> </w:t>
          </w:r>
          <w:r>
            <w:rPr>
              <w:rStyle w:val="19"/>
              <w:rFonts w:hint="eastAsia" w:cs="Times New Roman"/>
              <w:color w:val="000000" w:themeColor="text1"/>
              <w:sz w:val="21"/>
              <w:lang w:eastAsia="zh-CN"/>
              <w14:textFill>
                <w14:solidFill>
                  <w14:schemeClr w14:val="tx1"/>
                </w14:solidFill>
              </w14:textFill>
            </w:rPr>
            <w:t>82</w:t>
          </w:r>
        </w:p>
        <w:p>
          <w:pPr>
            <w:pStyle w:val="12"/>
            <w:tabs>
              <w:tab w:val="right" w:leader="dot" w:pos="8296"/>
            </w:tabs>
            <w:ind w:firstLine="420"/>
            <w:rPr>
              <w:rStyle w:val="19"/>
              <w:rFonts w:cs="Times New Roman"/>
              <w:color w:val="000000" w:themeColor="text1"/>
              <w:sz w:val="21"/>
              <w:lang w:eastAsia="zh-CN"/>
              <w14:textFill>
                <w14:solidFill>
                  <w14:schemeClr w14:val="tx1"/>
                </w14:solidFill>
              </w14:textFill>
            </w:rPr>
          </w:pPr>
          <w:r>
            <w:rPr>
              <w:rStyle w:val="19"/>
              <w:rFonts w:cs="Times New Roman"/>
              <w:color w:val="000000" w:themeColor="text1"/>
              <w:sz w:val="21"/>
              <w:lang w:eastAsia="zh-CN"/>
              <w14:textFill>
                <w14:solidFill>
                  <w14:schemeClr w14:val="tx1"/>
                </w14:solidFill>
              </w14:textFill>
            </w:rPr>
            <w:t xml:space="preserve">Appendix </w:t>
          </w:r>
          <w:r>
            <w:rPr>
              <w:rStyle w:val="19"/>
              <w:rFonts w:hint="eastAsia" w:cs="Times New Roman"/>
              <w:color w:val="000000" w:themeColor="text1"/>
              <w:sz w:val="21"/>
              <w:lang w:eastAsia="zh-CN"/>
              <w14:textFill>
                <w14:solidFill>
                  <w14:schemeClr w14:val="tx1"/>
                </w14:solidFill>
              </w14:textFill>
            </w:rPr>
            <w:t>C</w:t>
          </w:r>
          <w:r>
            <w:rPr>
              <w:rStyle w:val="19"/>
              <w:rFonts w:cs="Times New Roman"/>
              <w:color w:val="000000" w:themeColor="text1"/>
              <w:sz w:val="21"/>
              <w:lang w:eastAsia="zh-CN"/>
              <w14:textFill>
                <w14:solidFill>
                  <w14:schemeClr w14:val="tx1"/>
                </w14:solidFill>
              </w14:textFill>
            </w:rPr>
            <w:tab/>
          </w:r>
          <w:r>
            <w:rPr>
              <w:rStyle w:val="19"/>
              <w:rFonts w:cs="Times New Roman"/>
              <w:color w:val="000000" w:themeColor="text1"/>
              <w:sz w:val="21"/>
              <w:lang w:eastAsia="zh-CN"/>
              <w14:textFill>
                <w14:solidFill>
                  <w14:schemeClr w14:val="tx1"/>
                </w14:solidFill>
              </w14:textFill>
            </w:rPr>
            <w:t xml:space="preserve"> </w:t>
          </w:r>
          <w:r>
            <w:rPr>
              <w:rStyle w:val="19"/>
              <w:rFonts w:hint="eastAsia" w:cs="Times New Roman"/>
              <w:color w:val="000000" w:themeColor="text1"/>
              <w:sz w:val="21"/>
              <w:lang w:eastAsia="zh-CN"/>
              <w14:textFill>
                <w14:solidFill>
                  <w14:schemeClr w14:val="tx1"/>
                </w14:solidFill>
              </w14:textFill>
            </w:rPr>
            <w:t>83</w:t>
          </w:r>
        </w:p>
        <w:p>
          <w:pPr>
            <w:pStyle w:val="12"/>
            <w:tabs>
              <w:tab w:val="right" w:leader="dot" w:pos="8296"/>
            </w:tabs>
            <w:ind w:firstLine="420"/>
            <w:rPr>
              <w:rStyle w:val="19"/>
              <w:rFonts w:cs="Times New Roman"/>
              <w:color w:val="000000" w:themeColor="text1"/>
              <w:sz w:val="21"/>
              <w:lang w:eastAsia="zh-CN"/>
              <w14:textFill>
                <w14:solidFill>
                  <w14:schemeClr w14:val="tx1"/>
                </w14:solidFill>
              </w14:textFill>
            </w:rPr>
          </w:pPr>
          <w:r>
            <w:rPr>
              <w:rStyle w:val="19"/>
              <w:rFonts w:cs="Times New Roman"/>
              <w:color w:val="000000" w:themeColor="text1"/>
              <w:sz w:val="21"/>
              <w:lang w:eastAsia="zh-CN"/>
              <w14:textFill>
                <w14:solidFill>
                  <w14:schemeClr w14:val="tx1"/>
                </w14:solidFill>
              </w14:textFill>
            </w:rPr>
            <w:t xml:space="preserve">Appendix </w:t>
          </w:r>
          <w:r>
            <w:rPr>
              <w:rStyle w:val="19"/>
              <w:rFonts w:hint="eastAsia" w:cs="Times New Roman"/>
              <w:color w:val="000000" w:themeColor="text1"/>
              <w:sz w:val="21"/>
              <w:lang w:eastAsia="zh-CN"/>
              <w14:textFill>
                <w14:solidFill>
                  <w14:schemeClr w14:val="tx1"/>
                </w14:solidFill>
              </w14:textFill>
            </w:rPr>
            <w:t>D</w:t>
          </w:r>
          <w:r>
            <w:rPr>
              <w:rStyle w:val="19"/>
              <w:rFonts w:cs="Times New Roman"/>
              <w:color w:val="000000" w:themeColor="text1"/>
              <w:sz w:val="21"/>
              <w:lang w:eastAsia="zh-CN"/>
              <w14:textFill>
                <w14:solidFill>
                  <w14:schemeClr w14:val="tx1"/>
                </w14:solidFill>
              </w14:textFill>
            </w:rPr>
            <w:tab/>
          </w:r>
          <w:r>
            <w:rPr>
              <w:rStyle w:val="19"/>
              <w:rFonts w:cs="Times New Roman"/>
              <w:color w:val="000000" w:themeColor="text1"/>
              <w:sz w:val="21"/>
              <w:lang w:eastAsia="zh-CN"/>
              <w14:textFill>
                <w14:solidFill>
                  <w14:schemeClr w14:val="tx1"/>
                </w14:solidFill>
              </w14:textFill>
            </w:rPr>
            <w:t xml:space="preserve"> </w:t>
          </w:r>
          <w:r>
            <w:rPr>
              <w:rStyle w:val="19"/>
              <w:rFonts w:hint="eastAsia" w:cs="Times New Roman"/>
              <w:color w:val="000000" w:themeColor="text1"/>
              <w:sz w:val="21"/>
              <w:lang w:eastAsia="zh-CN"/>
              <w14:textFill>
                <w14:solidFill>
                  <w14:schemeClr w14:val="tx1"/>
                </w14:solidFill>
              </w14:textFill>
            </w:rPr>
            <w:t>84</w:t>
          </w:r>
        </w:p>
        <w:p>
          <w:pPr>
            <w:pStyle w:val="12"/>
            <w:tabs>
              <w:tab w:val="right" w:leader="dot" w:pos="8296"/>
            </w:tabs>
            <w:ind w:firstLine="420"/>
            <w:rPr>
              <w:rStyle w:val="19"/>
              <w:rFonts w:cs="Times New Roman"/>
              <w:color w:val="000000" w:themeColor="text1"/>
              <w:sz w:val="21"/>
              <w:lang w:eastAsia="zh-CN"/>
              <w14:textFill>
                <w14:solidFill>
                  <w14:schemeClr w14:val="tx1"/>
                </w14:solidFill>
              </w14:textFill>
            </w:rPr>
          </w:pPr>
          <w:r>
            <w:rPr>
              <w:rStyle w:val="19"/>
              <w:rFonts w:cs="Times New Roman"/>
              <w:color w:val="000000" w:themeColor="text1"/>
              <w:sz w:val="21"/>
              <w:lang w:eastAsia="zh-CN"/>
              <w14:textFill>
                <w14:solidFill>
                  <w14:schemeClr w14:val="tx1"/>
                </w14:solidFill>
              </w14:textFill>
            </w:rPr>
            <w:t>List</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Of</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Quoted</w:t>
          </w:r>
          <w:r>
            <w:rPr>
              <w:rStyle w:val="19"/>
              <w:rFonts w:hint="eastAsia" w:cs="Times New Roman"/>
              <w:color w:val="000000" w:themeColor="text1"/>
              <w:sz w:val="21"/>
              <w:lang w:eastAsia="zh-CN"/>
              <w14:textFill>
                <w14:solidFill>
                  <w14:schemeClr w14:val="tx1"/>
                </w14:solidFill>
              </w14:textFill>
            </w:rPr>
            <w:t xml:space="preserve"> </w:t>
          </w:r>
          <w:r>
            <w:rPr>
              <w:rStyle w:val="19"/>
              <w:rFonts w:cs="Times New Roman"/>
              <w:color w:val="000000" w:themeColor="text1"/>
              <w:sz w:val="21"/>
              <w:lang w:eastAsia="zh-CN"/>
              <w14:textFill>
                <w14:solidFill>
                  <w14:schemeClr w14:val="tx1"/>
                </w14:solidFill>
              </w14:textFill>
            </w:rPr>
            <w:t>Standards</w:t>
          </w:r>
          <w:bookmarkStart w:id="10" w:name="OLE_LINK35"/>
          <w:r>
            <w:rPr>
              <w:rStyle w:val="19"/>
              <w:rFonts w:cs="Times New Roman"/>
              <w:color w:val="000000" w:themeColor="text1"/>
              <w:sz w:val="21"/>
              <w:lang w:eastAsia="zh-CN"/>
              <w14:textFill>
                <w14:solidFill>
                  <w14:schemeClr w14:val="tx1"/>
                </w14:solidFill>
              </w14:textFill>
            </w:rPr>
            <w:tab/>
          </w:r>
          <w:r>
            <w:rPr>
              <w:rStyle w:val="19"/>
              <w:rFonts w:cs="Times New Roman"/>
              <w:color w:val="000000" w:themeColor="text1"/>
              <w:sz w:val="21"/>
              <w:lang w:eastAsia="zh-CN"/>
              <w14:textFill>
                <w14:solidFill>
                  <w14:schemeClr w14:val="tx1"/>
                </w14:solidFill>
              </w14:textFill>
            </w:rPr>
            <w:t xml:space="preserve"> </w:t>
          </w:r>
          <w:bookmarkEnd w:id="10"/>
          <w:r>
            <w:rPr>
              <w:rStyle w:val="19"/>
              <w:rFonts w:hint="eastAsia" w:cs="Times New Roman"/>
              <w:color w:val="000000" w:themeColor="text1"/>
              <w:sz w:val="21"/>
              <w:lang w:eastAsia="zh-CN"/>
              <w14:textFill>
                <w14:solidFill>
                  <w14:schemeClr w14:val="tx1"/>
                </w14:solidFill>
              </w14:textFill>
            </w:rPr>
            <w:t>86</w:t>
          </w:r>
        </w:p>
        <w:p>
          <w:pPr>
            <w:pStyle w:val="12"/>
            <w:tabs>
              <w:tab w:val="right" w:leader="dot" w:pos="8296"/>
            </w:tabs>
            <w:ind w:firstLine="420"/>
            <w:rPr>
              <w:color w:val="000000" w:themeColor="text1"/>
              <w:lang w:eastAsia="zh-CN"/>
              <w14:textFill>
                <w14:solidFill>
                  <w14:schemeClr w14:val="tx1"/>
                </w14:solidFill>
              </w14:textFill>
            </w:rPr>
          </w:pPr>
          <w:r>
            <w:rPr>
              <w:rStyle w:val="19"/>
              <w:rFonts w:cs="Times New Roman"/>
              <w:color w:val="000000" w:themeColor="text1"/>
              <w:sz w:val="21"/>
              <w:lang w:eastAsia="zh-CN"/>
              <w14:textFill>
                <w14:solidFill>
                  <w14:schemeClr w14:val="tx1"/>
                </w14:solidFill>
              </w14:textFill>
            </w:rPr>
            <w:t>Attached: Explanation of Provisions</w:t>
          </w:r>
          <w:r>
            <w:rPr>
              <w:rStyle w:val="19"/>
              <w:rFonts w:cs="Times New Roman"/>
              <w:color w:val="000000" w:themeColor="text1"/>
              <w:sz w:val="21"/>
              <w:lang w:eastAsia="zh-CN"/>
              <w14:textFill>
                <w14:solidFill>
                  <w14:schemeClr w14:val="tx1"/>
                </w14:solidFill>
              </w14:textFill>
            </w:rPr>
            <w:tab/>
          </w:r>
          <w:r>
            <w:rPr>
              <w:rStyle w:val="19"/>
              <w:rFonts w:cs="Times New Roman"/>
              <w:color w:val="000000" w:themeColor="text1"/>
              <w:sz w:val="21"/>
              <w:lang w:eastAsia="zh-CN"/>
              <w14:textFill>
                <w14:solidFill>
                  <w14:schemeClr w14:val="tx1"/>
                </w14:solidFill>
              </w14:textFill>
            </w:rPr>
            <w:t xml:space="preserve"> </w:t>
          </w:r>
          <w:r>
            <w:rPr>
              <w:rStyle w:val="19"/>
              <w:rFonts w:hint="eastAsia" w:cs="Times New Roman"/>
              <w:color w:val="000000" w:themeColor="text1"/>
              <w:sz w:val="21"/>
              <w:lang w:eastAsia="zh-CN"/>
              <w14:textFill>
                <w14:solidFill>
                  <w14:schemeClr w14:val="tx1"/>
                </w14:solidFill>
              </w14:textFill>
            </w:rPr>
            <w:t>87</w:t>
          </w:r>
        </w:p>
        <w:p>
          <w:pPr>
            <w:ind w:firstLine="420"/>
            <w:rPr>
              <w:rFonts w:cs="Times New Roman"/>
              <w:color w:val="000000" w:themeColor="text1"/>
              <w:sz w:val="21"/>
              <w14:textFill>
                <w14:solidFill>
                  <w14:schemeClr w14:val="tx1"/>
                </w14:solidFill>
              </w14:textFill>
            </w:rPr>
            <w:sectPr>
              <w:footerReference r:id="rId11" w:type="default"/>
              <w:pgSz w:w="11906" w:h="16838"/>
              <w:pgMar w:top="1440" w:right="1800" w:bottom="1440" w:left="1800" w:header="851" w:footer="992" w:gutter="0"/>
              <w:pgNumType w:fmt="upperRoman" w:start="1"/>
              <w:cols w:space="425" w:num="1"/>
              <w:docGrid w:type="lines" w:linePitch="312" w:charSpace="0"/>
            </w:sectPr>
          </w:pPr>
          <w:r>
            <w:rPr>
              <w:rFonts w:cs="Times New Roman"/>
              <w:color w:val="000000" w:themeColor="text1"/>
              <w:sz w:val="21"/>
              <w14:textFill>
                <w14:solidFill>
                  <w14:schemeClr w14:val="tx1"/>
                </w14:solidFill>
              </w14:textFill>
            </w:rPr>
            <w:fldChar w:fldCharType="end"/>
          </w:r>
        </w:p>
      </w:sdtContent>
    </w:sdt>
    <w:p>
      <w:pPr>
        <w:pStyle w:val="15"/>
        <w:ind w:firstLine="643"/>
        <w:rPr>
          <w:rFonts w:ascii="Times New Roman" w:hAnsi="Times New Roman" w:cs="Times New Roman"/>
          <w:color w:val="000000" w:themeColor="text1"/>
          <w:lang w:eastAsia="zh-CN"/>
          <w14:textFill>
            <w14:solidFill>
              <w14:schemeClr w14:val="tx1"/>
            </w14:solidFill>
          </w14:textFill>
        </w:rPr>
      </w:pPr>
      <w:bookmarkStart w:id="11" w:name="_Toc196915192"/>
      <w:r>
        <w:rPr>
          <w:rFonts w:ascii="Times New Roman" w:hAnsi="Times New Roman" w:eastAsia="黑体" w:cs="Times New Roman"/>
          <w:color w:val="000000" w:themeColor="text1"/>
          <w:lang w:eastAsia="zh-CN"/>
          <w14:textFill>
            <w14:solidFill>
              <w14:schemeClr w14:val="tx1"/>
            </w14:solidFill>
          </w14:textFill>
        </w:rPr>
        <w:t>1 总  则</w:t>
      </w:r>
      <w:bookmarkEnd w:id="11"/>
    </w:p>
    <w:p>
      <w:pPr>
        <w:ind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1.0.1</w:t>
      </w:r>
      <w:r>
        <w:rPr>
          <w:rFonts w:cs="Times New Roman"/>
          <w:color w:val="000000" w:themeColor="text1"/>
          <w:sz w:val="21"/>
          <w:lang w:eastAsia="zh-CN"/>
          <w14:textFill>
            <w14:solidFill>
              <w14:schemeClr w14:val="tx1"/>
            </w14:solidFill>
          </w14:textFill>
        </w:rPr>
        <w:t xml:space="preserve"> 为提升排水管道质量，促进城镇排水系统提质增效，保障排水系统安全运行，恢复管道正常功能，延长管道使用寿命，规范城镇排水管道非开挖修复工程，制定本标准。</w:t>
      </w:r>
    </w:p>
    <w:p>
      <w:pPr>
        <w:ind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1.0.2 </w:t>
      </w:r>
      <w:r>
        <w:rPr>
          <w:rFonts w:cs="Times New Roman"/>
          <w:color w:val="000000" w:themeColor="text1"/>
          <w:sz w:val="21"/>
          <w:lang w:eastAsia="zh-CN"/>
          <w14:textFill>
            <w14:solidFill>
              <w14:schemeClr w14:val="tx1"/>
            </w14:solidFill>
          </w14:textFill>
        </w:rPr>
        <w:t>本标准适用于管道非开挖修复工程的设计、施工及验收</w:t>
      </w:r>
      <w:r>
        <w:rPr>
          <w:rFonts w:hint="eastAsia" w:cs="Times New Roman"/>
          <w:color w:val="000000" w:themeColor="text1"/>
          <w:sz w:val="21"/>
          <w:lang w:eastAsia="zh-CN"/>
          <w14:textFill>
            <w14:solidFill>
              <w14:schemeClr w14:val="tx1"/>
            </w14:solidFill>
          </w14:textFill>
        </w:rPr>
        <w:t>质量控制</w:t>
      </w:r>
      <w:r>
        <w:rPr>
          <w:rFonts w:cs="Times New Roman"/>
          <w:color w:val="000000" w:themeColor="text1"/>
          <w:sz w:val="21"/>
          <w:lang w:eastAsia="zh-CN"/>
          <w14:textFill>
            <w14:solidFill>
              <w14:schemeClr w14:val="tx1"/>
            </w14:solidFill>
          </w14:textFill>
        </w:rPr>
        <w:t>。</w:t>
      </w:r>
    </w:p>
    <w:p>
      <w:pPr>
        <w:ind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1.0.3 </w:t>
      </w:r>
      <w:r>
        <w:rPr>
          <w:rFonts w:cs="Times New Roman"/>
          <w:color w:val="000000" w:themeColor="text1"/>
          <w:sz w:val="21"/>
          <w:lang w:eastAsia="zh-CN"/>
          <w14:textFill>
            <w14:solidFill>
              <w14:schemeClr w14:val="tx1"/>
            </w14:solidFill>
          </w14:textFill>
        </w:rPr>
        <w:t>管道非开挖修复工程除应符合本标准的规定外，尚应符合国家</w:t>
      </w:r>
      <w:r>
        <w:rPr>
          <w:rFonts w:hint="eastAsia" w:cs="Times New Roman"/>
          <w:color w:val="000000" w:themeColor="text1"/>
          <w:sz w:val="21"/>
          <w:lang w:eastAsia="zh-CN"/>
          <w14:textFill>
            <w14:solidFill>
              <w14:schemeClr w14:val="tx1"/>
            </w14:solidFill>
          </w14:textFill>
        </w:rPr>
        <w:t>、行业及济南市</w:t>
      </w:r>
      <w:r>
        <w:rPr>
          <w:rFonts w:cs="Times New Roman"/>
          <w:color w:val="000000" w:themeColor="text1"/>
          <w:sz w:val="21"/>
          <w:lang w:eastAsia="zh-CN"/>
          <w14:textFill>
            <w14:solidFill>
              <w14:schemeClr w14:val="tx1"/>
            </w14:solidFill>
          </w14:textFill>
        </w:rPr>
        <w:t>有关标准的规定。</w:t>
      </w: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br w:type="page"/>
      </w:r>
    </w:p>
    <w:p>
      <w:pPr>
        <w:pStyle w:val="15"/>
        <w:ind w:firstLine="0" w:firstLineChars="0"/>
        <w:rPr>
          <w:color w:val="000000" w:themeColor="text1"/>
          <w14:textFill>
            <w14:solidFill>
              <w14:schemeClr w14:val="tx1"/>
            </w14:solidFill>
          </w14:textFill>
        </w:rPr>
      </w:pPr>
      <w:bookmarkStart w:id="12" w:name="_Toc196915193"/>
      <w:r>
        <w:rPr>
          <w:rFonts w:ascii="Times New Roman" w:hAnsi="Times New Roman" w:eastAsia="黑体" w:cs="Times New Roman"/>
          <w:color w:val="000000" w:themeColor="text1"/>
          <w:lang w:eastAsia="zh-CN"/>
          <w14:textFill>
            <w14:solidFill>
              <w14:schemeClr w14:val="tx1"/>
            </w14:solidFill>
          </w14:textFill>
        </w:rPr>
        <w:t xml:space="preserve">2 </w:t>
      </w:r>
      <w:r>
        <w:rPr>
          <w:rFonts w:hint="eastAsia" w:ascii="Times New Roman" w:hAnsi="Times New Roman" w:eastAsia="黑体" w:cs="Times New Roman"/>
          <w:color w:val="000000" w:themeColor="text1"/>
          <w:lang w:eastAsia="zh-CN"/>
          <w14:textFill>
            <w14:solidFill>
              <w14:schemeClr w14:val="tx1"/>
            </w14:solidFill>
          </w14:textFill>
        </w:rPr>
        <w:t>术语和符号</w:t>
      </w:r>
      <w:bookmarkEnd w:id="12"/>
    </w:p>
    <w:p>
      <w:pPr>
        <w:pStyle w:val="3"/>
        <w:ind w:firstLine="560"/>
      </w:pPr>
      <w:bookmarkStart w:id="13" w:name="_Toc196915194"/>
      <w:r>
        <w:t>2.1 术 语</w:t>
      </w:r>
      <w:bookmarkEnd w:id="13"/>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2.1.1</w:t>
      </w:r>
      <w:r>
        <w:rPr>
          <w:rFonts w:cs="Times New Roman"/>
          <w:color w:val="000000" w:themeColor="text1"/>
          <w:sz w:val="21"/>
          <w:lang w:eastAsia="zh-CN"/>
          <w14:textFill>
            <w14:solidFill>
              <w14:schemeClr w14:val="tx1"/>
            </w14:solidFill>
          </w14:textFill>
        </w:rPr>
        <w:t xml:space="preserve"> </w:t>
      </w:r>
      <w:r>
        <w:rPr>
          <w:rFonts w:eastAsia="黑体" w:cs="Times New Roman"/>
          <w:color w:val="000000" w:themeColor="text1"/>
          <w:sz w:val="21"/>
          <w:lang w:eastAsia="zh-CN"/>
          <w14:textFill>
            <w14:solidFill>
              <w14:schemeClr w14:val="tx1"/>
            </w14:solidFill>
          </w14:textFill>
        </w:rPr>
        <w:t>非开挖修复</w:t>
      </w:r>
      <w:r>
        <w:rPr>
          <w:rFonts w:cs="Times New Roman"/>
          <w:color w:val="000000" w:themeColor="text1"/>
          <w:sz w:val="21"/>
          <w:lang w:eastAsia="zh-CN"/>
          <w14:textFill>
            <w14:solidFill>
              <w14:schemeClr w14:val="tx1"/>
            </w14:solidFill>
          </w14:textFill>
        </w:rPr>
        <w:t xml:space="preserve">  trenchless rehabilitation</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采用少开挖或不开挖方式恢复或提升原有排水管道系统性能的更新、维修和更换的技术和方法。</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2.1.2</w:t>
      </w:r>
      <w:r>
        <w:rPr>
          <w:rFonts w:cs="Times New Roman"/>
          <w:color w:val="000000" w:themeColor="text1"/>
          <w:sz w:val="21"/>
          <w:lang w:eastAsia="zh-CN"/>
          <w14:textFill>
            <w14:solidFill>
              <w14:schemeClr w14:val="tx1"/>
            </w14:solidFill>
          </w14:textFill>
        </w:rPr>
        <w:t xml:space="preserve"> </w:t>
      </w:r>
      <w:r>
        <w:rPr>
          <w:rFonts w:eastAsia="黑体" w:cs="Times New Roman"/>
          <w:color w:val="000000" w:themeColor="text1"/>
          <w:sz w:val="21"/>
          <w:lang w:eastAsia="zh-CN"/>
          <w14:textFill>
            <w14:solidFill>
              <w14:schemeClr w14:val="tx1"/>
            </w14:solidFill>
          </w14:textFill>
        </w:rPr>
        <w:t>整体修复</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 xml:space="preserve">whole </w:t>
      </w:r>
      <w:r>
        <w:rPr>
          <w:rFonts w:cs="Times New Roman"/>
          <w:color w:val="000000" w:themeColor="text1"/>
          <w:sz w:val="21"/>
          <w:lang w:eastAsia="zh-CN"/>
          <w14:textFill>
            <w14:solidFill>
              <w14:schemeClr w14:val="tx1"/>
            </w14:solidFill>
          </w14:textFill>
        </w:rPr>
        <w:t>rehabilitation</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对两个或多个检查井之间的排水管道采用同一技术进行整段修复。</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2.1.3</w:t>
      </w:r>
      <w:r>
        <w:rPr>
          <w:rFonts w:cs="Times New Roman"/>
          <w:color w:val="000000" w:themeColor="text1"/>
          <w:sz w:val="21"/>
          <w:lang w:eastAsia="zh-CN"/>
          <w14:textFill>
            <w14:solidFill>
              <w14:schemeClr w14:val="tx1"/>
            </w14:solidFill>
          </w14:textFill>
        </w:rPr>
        <w:t xml:space="preserve"> </w:t>
      </w:r>
      <w:r>
        <w:rPr>
          <w:rFonts w:eastAsia="黑体" w:cs="Times New Roman"/>
          <w:color w:val="000000" w:themeColor="text1"/>
          <w:sz w:val="21"/>
          <w:lang w:eastAsia="zh-CN"/>
          <w14:textFill>
            <w14:solidFill>
              <w14:schemeClr w14:val="tx1"/>
            </w14:solidFill>
          </w14:textFill>
        </w:rPr>
        <w:t>局部修复</w:t>
      </w:r>
      <w:r>
        <w:rPr>
          <w:rFonts w:cs="Times New Roman"/>
          <w:color w:val="000000" w:themeColor="text1"/>
          <w:sz w:val="21"/>
          <w:lang w:eastAsia="zh-CN"/>
          <w14:textFill>
            <w14:solidFill>
              <w14:schemeClr w14:val="tx1"/>
            </w14:solidFill>
          </w14:textFill>
        </w:rPr>
        <w:t xml:space="preserve">  localized rehabilitation</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对排水管道局部的破裂、变形、渗漏、错口和脱节等缺陷进行修复。</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2.1.4</w:t>
      </w:r>
      <w:r>
        <w:rPr>
          <w:rFonts w:cs="Times New Roman"/>
          <w:color w:val="000000" w:themeColor="text1"/>
          <w:sz w:val="21"/>
          <w:lang w:eastAsia="zh-CN"/>
          <w14:textFill>
            <w14:solidFill>
              <w14:schemeClr w14:val="tx1"/>
            </w14:solidFill>
          </w14:textFill>
        </w:rPr>
        <w:t xml:space="preserve"> </w:t>
      </w:r>
      <w:r>
        <w:rPr>
          <w:rFonts w:hint="eastAsia" w:eastAsia="黑体" w:cs="Times New Roman"/>
          <w:color w:val="000000" w:themeColor="text1"/>
          <w:sz w:val="21"/>
          <w:lang w:eastAsia="zh-CN"/>
          <w14:textFill>
            <w14:solidFill>
              <w14:schemeClr w14:val="tx1"/>
            </w14:solidFill>
          </w14:textFill>
        </w:rPr>
        <w:t>土体</w:t>
      </w:r>
      <w:bookmarkStart w:id="14" w:name="OLE_LINK45"/>
      <w:r>
        <w:rPr>
          <w:rFonts w:eastAsia="黑体" w:cs="Times New Roman"/>
          <w:color w:val="000000" w:themeColor="text1"/>
          <w:sz w:val="21"/>
          <w:lang w:eastAsia="zh-CN"/>
          <w14:textFill>
            <w14:solidFill>
              <w14:schemeClr w14:val="tx1"/>
            </w14:solidFill>
          </w14:textFill>
        </w:rPr>
        <w:t>注浆法</w:t>
      </w:r>
      <w:bookmarkEnd w:id="14"/>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 xml:space="preserve">soil </w:t>
      </w:r>
      <w:r>
        <w:rPr>
          <w:rFonts w:cs="Times New Roman"/>
          <w:color w:val="000000" w:themeColor="text1"/>
          <w:sz w:val="21"/>
          <w:lang w:eastAsia="zh-CN"/>
          <w14:textFill>
            <w14:solidFill>
              <w14:schemeClr w14:val="tx1"/>
            </w14:solidFill>
          </w14:textFill>
        </w:rPr>
        <w:t>grouting method</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采用由管内向管外或由地面向下的钻孔方式，利用压力将水泥基浆液注入管道周边的病害区，以达到管道防渗、止水和加固土体等目的的辅助工法。</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2.1.5</w:t>
      </w:r>
      <w:r>
        <w:rPr>
          <w:rFonts w:cs="Times New Roman"/>
          <w:color w:val="000000" w:themeColor="text1"/>
          <w:sz w:val="21"/>
          <w:lang w:eastAsia="zh-CN"/>
          <w14:textFill>
            <w14:solidFill>
              <w14:schemeClr w14:val="tx1"/>
            </w14:solidFill>
          </w14:textFill>
        </w:rPr>
        <w:t xml:space="preserve"> </w:t>
      </w:r>
      <w:r>
        <w:rPr>
          <w:rFonts w:eastAsia="黑体" w:cs="Times New Roman"/>
          <w:color w:val="000000" w:themeColor="text1"/>
          <w:sz w:val="21"/>
          <w:lang w:eastAsia="zh-CN"/>
          <w14:textFill>
            <w14:solidFill>
              <w14:schemeClr w14:val="tx1"/>
            </w14:solidFill>
          </w14:textFill>
        </w:rPr>
        <w:t>裂缝嵌补</w:t>
      </w:r>
      <w:r>
        <w:rPr>
          <w:rFonts w:hint="eastAsia" w:eastAsia="黑体" w:cs="Times New Roman"/>
          <w:color w:val="000000" w:themeColor="text1"/>
          <w:sz w:val="21"/>
          <w:lang w:eastAsia="zh-CN"/>
          <w14:textFill>
            <w14:solidFill>
              <w14:schemeClr w14:val="tx1"/>
            </w14:solidFill>
          </w14:textFill>
        </w:rPr>
        <w:t>法</w:t>
      </w:r>
      <w:r>
        <w:rPr>
          <w:rFonts w:cs="Times New Roman"/>
          <w:color w:val="000000" w:themeColor="text1"/>
          <w:sz w:val="21"/>
          <w:lang w:eastAsia="zh-CN"/>
          <w14:textFill>
            <w14:solidFill>
              <w14:schemeClr w14:val="tx1"/>
            </w14:solidFill>
          </w14:textFill>
        </w:rPr>
        <w:t xml:space="preserve">  crack patching</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采用聚氨酯浆液按一定注浆工艺，在原钢筋混凝土管道接口处使浆液充满并封闭缺陷部位，起到抗渗和补强作用的一种管道修复的辅助工法。</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w:t>
      </w:r>
      <w:r>
        <w:rPr>
          <w:rFonts w:hint="eastAsia"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 xml:space="preserve"> </w:t>
      </w:r>
      <w:r>
        <w:rPr>
          <w:rFonts w:eastAsia="黑体" w:cs="Times New Roman"/>
          <w:color w:val="000000" w:themeColor="text1"/>
          <w:sz w:val="21"/>
          <w:lang w:eastAsia="zh-CN"/>
          <w14:textFill>
            <w14:solidFill>
              <w14:schemeClr w14:val="tx1"/>
            </w14:solidFill>
          </w14:textFill>
        </w:rPr>
        <w:t>不锈钢双胀环法</w:t>
      </w:r>
      <w:r>
        <w:rPr>
          <w:rFonts w:cs="Times New Roman"/>
          <w:color w:val="000000" w:themeColor="text1"/>
          <w:sz w:val="21"/>
          <w:lang w:eastAsia="zh-CN"/>
          <w14:textFill>
            <w14:solidFill>
              <w14:schemeClr w14:val="tx1"/>
            </w14:solidFill>
          </w14:textFill>
        </w:rPr>
        <w:t xml:space="preserve">  stainless steel double expansion ring method</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以不锈钢胀环和止水橡胶带为主要修复材料，在管道接口或缺陷部位安装止水橡胶带，再用两道不锈钢胀环固定的管道局部修复方法。</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w:t>
      </w:r>
      <w:r>
        <w:rPr>
          <w:rFonts w:hint="eastAsia" w:cs="Times New Roman"/>
          <w:b/>
          <w:bCs/>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 xml:space="preserve"> </w:t>
      </w:r>
      <w:r>
        <w:rPr>
          <w:rFonts w:eastAsia="黑体" w:cs="Times New Roman"/>
          <w:color w:val="000000" w:themeColor="text1"/>
          <w:sz w:val="21"/>
          <w:lang w:eastAsia="zh-CN"/>
          <w14:textFill>
            <w14:solidFill>
              <w14:schemeClr w14:val="tx1"/>
            </w14:solidFill>
          </w14:textFill>
        </w:rPr>
        <w:t>不锈钢快速锁法</w:t>
      </w:r>
      <w:r>
        <w:rPr>
          <w:rFonts w:cs="Times New Roman"/>
          <w:color w:val="000000" w:themeColor="text1"/>
          <w:sz w:val="21"/>
          <w:lang w:eastAsia="zh-CN"/>
          <w14:textFill>
            <w14:solidFill>
              <w14:schemeClr w14:val="tx1"/>
            </w14:solidFill>
          </w14:textFill>
        </w:rPr>
        <w:t xml:space="preserve">  stainless steel expansion sleeve method   </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以不锈钢套筒、橡胶套和锁紧机构为主要修复材料，在管道接口或缺陷部位将不锈钢套筒通过修复气囊或人工方式扩张后，再将橡胶套用锁紧机构固定的管道局部修复方法。</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 xml:space="preserve"> </w:t>
      </w:r>
      <w:r>
        <w:rPr>
          <w:rFonts w:eastAsia="黑体" w:cs="Times New Roman"/>
          <w:color w:val="000000" w:themeColor="text1"/>
          <w:sz w:val="21"/>
          <w:lang w:eastAsia="zh-CN"/>
          <w14:textFill>
            <w14:solidFill>
              <w14:schemeClr w14:val="tx1"/>
            </w14:solidFill>
          </w14:textFill>
        </w:rPr>
        <w:t>紫外光原位固化法</w:t>
      </w:r>
      <w:r>
        <w:rPr>
          <w:rFonts w:cs="Times New Roman"/>
          <w:color w:val="000000" w:themeColor="text1"/>
          <w:sz w:val="21"/>
          <w:lang w:eastAsia="zh-CN"/>
          <w14:textFill>
            <w14:solidFill>
              <w14:schemeClr w14:val="tx1"/>
            </w14:solidFill>
          </w14:textFill>
        </w:rPr>
        <w:t xml:space="preserve">  UV cured-in-place pipe method</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将玻纤软管牵拉进入原有管道，通过玻纤软管内通入压缩空气，使其紧贴原有管道内壁，通过受控的紫外光灯照射，使玻软管固化而形成具有一定强度内衬管的修复方法，简称光固化修复。</w:t>
      </w:r>
    </w:p>
    <w:p>
      <w:pPr>
        <w:ind w:firstLine="420" w:firstLineChars="0"/>
        <w:rPr>
          <w:rFonts w:cs="Times New Roman"/>
          <w:color w:val="000000" w:themeColor="text1"/>
          <w:sz w:val="21"/>
          <w:lang w:eastAsia="zh-CN"/>
          <w14:textFill>
            <w14:solidFill>
              <w14:schemeClr w14:val="tx1"/>
            </w14:solidFill>
          </w14:textFill>
        </w:rPr>
      </w:pPr>
      <w:r>
        <w:rPr>
          <w:rFonts w:hint="eastAsia" w:eastAsia="黑体" w:cs="Times New Roman"/>
          <w:b/>
          <w:bCs/>
          <w:color w:val="000000" w:themeColor="text1"/>
          <w:sz w:val="21"/>
          <w:lang w:eastAsia="zh-CN"/>
          <w14:textFill>
            <w14:solidFill>
              <w14:schemeClr w14:val="tx1"/>
            </w14:solidFill>
          </w14:textFill>
        </w:rPr>
        <w:t>2.1.9</w:t>
      </w:r>
      <w:r>
        <w:rPr>
          <w:rFonts w:hint="eastAsia" w:eastAsia="黑体" w:cs="Times New Roman"/>
          <w:color w:val="000000" w:themeColor="text1"/>
          <w:sz w:val="21"/>
          <w:lang w:eastAsia="zh-CN"/>
          <w14:textFill>
            <w14:solidFill>
              <w14:schemeClr w14:val="tx1"/>
            </w14:solidFill>
          </w14:textFill>
        </w:rPr>
        <w:t xml:space="preserve"> 翻转式</w:t>
      </w:r>
      <w:r>
        <w:rPr>
          <w:rFonts w:eastAsia="黑体" w:cs="Times New Roman"/>
          <w:color w:val="000000" w:themeColor="text1"/>
          <w:sz w:val="21"/>
          <w:lang w:eastAsia="zh-CN"/>
          <w14:textFill>
            <w14:solidFill>
              <w14:schemeClr w14:val="tx1"/>
            </w14:solidFill>
          </w14:textFill>
        </w:rPr>
        <w:t>原位固化法</w:t>
      </w:r>
      <w:r>
        <w:rPr>
          <w:rFonts w:cs="Times New Roman"/>
          <w:color w:val="000000" w:themeColor="text1"/>
          <w:sz w:val="21"/>
          <w:lang w:eastAsia="zh-CN"/>
          <w14:textFill>
            <w14:solidFill>
              <w14:schemeClr w14:val="tx1"/>
            </w14:solidFill>
          </w14:textFill>
        </w:rPr>
        <w:t xml:space="preserve"> </w:t>
      </w:r>
      <w:r>
        <w:rPr>
          <w:color w:val="auto"/>
          <w:szCs w:val="18"/>
          <w:lang w:eastAsia="zh-CN"/>
        </w:rPr>
        <w:t xml:space="preserve"> </w:t>
      </w:r>
      <w:r>
        <w:rPr>
          <w:rFonts w:cs="Times New Roman"/>
          <w:color w:val="000000" w:themeColor="text1"/>
          <w:sz w:val="21"/>
          <w:lang w:eastAsia="zh-CN"/>
          <w14:textFill>
            <w14:solidFill>
              <w14:schemeClr w14:val="tx1"/>
            </w14:solidFill>
          </w14:textFill>
        </w:rPr>
        <w:t>inversion cured-in-place pipe method</w:t>
      </w:r>
    </w:p>
    <w:p>
      <w:pPr>
        <w:ind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翻转式原位固化法是指采用翻转方式将浸渍树脂的内衬管置入原有管道，通过热水或蒸汽加热固化后形成内衬管的修复方法。</w:t>
      </w:r>
      <w:r>
        <w:rPr>
          <w:rFonts w:cs="Times New Roman"/>
          <w:color w:val="000000" w:themeColor="text1"/>
          <w:sz w:val="21"/>
          <w:lang w:eastAsia="zh-CN"/>
          <w14:textFill>
            <w14:solidFill>
              <w14:schemeClr w14:val="tx1"/>
            </w14:solidFill>
          </w14:textFill>
        </w:rPr>
        <w:t>。</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w:t>
      </w:r>
      <w:r>
        <w:rPr>
          <w:rFonts w:hint="eastAsia" w:cs="Times New Roman"/>
          <w:b/>
          <w:bCs/>
          <w:color w:val="000000" w:themeColor="text1"/>
          <w:sz w:val="21"/>
          <w:lang w:eastAsia="zh-CN"/>
          <w14:textFill>
            <w14:solidFill>
              <w14:schemeClr w14:val="tx1"/>
            </w14:solidFill>
          </w14:textFill>
        </w:rPr>
        <w:t>10</w:t>
      </w:r>
      <w:r>
        <w:rPr>
          <w:rFonts w:cs="Times New Roman"/>
          <w:color w:val="000000" w:themeColor="text1"/>
          <w:sz w:val="21"/>
          <w:lang w:eastAsia="zh-CN"/>
          <w14:textFill>
            <w14:solidFill>
              <w14:schemeClr w14:val="tx1"/>
            </w14:solidFill>
          </w14:textFill>
        </w:rPr>
        <w:t xml:space="preserve"> </w:t>
      </w:r>
      <w:r>
        <w:rPr>
          <w:rFonts w:eastAsia="黑体" w:cs="Times New Roman"/>
          <w:color w:val="000000" w:themeColor="text1"/>
          <w:sz w:val="21"/>
          <w:lang w:eastAsia="zh-CN"/>
          <w14:textFill>
            <w14:solidFill>
              <w14:schemeClr w14:val="tx1"/>
            </w14:solidFill>
          </w14:textFill>
        </w:rPr>
        <w:t>原位热塑</w:t>
      </w:r>
      <w:r>
        <w:rPr>
          <w:rFonts w:hint="eastAsia" w:eastAsia="黑体" w:cs="Times New Roman"/>
          <w:color w:val="000000" w:themeColor="text1"/>
          <w:sz w:val="21"/>
          <w:lang w:eastAsia="zh-CN"/>
          <w14:textFill>
            <w14:solidFill>
              <w14:schemeClr w14:val="tx1"/>
            </w14:solidFill>
          </w14:textFill>
        </w:rPr>
        <w:t>成型</w:t>
      </w:r>
      <w:r>
        <w:rPr>
          <w:rFonts w:eastAsia="黑体" w:cs="Times New Roman"/>
          <w:color w:val="000000" w:themeColor="text1"/>
          <w:sz w:val="21"/>
          <w:lang w:eastAsia="zh-CN"/>
          <w14:textFill>
            <w14:solidFill>
              <w14:schemeClr w14:val="tx1"/>
            </w14:solidFill>
          </w14:textFill>
        </w:rPr>
        <w:t>法</w:t>
      </w:r>
      <w:r>
        <w:rPr>
          <w:rFonts w:cs="Times New Roman"/>
          <w:color w:val="000000" w:themeColor="text1"/>
          <w:sz w:val="21"/>
          <w:lang w:eastAsia="zh-CN"/>
          <w14:textFill>
            <w14:solidFill>
              <w14:schemeClr w14:val="tx1"/>
            </w14:solidFill>
          </w14:textFill>
        </w:rPr>
        <w:t xml:space="preserve">  formed-in-place pipe</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method</w:t>
      </w:r>
    </w:p>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将工厂预制的PVC折叠管加热软化，采用牵拉方法置入原有管道内，通过加热、加压及冷却方法，使其紧密贴合于原有管道内壁，形成内衬管的修复技术。</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w:t>
      </w:r>
      <w:r>
        <w:rPr>
          <w:rFonts w:hint="eastAsia" w:cs="Times New Roman"/>
          <w:b/>
          <w:bCs/>
          <w:color w:val="000000" w:themeColor="text1"/>
          <w:sz w:val="21"/>
          <w:lang w:eastAsia="zh-CN"/>
          <w14:textFill>
            <w14:solidFill>
              <w14:schemeClr w14:val="tx1"/>
            </w14:solidFill>
          </w14:textFill>
        </w:rPr>
        <w:t>11</w:t>
      </w:r>
      <w:r>
        <w:rPr>
          <w:rFonts w:cs="Times New Roman"/>
          <w:color w:val="000000" w:themeColor="text1"/>
          <w:sz w:val="21"/>
          <w:lang w:eastAsia="zh-CN"/>
          <w14:textFill>
            <w14:solidFill>
              <w14:schemeClr w14:val="tx1"/>
            </w14:solidFill>
          </w14:textFill>
        </w:rPr>
        <w:t xml:space="preserve"> </w:t>
      </w:r>
      <w:r>
        <w:rPr>
          <w:rFonts w:eastAsia="黑体" w:cs="Times New Roman"/>
          <w:color w:val="000000" w:themeColor="text1"/>
          <w:sz w:val="21"/>
          <w:lang w:eastAsia="zh-CN"/>
          <w14:textFill>
            <w14:solidFill>
              <w14:schemeClr w14:val="tx1"/>
            </w14:solidFill>
          </w14:textFill>
        </w:rPr>
        <w:t>短管内衬法</w:t>
      </w:r>
      <w:r>
        <w:rPr>
          <w:rFonts w:cs="Times New Roman"/>
          <w:color w:val="000000" w:themeColor="text1"/>
          <w:sz w:val="21"/>
          <w:lang w:eastAsia="zh-CN"/>
          <w14:textFill>
            <w14:solidFill>
              <w14:schemeClr w14:val="tx1"/>
            </w14:solidFill>
          </w14:textFill>
        </w:rPr>
        <w:t xml:space="preserve">  short pipe lining method</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包括不贴壁短管法和贴壁短管法。不贴壁短管法是采用牵拉、顶推的方式将预制塑料短管置入原有管道形成内衬，并对内衬与原有管道或井壁之间的空隙进行填充的修复方法；贴壁短管法是采用高密度聚乙烯（简称 HDPE）片状型材在原有管道或检查井内通过焊接形成内衬的修复方法。</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2.1.1</w:t>
      </w:r>
      <w:r>
        <w:rPr>
          <w:rFonts w:hint="eastAsia"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eastAsia="黑体" w:cs="Times New Roman"/>
          <w:color w:val="000000" w:themeColor="text1"/>
          <w:sz w:val="21"/>
          <w:lang w:eastAsia="zh-CN"/>
          <w14:textFill>
            <w14:solidFill>
              <w14:schemeClr w14:val="tx1"/>
            </w14:solidFill>
          </w14:textFill>
        </w:rPr>
        <w:t>螺旋缠绕内</w:t>
      </w:r>
      <w:r>
        <w:rPr>
          <w:rFonts w:hint="eastAsia" w:eastAsia="黑体" w:cs="Times New Roman"/>
          <w:color w:val="000000" w:themeColor="text1"/>
          <w:sz w:val="21"/>
          <w:lang w:eastAsia="zh-CN"/>
          <w14:textFill>
            <w14:solidFill>
              <w14:schemeClr w14:val="tx1"/>
            </w14:solidFill>
          </w14:textFill>
        </w:rPr>
        <w:t>衬</w:t>
      </w:r>
      <w:r>
        <w:rPr>
          <w:rFonts w:eastAsia="黑体" w:cs="Times New Roman"/>
          <w:color w:val="000000" w:themeColor="text1"/>
          <w:sz w:val="21"/>
          <w:lang w:eastAsia="zh-CN"/>
          <w14:textFill>
            <w14:solidFill>
              <w14:schemeClr w14:val="tx1"/>
            </w14:solidFill>
          </w14:textFill>
        </w:rPr>
        <w:t>法</w:t>
      </w:r>
      <w:r>
        <w:rPr>
          <w:rFonts w:cs="Times New Roman"/>
          <w:color w:val="000000" w:themeColor="text1"/>
          <w:sz w:val="21"/>
          <w:lang w:eastAsia="zh-CN"/>
          <w14:textFill>
            <w14:solidFill>
              <w14:schemeClr w14:val="tx1"/>
            </w14:solidFill>
          </w14:textFill>
        </w:rPr>
        <w:t xml:space="preserve">  lining with spirally-wound pipes</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method</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将带状型材置入原有管道，通过螺旋缠绕方式形成连续内衬，并对内衬与原有管道之间的空隙进行填充的修复方法。本标准螺旋缠绕内衬法系指钢塑增强型螺旋缠绕内衬法。</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2.1.1</w:t>
      </w:r>
      <w:r>
        <w:rPr>
          <w:rFonts w:hint="eastAsia"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eastAsia="黑体" w:cs="Times New Roman"/>
          <w:color w:val="000000" w:themeColor="text1"/>
          <w:sz w:val="21"/>
          <w:lang w:eastAsia="zh-CN"/>
          <w14:textFill>
            <w14:solidFill>
              <w14:schemeClr w14:val="tx1"/>
            </w14:solidFill>
          </w14:textFill>
        </w:rPr>
        <w:t>水泥基材料</w:t>
      </w:r>
      <w:r>
        <w:rPr>
          <w:rFonts w:hint="eastAsia" w:eastAsia="黑体" w:cs="Times New Roman"/>
          <w:color w:val="000000" w:themeColor="text1"/>
          <w:sz w:val="21"/>
          <w:lang w:eastAsia="zh-CN"/>
          <w14:textFill>
            <w14:solidFill>
              <w14:schemeClr w14:val="tx1"/>
            </w14:solidFill>
          </w14:textFill>
        </w:rPr>
        <w:t>喷涂</w:t>
      </w:r>
      <w:r>
        <w:rPr>
          <w:rFonts w:eastAsia="黑体" w:cs="Times New Roman"/>
          <w:color w:val="000000" w:themeColor="text1"/>
          <w:sz w:val="21"/>
          <w:lang w:eastAsia="zh-CN"/>
          <w14:textFill>
            <w14:solidFill>
              <w14:schemeClr w14:val="tx1"/>
            </w14:solidFill>
          </w14:textFill>
        </w:rPr>
        <w:t>法</w:t>
      </w:r>
      <w:r>
        <w:rPr>
          <w:rFonts w:cs="Times New Roman"/>
          <w:color w:val="000000" w:themeColor="text1"/>
          <w:sz w:val="21"/>
          <w:lang w:eastAsia="zh-CN"/>
          <w14:textFill>
            <w14:solidFill>
              <w14:schemeClr w14:val="tx1"/>
            </w14:solidFill>
          </w14:textFill>
        </w:rPr>
        <w:t xml:space="preserve">   </w:t>
      </w:r>
      <w:bookmarkStart w:id="15" w:name="OLE_LINK107"/>
      <w:r>
        <w:rPr>
          <w:rFonts w:cs="Times New Roman"/>
          <w:color w:val="000000" w:themeColor="text1"/>
          <w:sz w:val="21"/>
          <w:lang w:eastAsia="zh-CN"/>
          <w14:textFill>
            <w14:solidFill>
              <w14:schemeClr w14:val="tx1"/>
            </w14:solidFill>
          </w14:textFill>
        </w:rPr>
        <w:t>lining with sprayed cementitious material method</w:t>
      </w:r>
    </w:p>
    <w:bookmarkEnd w:id="15"/>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通过离心或压力喷射方式将修复用水泥基材料均匀覆盖在原有管道设施内表面形成有一定厚度内衬的修复方法。</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2.1.14 高分子材料喷涂法 </w:t>
      </w:r>
      <w:r>
        <w:rPr>
          <w:rFonts w:cs="Times New Roman"/>
          <w:color w:val="000000" w:themeColor="text1"/>
          <w:sz w:val="21"/>
          <w:lang w:eastAsia="zh-CN"/>
          <w14:textFill>
            <w14:solidFill>
              <w14:schemeClr w14:val="tx1"/>
            </w14:solidFill>
          </w14:textFill>
        </w:rPr>
        <w:t xml:space="preserve">lining with sprayed </w:t>
      </w:r>
      <w:r>
        <w:rPr>
          <w:rFonts w:hint="eastAsia" w:cs="Times New Roman"/>
          <w:color w:val="000000" w:themeColor="text1"/>
          <w:sz w:val="21"/>
          <w:lang w:eastAsia="zh-CN"/>
          <w14:textFill>
            <w14:solidFill>
              <w14:schemeClr w14:val="tx1"/>
            </w14:solidFill>
          </w14:textFill>
        </w:rPr>
        <w:t>polymeric</w:t>
      </w:r>
      <w:r>
        <w:rPr>
          <w:rFonts w:cs="Times New Roman"/>
          <w:color w:val="000000" w:themeColor="text1"/>
          <w:sz w:val="21"/>
          <w:lang w:eastAsia="zh-CN"/>
          <w14:textFill>
            <w14:solidFill>
              <w14:schemeClr w14:val="tx1"/>
            </w14:solidFill>
          </w14:textFill>
        </w:rPr>
        <w:t xml:space="preserve"> material method</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向管道内壁喷涂高分子材料，形成涂层的管道修复方法。</w:t>
      </w:r>
    </w:p>
    <w:p>
      <w:pPr>
        <w:ind w:firstLine="420" w:firstLineChars="0"/>
        <w:rPr>
          <w:rFonts w:cs="Times New Roman"/>
          <w:color w:val="000000" w:themeColor="text1"/>
          <w:sz w:val="21"/>
          <w:highlight w:val="none"/>
          <w:lang w:eastAsia="zh-CN"/>
          <w14:textFill>
            <w14:solidFill>
              <w14:schemeClr w14:val="tx1"/>
            </w14:solidFill>
          </w14:textFill>
        </w:rPr>
      </w:pPr>
      <w:r>
        <w:rPr>
          <w:rFonts w:cs="Times New Roman"/>
          <w:b/>
          <w:bCs/>
          <w:color w:val="000000" w:themeColor="text1"/>
          <w:sz w:val="21"/>
          <w:highlight w:val="none"/>
          <w:lang w:eastAsia="zh-CN"/>
          <w14:textFill>
            <w14:solidFill>
              <w14:schemeClr w14:val="tx1"/>
            </w14:solidFill>
          </w14:textFill>
        </w:rPr>
        <w:t>2.1.1</w:t>
      </w:r>
      <w:r>
        <w:rPr>
          <w:rFonts w:hint="eastAsia" w:cs="Times New Roman"/>
          <w:b/>
          <w:bCs/>
          <w:color w:val="000000" w:themeColor="text1"/>
          <w:sz w:val="21"/>
          <w:highlight w:val="none"/>
          <w:lang w:eastAsia="zh-CN"/>
          <w14:textFill>
            <w14:solidFill>
              <w14:schemeClr w14:val="tx1"/>
            </w14:solidFill>
          </w14:textFill>
        </w:rPr>
        <w:t>5</w:t>
      </w:r>
      <w:r>
        <w:rPr>
          <w:rFonts w:cs="Times New Roman"/>
          <w:color w:val="000000" w:themeColor="text1"/>
          <w:sz w:val="21"/>
          <w:highlight w:val="none"/>
          <w:lang w:eastAsia="zh-CN"/>
          <w14:textFill>
            <w14:solidFill>
              <w14:schemeClr w14:val="tx1"/>
            </w14:solidFill>
          </w14:textFill>
        </w:rPr>
        <w:t xml:space="preserve">  </w:t>
      </w:r>
      <w:r>
        <w:rPr>
          <w:rFonts w:eastAsia="黑体" w:cs="Times New Roman"/>
          <w:color w:val="000000" w:themeColor="text1"/>
          <w:sz w:val="21"/>
          <w:highlight w:val="none"/>
          <w:lang w:eastAsia="zh-CN"/>
          <w14:textFill>
            <w14:solidFill>
              <w14:schemeClr w14:val="tx1"/>
            </w14:solidFill>
          </w14:textFill>
        </w:rPr>
        <w:t>碎裂管法</w:t>
      </w:r>
      <w:r>
        <w:rPr>
          <w:rFonts w:cs="Times New Roman"/>
          <w:color w:val="000000" w:themeColor="text1"/>
          <w:sz w:val="21"/>
          <w:highlight w:val="none"/>
          <w:lang w:eastAsia="zh-CN"/>
          <w14:textFill>
            <w14:solidFill>
              <w14:schemeClr w14:val="tx1"/>
            </w14:solidFill>
          </w14:textFill>
        </w:rPr>
        <w:t xml:space="preserve">  pipe bursting method</w:t>
      </w:r>
    </w:p>
    <w:p>
      <w:pPr>
        <w:ind w:firstLine="420"/>
        <w:rPr>
          <w:rFonts w:cs="Times New Roman"/>
          <w:color w:val="000000" w:themeColor="text1"/>
          <w:sz w:val="21"/>
          <w:highlight w:val="none"/>
          <w:lang w:eastAsia="zh-CN"/>
          <w14:textFill>
            <w14:solidFill>
              <w14:schemeClr w14:val="tx1"/>
            </w14:solidFill>
          </w14:textFill>
        </w:rPr>
      </w:pPr>
      <w:r>
        <w:rPr>
          <w:rFonts w:cs="Times New Roman"/>
          <w:color w:val="000000" w:themeColor="text1"/>
          <w:sz w:val="21"/>
          <w:highlight w:val="none"/>
          <w:lang w:eastAsia="zh-CN"/>
          <w14:textFill>
            <w14:solidFill>
              <w14:schemeClr w14:val="tx1"/>
            </w14:solidFill>
          </w14:textFill>
        </w:rPr>
        <w:t>应用碎（裂）管设备从内部破碎或割裂原有管道，将原有管道碎片挤入周围土体形成管孔，并同步拉入新管的管道更新修复方法。</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2.1.</w:t>
      </w:r>
      <w:r>
        <w:rPr>
          <w:rFonts w:hint="eastAsia" w:cs="Times New Roman"/>
          <w:b/>
          <w:bCs/>
          <w:color w:val="000000" w:themeColor="text1"/>
          <w:sz w:val="21"/>
          <w:lang w:eastAsia="zh-CN"/>
          <w14:textFill>
            <w14:solidFill>
              <w14:schemeClr w14:val="tx1"/>
            </w14:solidFill>
          </w14:textFill>
        </w:rPr>
        <w:t>16</w:t>
      </w:r>
      <w:r>
        <w:rPr>
          <w:rFonts w:cs="Times New Roman"/>
          <w:color w:val="000000" w:themeColor="text1"/>
          <w:sz w:val="21"/>
          <w:lang w:eastAsia="zh-CN"/>
          <w14:textFill>
            <w14:solidFill>
              <w14:schemeClr w14:val="tx1"/>
            </w14:solidFill>
          </w14:textFill>
        </w:rPr>
        <w:t xml:space="preserve"> </w:t>
      </w:r>
      <w:r>
        <w:rPr>
          <w:rFonts w:eastAsia="黑体" w:cs="Times New Roman"/>
          <w:color w:val="000000" w:themeColor="text1"/>
          <w:sz w:val="21"/>
          <w:lang w:eastAsia="zh-CN"/>
          <w14:textFill>
            <w14:solidFill>
              <w14:schemeClr w14:val="tx1"/>
            </w14:solidFill>
          </w14:textFill>
        </w:rPr>
        <w:t>内衬</w:t>
      </w:r>
      <w:r>
        <w:rPr>
          <w:rFonts w:cs="Times New Roman"/>
          <w:color w:val="000000" w:themeColor="text1"/>
          <w:sz w:val="21"/>
          <w:lang w:eastAsia="zh-CN"/>
          <w14:textFill>
            <w14:solidFill>
              <w14:schemeClr w14:val="tx1"/>
            </w14:solidFill>
          </w14:textFill>
        </w:rPr>
        <w:t xml:space="preserve">  liner</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通过各种非开挖修复方法在原有管道内形成的管道内壁。</w:t>
      </w:r>
    </w:p>
    <w:p>
      <w:pPr>
        <w:pStyle w:val="3"/>
        <w:ind w:firstLine="560"/>
      </w:pPr>
      <w:bookmarkStart w:id="16" w:name="_Toc196915195"/>
      <w:r>
        <w:t>2.2 符  号</w:t>
      </w:r>
      <w:bookmarkEnd w:id="16"/>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2.2.1</w:t>
      </w:r>
      <w:r>
        <w:rPr>
          <w:rFonts w:cs="Times New Roman"/>
          <w:color w:val="000000" w:themeColor="text1"/>
          <w:sz w:val="21"/>
          <w:lang w:eastAsia="zh-CN"/>
          <w14:textFill>
            <w14:solidFill>
              <w14:schemeClr w14:val="tx1"/>
            </w14:solidFill>
          </w14:textFill>
        </w:rPr>
        <w:t xml:space="preserve"> 材料性能</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 xml:space="preserve">E </w:t>
      </w:r>
      <w:r>
        <w:rPr>
          <w:rFonts w:cs="Times New Roman"/>
          <w:color w:val="000000" w:themeColor="text1"/>
          <w:sz w:val="21"/>
          <w:lang w:eastAsia="zh-CN"/>
          <w14:textFill>
            <w14:solidFill>
              <w14:schemeClr w14:val="tx1"/>
            </w14:solidFill>
          </w14:textFill>
        </w:rPr>
        <w:t>— 初始弹性模量；</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E</w:t>
      </w:r>
      <w:r>
        <w:rPr>
          <w:rFonts w:cs="Times New Roman"/>
          <w:color w:val="000000" w:themeColor="text1"/>
          <w:sz w:val="21"/>
          <w:vertAlign w:val="subscript"/>
          <w:lang w:eastAsia="zh-CN"/>
          <w14:textFill>
            <w14:solidFill>
              <w14:schemeClr w14:val="tx1"/>
            </w14:solidFill>
          </w14:textFill>
        </w:rPr>
        <w:t>L</w:t>
      </w:r>
      <w:r>
        <w:rPr>
          <w:rFonts w:cs="Times New Roman"/>
          <w:color w:val="000000" w:themeColor="text1"/>
          <w:sz w:val="21"/>
          <w:lang w:eastAsia="zh-CN"/>
          <w14:textFill>
            <w14:solidFill>
              <w14:schemeClr w14:val="tx1"/>
            </w14:solidFill>
          </w14:textFill>
        </w:rPr>
        <w:t xml:space="preserve"> — 长期弹性模量；</w:t>
      </w:r>
    </w:p>
    <w:p>
      <w:pPr>
        <w:ind w:left="420" w:firstLine="420"/>
        <w:rPr>
          <w:rFonts w:cs="Times New Roman"/>
          <w:color w:val="000000" w:themeColor="text1"/>
          <w:sz w:val="21"/>
          <w:lang w:eastAsia="zh-CN"/>
          <w14:textFill>
            <w14:solidFill>
              <w14:schemeClr w14:val="tx1"/>
            </w14:solidFill>
          </w14:textFill>
        </w:rPr>
      </w:pPr>
      <m:oMath>
        <m:r>
          <m:rPr/>
          <w:rPr>
            <w:rFonts w:ascii="Cambria Math" w:hAnsi="Cambria Math" w:cs="Times New Roman"/>
            <w:color w:val="000000" w:themeColor="text1"/>
            <w:sz w:val="21"/>
            <w:lang w:eastAsia="zh-CN"/>
            <w14:textFill>
              <w14:solidFill>
                <w14:schemeClr w14:val="tx1"/>
              </w14:solidFill>
            </w14:textFill>
          </w:rPr>
          <m:t>σ</m:t>
        </m:r>
      </m:oMath>
      <w:r>
        <w:rPr>
          <w:rFonts w:cs="Times New Roman"/>
          <w:color w:val="000000" w:themeColor="text1"/>
          <w:sz w:val="21"/>
          <w:lang w:eastAsia="zh-CN"/>
          <w14:textFill>
            <w14:solidFill>
              <w14:schemeClr w14:val="tx1"/>
            </w14:solidFill>
          </w14:textFill>
        </w:rPr>
        <w:t xml:space="preserve"> — 管材的屈服拉伸强度或抗压强度；</w:t>
      </w:r>
    </w:p>
    <w:p>
      <w:pPr>
        <w:ind w:left="420" w:firstLine="420"/>
        <w:rPr>
          <w:rFonts w:cs="Times New Roman"/>
          <w:color w:val="000000" w:themeColor="text1"/>
          <w:sz w:val="21"/>
          <w:lang w:eastAsia="zh-CN"/>
          <w14:textFill>
            <w14:solidFill>
              <w14:schemeClr w14:val="tx1"/>
            </w14:solidFill>
          </w14:textFill>
        </w:rPr>
      </w:pPr>
      <m:oMath>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σ</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L</m:t>
            </m:r>
            <m:ctrlPr>
              <w:rPr>
                <w:rFonts w:ascii="Cambria Math" w:hAnsi="Cambria Math" w:cs="Times New Roman"/>
                <w:i/>
                <w:color w:val="000000" w:themeColor="text1"/>
                <w:sz w:val="21"/>
                <w:lang w:eastAsia="zh-CN"/>
                <w14:textFill>
                  <w14:solidFill>
                    <w14:schemeClr w14:val="tx1"/>
                  </w14:solidFill>
                </w14:textFill>
              </w:rPr>
            </m:ctrlPr>
          </m:sub>
        </m:sSub>
      </m:oMath>
      <w:r>
        <w:rPr>
          <w:rFonts w:cs="Times New Roman"/>
          <w:color w:val="000000" w:themeColor="text1"/>
          <w:sz w:val="21"/>
          <w:lang w:eastAsia="zh-CN"/>
          <w14:textFill>
            <w14:solidFill>
              <w14:schemeClr w14:val="tx1"/>
            </w14:solidFill>
          </w14:textFill>
        </w:rPr>
        <w:t xml:space="preserve"> — 内衬管长期弯曲强度；</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I</w:t>
      </w:r>
      <w:r>
        <w:rPr>
          <w:rFonts w:cs="Times New Roman"/>
          <w:color w:val="000000" w:themeColor="text1"/>
          <w:sz w:val="21"/>
          <w:lang w:eastAsia="zh-CN"/>
          <w14:textFill>
            <w14:solidFill>
              <w14:schemeClr w14:val="tx1"/>
            </w14:solidFill>
          </w14:textFill>
        </w:rPr>
        <w:t xml:space="preserve"> — 内衬管管壁截面惯性矩；</w:t>
      </w:r>
    </w:p>
    <w:p>
      <w:pPr>
        <w:ind w:left="420" w:firstLine="420"/>
        <w:rPr>
          <w:rFonts w:cs="Times New Roman"/>
          <w:color w:val="000000" w:themeColor="text1"/>
          <w:sz w:val="21"/>
          <w:lang w:eastAsia="zh-CN"/>
          <w14:textFill>
            <w14:solidFill>
              <w14:schemeClr w14:val="tx1"/>
            </w14:solidFill>
          </w14:textFill>
        </w:rPr>
      </w:pPr>
      <m:oMath>
        <m:r>
          <m:rPr/>
          <w:rPr>
            <w:rFonts w:ascii="Cambria Math" w:hAnsi="Cambria Math" w:cs="Times New Roman"/>
            <w:color w:val="000000" w:themeColor="text1"/>
            <w:sz w:val="21"/>
            <w:lang w:eastAsia="zh-CN"/>
            <w14:textFill>
              <w14:solidFill>
                <w14:schemeClr w14:val="tx1"/>
              </w14:solidFill>
            </w14:textFill>
          </w:rPr>
          <m:t>μ</m:t>
        </m:r>
      </m:oMath>
      <w:r>
        <w:rPr>
          <w:rFonts w:cs="Times New Roman"/>
          <w:color w:val="000000" w:themeColor="text1"/>
          <w:sz w:val="21"/>
          <w:lang w:eastAsia="zh-CN"/>
          <w14:textFill>
            <w14:solidFill>
              <w14:schemeClr w14:val="tx1"/>
            </w14:solidFill>
          </w14:textFill>
        </w:rPr>
        <w:t xml:space="preserve"> — 泊松比；</w:t>
      </w:r>
    </w:p>
    <w:p>
      <w:pPr>
        <w:ind w:left="420" w:firstLine="420"/>
        <w:rPr>
          <w:rFonts w:cs="Times New Roman"/>
          <w:color w:val="000000" w:themeColor="text1"/>
          <w:sz w:val="21"/>
          <w:lang w:eastAsia="zh-CN"/>
          <w14:textFill>
            <w14:solidFill>
              <w14:schemeClr w14:val="tx1"/>
            </w14:solidFill>
          </w14:textFill>
        </w:rPr>
      </w:pPr>
      <m:oMath>
        <m:r>
          <m:rPr/>
          <w:rPr>
            <w:rFonts w:ascii="Cambria Math" w:hAnsi="Cambria Math" w:cs="Times New Roman"/>
            <w:color w:val="000000" w:themeColor="text1"/>
            <w:sz w:val="21"/>
            <w:lang w:eastAsia="zh-CN"/>
            <w14:textFill>
              <w14:solidFill>
                <w14:schemeClr w14:val="tx1"/>
              </w14:solidFill>
            </w14:textFill>
          </w:rPr>
          <m:t>ρ</m:t>
        </m:r>
      </m:oMath>
      <w:r>
        <w:rPr>
          <w:rFonts w:cs="Times New Roman"/>
          <w:color w:val="000000" w:themeColor="text1"/>
          <w:sz w:val="21"/>
          <w:lang w:eastAsia="zh-CN"/>
          <w14:textFill>
            <w14:solidFill>
              <w14:schemeClr w14:val="tx1"/>
            </w14:solidFill>
          </w14:textFill>
        </w:rPr>
        <w:t xml:space="preserve"> — 喷涂材料密度。</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2.2.2</w:t>
      </w:r>
      <w:r>
        <w:rPr>
          <w:rFonts w:cs="Times New Roman"/>
          <w:color w:val="000000" w:themeColor="text1"/>
          <w:sz w:val="21"/>
          <w:lang w:eastAsia="zh-CN"/>
          <w14:textFill>
            <w14:solidFill>
              <w14:schemeClr w14:val="tx1"/>
            </w14:solidFill>
          </w14:textFill>
        </w:rPr>
        <w:t xml:space="preserve"> 作用与作用效应</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F</w:t>
      </w:r>
      <w:r>
        <w:rPr>
          <w:rFonts w:cs="Times New Roman"/>
          <w:color w:val="000000" w:themeColor="text1"/>
          <w:sz w:val="21"/>
          <w:lang w:eastAsia="zh-CN"/>
          <w14:textFill>
            <w14:solidFill>
              <w14:schemeClr w14:val="tx1"/>
            </w14:solidFill>
          </w14:textFill>
        </w:rPr>
        <w:t xml:space="preserve"> — 允许拖拉力；</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P</w:t>
      </w:r>
      <w:r>
        <w:rPr>
          <w:rFonts w:cs="Times New Roman"/>
          <w:color w:val="000000" w:themeColor="text1"/>
          <w:sz w:val="21"/>
          <w:vertAlign w:val="subscript"/>
          <w:lang w:eastAsia="zh-CN"/>
          <w14:textFill>
            <w14:solidFill>
              <w14:schemeClr w14:val="tx1"/>
            </w14:solidFill>
          </w14:textFill>
        </w:rPr>
        <w:t>o</w:t>
      </w:r>
      <w:r>
        <w:rPr>
          <w:rFonts w:cs="Times New Roman"/>
          <w:color w:val="000000" w:themeColor="text1"/>
          <w:sz w:val="21"/>
          <w:lang w:eastAsia="zh-CN"/>
          <w14:textFill>
            <w14:solidFill>
              <w14:schemeClr w14:val="tx1"/>
            </w14:solidFill>
          </w14:textFill>
        </w:rPr>
        <w:t xml:space="preserve"> — 管道中心部位地下水压力；</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q</w:t>
      </w:r>
      <w:r>
        <w:rPr>
          <w:rFonts w:cs="Times New Roman"/>
          <w:color w:val="000000" w:themeColor="text1"/>
          <w:sz w:val="21"/>
          <w:vertAlign w:val="subscript"/>
          <w:lang w:eastAsia="zh-CN"/>
          <w14:textFill>
            <w14:solidFill>
              <w14:schemeClr w14:val="tx1"/>
            </w14:solidFill>
          </w14:textFill>
        </w:rPr>
        <w:t xml:space="preserve">t  </w:t>
      </w:r>
      <w:r>
        <w:rPr>
          <w:rFonts w:cs="Times New Roman"/>
          <w:color w:val="000000" w:themeColor="text1"/>
          <w:sz w:val="21"/>
          <w:lang w:eastAsia="zh-CN"/>
          <w14:textFill>
            <w14:solidFill>
              <w14:schemeClr w14:val="tx1"/>
            </w14:solidFill>
          </w14:textFill>
        </w:rPr>
        <w:t xml:space="preserve">— 内衬管承担的土体、地下水自重及地面活荷载之和；  </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W</w:t>
      </w:r>
      <w:r>
        <w:rPr>
          <w:rFonts w:cs="Times New Roman"/>
          <w:color w:val="000000" w:themeColor="text1"/>
          <w:sz w:val="21"/>
          <w:vertAlign w:val="subscript"/>
          <w:lang w:eastAsia="zh-CN"/>
          <w14:textFill>
            <w14:solidFill>
              <w14:schemeClr w14:val="tx1"/>
            </w14:solidFill>
          </w14:textFill>
        </w:rPr>
        <w:t xml:space="preserve">s  </w:t>
      </w:r>
      <w:r>
        <w:rPr>
          <w:rFonts w:cs="Times New Roman"/>
          <w:color w:val="000000" w:themeColor="text1"/>
          <w:sz w:val="21"/>
          <w:lang w:eastAsia="zh-CN"/>
          <w14:textFill>
            <w14:solidFill>
              <w14:schemeClr w14:val="tx1"/>
            </w14:solidFill>
          </w14:textFill>
        </w:rPr>
        <w:t>— 地面活荷载；</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H</w:t>
      </w:r>
      <w:r>
        <w:rPr>
          <w:rFonts w:cs="Times New Roman"/>
          <w:color w:val="000000" w:themeColor="text1"/>
          <w:sz w:val="21"/>
          <w:lang w:eastAsia="zh-CN"/>
          <w14:textFill>
            <w14:solidFill>
              <w14:schemeClr w14:val="tx1"/>
            </w14:solidFill>
          </w14:textFill>
        </w:rPr>
        <w:t xml:space="preserve"> — 管道埋深；</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H</w:t>
      </w:r>
      <w:r>
        <w:rPr>
          <w:rFonts w:cs="Times New Roman"/>
          <w:color w:val="000000" w:themeColor="text1"/>
          <w:sz w:val="21"/>
          <w:vertAlign w:val="subscript"/>
          <w:lang w:eastAsia="zh-CN"/>
          <w14:textFill>
            <w14:solidFill>
              <w14:schemeClr w14:val="tx1"/>
            </w14:solidFill>
          </w14:textFill>
        </w:rPr>
        <w:t xml:space="preserve">W  </w:t>
      </w:r>
      <w:r>
        <w:rPr>
          <w:rFonts w:cs="Times New Roman"/>
          <w:color w:val="000000" w:themeColor="text1"/>
          <w:sz w:val="21"/>
          <w:lang w:eastAsia="zh-CN"/>
          <w14:textFill>
            <w14:solidFill>
              <w14:schemeClr w14:val="tx1"/>
            </w14:solidFill>
          </w14:textFill>
        </w:rPr>
        <w:t>— 管顶以上地下水位高度；</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H</w:t>
      </w:r>
      <w:r>
        <w:rPr>
          <w:rFonts w:cs="Times New Roman"/>
          <w:color w:val="000000" w:themeColor="text1"/>
          <w:sz w:val="21"/>
          <w:vertAlign w:val="subscript"/>
          <w:lang w:eastAsia="zh-CN"/>
          <w14:textFill>
            <w14:solidFill>
              <w14:schemeClr w14:val="tx1"/>
            </w14:solidFill>
          </w14:textFill>
        </w:rPr>
        <w:t xml:space="preserve">s  </w:t>
      </w:r>
      <w:r>
        <w:rPr>
          <w:rFonts w:cs="Times New Roman"/>
          <w:color w:val="000000" w:themeColor="text1"/>
          <w:sz w:val="21"/>
          <w:lang w:eastAsia="zh-CN"/>
          <w14:textFill>
            <w14:solidFill>
              <w14:schemeClr w14:val="tx1"/>
            </w14:solidFill>
          </w14:textFill>
        </w:rPr>
        <w:t>— 管顶覆土厚度；</w:t>
      </w:r>
    </w:p>
    <w:p>
      <w:pPr>
        <w:ind w:left="420" w:firstLine="420"/>
        <w:rPr>
          <w:rFonts w:cs="Times New Roman"/>
          <w:color w:val="000000" w:themeColor="text1"/>
          <w:sz w:val="21"/>
          <w:lang w:eastAsia="zh-CN"/>
          <w14:textFill>
            <w14:solidFill>
              <w14:schemeClr w14:val="tx1"/>
            </w14:solidFill>
          </w14:textFill>
        </w:rPr>
      </w:pPr>
      <m:oMath>
        <m:r>
          <m:rPr/>
          <w:rPr>
            <w:rFonts w:ascii="Cambria Math" w:hAnsi="Cambria Math" w:cs="Times New Roman"/>
            <w:color w:val="000000" w:themeColor="text1"/>
            <w:sz w:val="21"/>
            <w:lang w:eastAsia="zh-CN"/>
            <w14:textFill>
              <w14:solidFill>
                <w14:schemeClr w14:val="tx1"/>
              </w14:solidFill>
            </w14:textFill>
          </w:rPr>
          <m:t>ρ</m:t>
        </m:r>
      </m:oMath>
      <w:r>
        <w:rPr>
          <w:rFonts w:cs="Times New Roman"/>
          <w:i/>
          <w:i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—土体容重；</w:t>
      </w:r>
    </w:p>
    <w:p>
      <w:pPr>
        <w:ind w:left="420" w:firstLine="420"/>
        <w:rPr>
          <w:rFonts w:cs="Times New Roman"/>
          <w:color w:val="000000" w:themeColor="text1"/>
          <w:sz w:val="21"/>
          <w:lang w:eastAsia="zh-CN"/>
          <w14:textFill>
            <w14:solidFill>
              <w14:schemeClr w14:val="tx1"/>
            </w14:solidFill>
          </w14:textFill>
        </w:rPr>
      </w:pPr>
      <m:oMath>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γ</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0</m:t>
            </m:r>
            <m:ctrlPr>
              <w:rPr>
                <w:rFonts w:ascii="Cambria Math" w:hAnsi="Cambria Math" w:cs="Times New Roman"/>
                <w:i/>
                <w:color w:val="000000" w:themeColor="text1"/>
                <w:sz w:val="21"/>
                <w14:textFill>
                  <w14:solidFill>
                    <w14:schemeClr w14:val="tx1"/>
                  </w14:solidFill>
                </w14:textFill>
              </w:rPr>
            </m:ctrlPr>
          </m:sub>
        </m:sSub>
      </m:oMath>
      <w:r>
        <w:rPr>
          <w:rFonts w:cs="Times New Roman"/>
          <w:color w:val="000000" w:themeColor="text1"/>
          <w:sz w:val="21"/>
          <w:lang w:eastAsia="zh-CN"/>
          <w14:textFill>
            <w14:solidFill>
              <w14:schemeClr w14:val="tx1"/>
            </w14:solidFill>
          </w14:textFill>
        </w:rPr>
        <w:t xml:space="preserve"> — 内衬管刚度折减系数；</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E’</w:t>
      </w:r>
      <w:r>
        <w:rPr>
          <w:rFonts w:cs="Times New Roman"/>
          <w:color w:val="000000" w:themeColor="text1"/>
          <w:sz w:val="21"/>
          <w:vertAlign w:val="subscript"/>
          <w:lang w:eastAsia="zh-CN"/>
          <w14:textFill>
            <w14:solidFill>
              <w14:schemeClr w14:val="tx1"/>
            </w14:solidFill>
          </w14:textFill>
        </w:rPr>
        <w:t xml:space="preserve">s  </w:t>
      </w:r>
      <w:r>
        <w:rPr>
          <w:rFonts w:cs="Times New Roman"/>
          <w:color w:val="000000" w:themeColor="text1"/>
          <w:sz w:val="21"/>
          <w:lang w:eastAsia="zh-CN"/>
          <w14:textFill>
            <w14:solidFill>
              <w14:schemeClr w14:val="tx1"/>
            </w14:solidFill>
          </w14:textFill>
        </w:rPr>
        <w:t>— 管侧土的综合变形模量；</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P</w:t>
      </w:r>
      <w:r>
        <w:rPr>
          <w:rFonts w:cs="Times New Roman"/>
          <w:color w:val="000000" w:themeColor="text1"/>
          <w:sz w:val="21"/>
          <w:lang w:eastAsia="zh-CN"/>
          <w14:textFill>
            <w14:solidFill>
              <w14:schemeClr w14:val="tx1"/>
            </w14:solidFill>
          </w14:textFill>
        </w:rPr>
        <w:t xml:space="preserve"> — 闭气试验的起始测试气压；</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ΔP — 试验压力修正值；</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Z</w:t>
      </w:r>
      <w:r>
        <w:rPr>
          <w:rFonts w:cs="Times New Roman"/>
          <w:color w:val="000000" w:themeColor="text1"/>
          <w:sz w:val="21"/>
          <w:vertAlign w:val="subscript"/>
          <w:lang w:eastAsia="zh-CN"/>
          <w14:textFill>
            <w14:solidFill>
              <w14:schemeClr w14:val="tx1"/>
            </w14:solidFill>
          </w14:textFill>
        </w:rPr>
        <w:t xml:space="preserve">s </w:t>
      </w:r>
      <w:r>
        <w:rPr>
          <w:rFonts w:cs="Times New Roman"/>
          <w:color w:val="000000" w:themeColor="text1"/>
          <w:sz w:val="21"/>
          <w:lang w:eastAsia="zh-CN"/>
          <w14:textFill>
            <w14:solidFill>
              <w14:schemeClr w14:val="tx1"/>
            </w14:solidFill>
          </w14:textFill>
        </w:rPr>
        <w:t>— 管道所处的地下水位标高；</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Z</w:t>
      </w:r>
      <w:r>
        <w:rPr>
          <w:rFonts w:cs="Times New Roman"/>
          <w:color w:val="000000" w:themeColor="text1"/>
          <w:sz w:val="21"/>
          <w:vertAlign w:val="subscript"/>
          <w:lang w:eastAsia="zh-CN"/>
          <w14:textFill>
            <w14:solidFill>
              <w14:schemeClr w14:val="tx1"/>
            </w14:solidFill>
          </w14:textFill>
        </w:rPr>
        <w:t xml:space="preserve">g </w:t>
      </w:r>
      <w:r>
        <w:rPr>
          <w:rFonts w:cs="Times New Roman"/>
          <w:color w:val="000000" w:themeColor="text1"/>
          <w:sz w:val="21"/>
          <w:lang w:eastAsia="zh-CN"/>
          <w14:textFill>
            <w14:solidFill>
              <w14:schemeClr w14:val="tx1"/>
            </w14:solidFill>
          </w14:textFill>
        </w:rPr>
        <w:t>— 管道的管内底标高。</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2.2.3</w:t>
      </w:r>
      <w:r>
        <w:rPr>
          <w:rFonts w:cs="Times New Roman"/>
          <w:color w:val="000000" w:themeColor="text1"/>
          <w:sz w:val="21"/>
          <w:lang w:eastAsia="zh-CN"/>
          <w14:textFill>
            <w14:solidFill>
              <w14:schemeClr w14:val="tx1"/>
            </w14:solidFill>
          </w14:textFill>
        </w:rPr>
        <w:t xml:space="preserve">   几何参数</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o</w:t>
      </w:r>
      <w:r>
        <w:rPr>
          <w:rFonts w:cs="Times New Roman"/>
          <w:color w:val="000000" w:themeColor="text1"/>
          <w:sz w:val="21"/>
          <w:lang w:eastAsia="zh-CN"/>
          <w14:textFill>
            <w14:solidFill>
              <w14:schemeClr w14:val="tx1"/>
            </w14:solidFill>
          </w14:textFill>
        </w:rPr>
        <w:t>—内衬管外径；</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 xml:space="preserve">i  </w:t>
      </w:r>
      <w:r>
        <w:rPr>
          <w:rFonts w:cs="Times New Roman"/>
          <w:color w:val="000000" w:themeColor="text1"/>
          <w:sz w:val="21"/>
          <w:lang w:eastAsia="zh-CN"/>
          <w14:textFill>
            <w14:solidFill>
              <w14:schemeClr w14:val="tx1"/>
            </w14:solidFill>
          </w14:textFill>
        </w:rPr>
        <w:t>— 内衬管内径；</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 xml:space="preserve">D </w:t>
      </w:r>
      <w:r>
        <w:rPr>
          <w:rFonts w:cs="Times New Roman"/>
          <w:color w:val="000000" w:themeColor="text1"/>
          <w:sz w:val="21"/>
          <w:lang w:eastAsia="zh-CN"/>
          <w14:textFill>
            <w14:solidFill>
              <w14:schemeClr w14:val="tx1"/>
            </w14:solidFill>
          </w14:textFill>
        </w:rPr>
        <w:t xml:space="preserve"> — 内衬管计算直径；</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 xml:space="preserve">j  </w:t>
      </w:r>
      <w:r>
        <w:rPr>
          <w:rFonts w:cs="Times New Roman"/>
          <w:color w:val="000000" w:themeColor="text1"/>
          <w:sz w:val="21"/>
          <w:lang w:eastAsia="zh-CN"/>
          <w14:textFill>
            <w14:solidFill>
              <w14:schemeClr w14:val="tx1"/>
            </w14:solidFill>
          </w14:textFill>
        </w:rPr>
        <w:t>— 试验管道内径；</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 xml:space="preserve">I </w:t>
      </w:r>
      <w:r>
        <w:rPr>
          <w:rFonts w:cs="Times New Roman"/>
          <w:color w:val="000000" w:themeColor="text1"/>
          <w:sz w:val="21"/>
          <w:lang w:eastAsia="zh-CN"/>
          <w14:textFill>
            <w14:solidFill>
              <w14:schemeClr w14:val="tx1"/>
            </w14:solidFill>
          </w14:textFill>
        </w:rPr>
        <w:t>— 内衬管管壁截面惯性矩；</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 xml:space="preserve">t  </w:t>
      </w:r>
      <w:r>
        <w:rPr>
          <w:rFonts w:cs="Times New Roman"/>
          <w:color w:val="000000" w:themeColor="text1"/>
          <w:sz w:val="21"/>
          <w:lang w:eastAsia="zh-CN"/>
          <w14:textFill>
            <w14:solidFill>
              <w14:schemeClr w14:val="tx1"/>
            </w14:solidFill>
          </w14:textFill>
        </w:rPr>
        <w:t>— 内衬管壁厚；</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L</w:t>
      </w:r>
      <w:r>
        <w:rPr>
          <w:rFonts w:cs="Times New Roman"/>
          <w:color w:val="000000" w:themeColor="text1"/>
          <w:sz w:val="21"/>
          <w:lang w:eastAsia="zh-CN"/>
          <w14:textFill>
            <w14:solidFill>
              <w14:schemeClr w14:val="tx1"/>
            </w14:solidFill>
          </w14:textFill>
        </w:rPr>
        <w:t xml:space="preserve"> — 中空壁管内腔间距；</w:t>
      </w:r>
    </w:p>
    <w:p>
      <w:pPr>
        <w:ind w:left="420" w:firstLine="420"/>
        <w:rPr>
          <w:rFonts w:cs="Times New Roman"/>
          <w:color w:val="000000" w:themeColor="text1"/>
          <w:sz w:val="21"/>
          <w:lang w:eastAsia="zh-CN"/>
          <w14:textFill>
            <w14:solidFill>
              <w14:schemeClr w14:val="tx1"/>
            </w14:solidFill>
          </w14:textFill>
        </w:rPr>
      </w:pPr>
      <m:oMath>
        <m:r>
          <m:rPr/>
          <w:rPr>
            <w:rFonts w:ascii="Cambria Math" w:hAnsi="Cambria Math" w:cs="Times New Roman"/>
            <w:color w:val="000000" w:themeColor="text1"/>
            <w:sz w:val="21"/>
            <w:lang w:eastAsia="zh-CN"/>
            <w14:textFill>
              <w14:solidFill>
                <w14:schemeClr w14:val="tx1"/>
              </w14:solidFill>
            </w14:textFill>
          </w:rPr>
          <m:t>Λ</m:t>
        </m:r>
      </m:oMath>
      <w:r>
        <w:rPr>
          <w:rFonts w:cs="Times New Roman"/>
          <w:color w:val="000000" w:themeColor="text1"/>
          <w:sz w:val="21"/>
          <w:lang w:eastAsia="zh-CN"/>
          <w14:textFill>
            <w14:solidFill>
              <w14:schemeClr w14:val="tx1"/>
            </w14:solidFill>
          </w14:textFill>
        </w:rPr>
        <w:t xml:space="preserve"> — 中空壁管宽度；</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B</w:t>
      </w:r>
      <w:r>
        <w:rPr>
          <w:rFonts w:cs="Times New Roman"/>
          <w:color w:val="000000" w:themeColor="text1"/>
          <w:sz w:val="21"/>
          <w:lang w:eastAsia="zh-CN"/>
          <w14:textFill>
            <w14:solidFill>
              <w14:schemeClr w14:val="tx1"/>
            </w14:solidFill>
          </w14:textFill>
        </w:rPr>
        <w:t xml:space="preserve"> — 熔接厚度；</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 xml:space="preserve">l </w:t>
      </w:r>
      <w:r>
        <w:rPr>
          <w:rFonts w:cs="Times New Roman"/>
          <w:color w:val="000000" w:themeColor="text1"/>
          <w:sz w:val="21"/>
          <w:lang w:eastAsia="zh-CN"/>
          <w14:textFill>
            <w14:solidFill>
              <w14:schemeClr w14:val="tx1"/>
            </w14:solidFill>
          </w14:textFill>
        </w:rPr>
        <w:t>— 中空壁管内腔宽度；</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h</w:t>
      </w:r>
      <w:r>
        <w:rPr>
          <w:rFonts w:cs="Times New Roman"/>
          <w:color w:val="000000" w:themeColor="text1"/>
          <w:sz w:val="21"/>
          <w:lang w:eastAsia="zh-CN"/>
          <w14:textFill>
            <w14:solidFill>
              <w14:schemeClr w14:val="tx1"/>
            </w14:solidFill>
          </w14:textFill>
        </w:rPr>
        <w:t xml:space="preserve"> — 中空壁管内腔高度；</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E</w:t>
      </w:r>
      <w:r>
        <w:rPr>
          <w:rFonts w:cs="Times New Roman"/>
          <w:color w:val="000000" w:themeColor="text1"/>
          <w:sz w:val="21"/>
          <w:lang w:eastAsia="zh-CN"/>
          <w14:textFill>
            <w14:solidFill>
              <w14:schemeClr w14:val="tx1"/>
            </w14:solidFill>
          </w14:textFill>
        </w:rPr>
        <w:t xml:space="preserve"> — 原有管道的平均内径；</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D</w:t>
      </w:r>
      <w:r>
        <w:rPr>
          <w:rFonts w:cs="Times New Roman"/>
          <w:color w:val="000000" w:themeColor="text1"/>
          <w:sz w:val="21"/>
          <w:lang w:eastAsia="zh-CN"/>
          <w14:textFill>
            <w14:solidFill>
              <w14:schemeClr w14:val="tx1"/>
            </w14:solidFill>
          </w14:textFill>
        </w:rPr>
        <w:t xml:space="preserve"> </w:t>
      </w:r>
      <w:r>
        <w:rPr>
          <w:rFonts w:cs="Times New Roman"/>
          <w:color w:val="000000" w:themeColor="text1"/>
          <w:sz w:val="21"/>
          <w:vertAlign w:val="subscript"/>
          <w:lang w:eastAsia="zh-CN"/>
          <w14:textFill>
            <w14:solidFill>
              <w14:schemeClr w14:val="tx1"/>
            </w14:solidFill>
          </w14:textFill>
        </w:rPr>
        <w:t>max</w:t>
      </w:r>
      <w:r>
        <w:rPr>
          <w:rFonts w:cs="Times New Roman"/>
          <w:color w:val="000000" w:themeColor="text1"/>
          <w:sz w:val="21"/>
          <w:lang w:eastAsia="zh-CN"/>
          <w14:textFill>
            <w14:solidFill>
              <w14:schemeClr w14:val="tx1"/>
            </w14:solidFill>
          </w14:textFill>
        </w:rPr>
        <w:t xml:space="preserve"> — 原有管道的最大内径；</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min</w:t>
      </w:r>
      <w:r>
        <w:rPr>
          <w:rFonts w:cs="Times New Roman"/>
          <w:color w:val="000000" w:themeColor="text1"/>
          <w:sz w:val="21"/>
          <w:lang w:eastAsia="zh-CN"/>
          <w14:textFill>
            <w14:solidFill>
              <w14:schemeClr w14:val="tx1"/>
            </w14:solidFill>
          </w14:textFill>
        </w:rPr>
        <w:t xml:space="preserve"> — 原有管道的最小内径；</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q</w:t>
      </w:r>
      <w:r>
        <w:rPr>
          <w:rFonts w:cs="Times New Roman"/>
          <w:color w:val="000000" w:themeColor="text1"/>
          <w:sz w:val="21"/>
          <w:lang w:eastAsia="zh-CN"/>
          <w14:textFill>
            <w14:solidFill>
              <w14:schemeClr w14:val="tx1"/>
            </w14:solidFill>
          </w14:textFill>
        </w:rPr>
        <w:t xml:space="preserve"> — 内衬管道的椭圆度；</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SDR — 管道的标准尺寸比（外径/壁厚）；</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c</w:t>
      </w:r>
      <w:r>
        <w:rPr>
          <w:rFonts w:cs="Times New Roman"/>
          <w:color w:val="000000" w:themeColor="text1"/>
          <w:sz w:val="21"/>
          <w:lang w:eastAsia="zh-CN"/>
          <w14:textFill>
            <w14:solidFill>
              <w14:schemeClr w14:val="tx1"/>
            </w14:solidFill>
          </w14:textFill>
        </w:rPr>
        <w:t xml:space="preserve"> — 喷涂管段周长；</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l</w:t>
      </w:r>
      <w:r>
        <w:rPr>
          <w:rFonts w:cs="Times New Roman"/>
          <w:color w:val="000000" w:themeColor="text1"/>
          <w:sz w:val="21"/>
          <w:vertAlign w:val="subscript"/>
          <w:lang w:eastAsia="zh-CN"/>
          <w14:textFill>
            <w14:solidFill>
              <w14:schemeClr w14:val="tx1"/>
            </w14:solidFill>
          </w14:textFill>
        </w:rPr>
        <w:t>p</w:t>
      </w:r>
      <w:r>
        <w:rPr>
          <w:rFonts w:cs="Times New Roman"/>
          <w:color w:val="000000" w:themeColor="text1"/>
          <w:sz w:val="21"/>
          <w:lang w:eastAsia="zh-CN"/>
          <w14:textFill>
            <w14:solidFill>
              <w14:schemeClr w14:val="tx1"/>
            </w14:solidFill>
          </w14:textFill>
        </w:rPr>
        <w:t>— 喷涂管段长度；</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l</w:t>
      </w:r>
      <w:r>
        <w:rPr>
          <w:rFonts w:cs="Times New Roman"/>
          <w:color w:val="000000" w:themeColor="text1"/>
          <w:sz w:val="21"/>
          <w:lang w:eastAsia="zh-CN"/>
          <w14:textFill>
            <w14:solidFill>
              <w14:schemeClr w14:val="tx1"/>
            </w14:solidFill>
          </w14:textFill>
        </w:rPr>
        <w:t>p — 喷涂厚度。</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2.2.4</w:t>
      </w:r>
      <w:r>
        <w:rPr>
          <w:rFonts w:cs="Times New Roman"/>
          <w:color w:val="000000" w:themeColor="text1"/>
          <w:sz w:val="21"/>
          <w:lang w:eastAsia="zh-CN"/>
          <w14:textFill>
            <w14:solidFill>
              <w14:schemeClr w14:val="tx1"/>
            </w14:solidFill>
          </w14:textFill>
        </w:rPr>
        <w:t xml:space="preserve"> 水力计算</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Q</w:t>
      </w:r>
      <w:r>
        <w:rPr>
          <w:rFonts w:cs="Times New Roman"/>
          <w:color w:val="000000" w:themeColor="text1"/>
          <w:sz w:val="21"/>
          <w:lang w:eastAsia="zh-CN"/>
          <w14:textFill>
            <w14:solidFill>
              <w14:schemeClr w14:val="tx1"/>
            </w14:solidFill>
          </w14:textFill>
        </w:rPr>
        <w:t xml:space="preserve"> — 设计流量；</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v</w:t>
      </w:r>
      <w:r>
        <w:rPr>
          <w:rFonts w:cs="Times New Roman"/>
          <w:color w:val="000000" w:themeColor="text1"/>
          <w:sz w:val="21"/>
          <w:lang w:eastAsia="zh-CN"/>
          <w14:textFill>
            <w14:solidFill>
              <w14:schemeClr w14:val="tx1"/>
            </w14:solidFill>
          </w14:textFill>
        </w:rPr>
        <w:t xml:space="preserve"> — 流速；</w:t>
      </w:r>
    </w:p>
    <w:p>
      <w:pPr>
        <w:ind w:left="420" w:firstLine="420"/>
        <w:rPr>
          <w:rFonts w:cs="Times New Roman"/>
          <w:color w:val="000000" w:themeColor="text1"/>
          <w:sz w:val="21"/>
          <w:lang w:eastAsia="zh-CN"/>
          <w14:textFill>
            <w14:solidFill>
              <w14:schemeClr w14:val="tx1"/>
            </w14:solidFill>
          </w14:textFill>
        </w:rPr>
      </w:pPr>
      <m:oMath>
        <m:r>
          <m:rPr/>
          <w:rPr>
            <w:rFonts w:ascii="Cambria Math" w:hAnsi="Cambria Math" w:cs="Times New Roman"/>
            <w:color w:val="000000" w:themeColor="text1"/>
            <w:sz w:val="21"/>
            <w:lang w:eastAsia="zh-CN"/>
            <w14:textFill>
              <w14:solidFill>
                <w14:schemeClr w14:val="tx1"/>
              </w14:solidFill>
            </w14:textFill>
          </w:rPr>
          <m:t>Λ</m:t>
        </m:r>
      </m:oMath>
      <w:r>
        <w:rPr>
          <w:rFonts w:cs="Times New Roman"/>
          <w:color w:val="000000" w:themeColor="text1"/>
          <w:sz w:val="21"/>
          <w:lang w:eastAsia="zh-CN"/>
          <w14:textFill>
            <w14:solidFill>
              <w14:schemeClr w14:val="tx1"/>
            </w14:solidFill>
          </w14:textFill>
        </w:rPr>
        <w:t xml:space="preserve"> — 水流有效断面面积；</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R</w:t>
      </w:r>
      <w:r>
        <w:rPr>
          <w:rFonts w:cs="Times New Roman"/>
          <w:color w:val="000000" w:themeColor="text1"/>
          <w:sz w:val="21"/>
          <w:lang w:eastAsia="zh-CN"/>
          <w14:textFill>
            <w14:solidFill>
              <w14:schemeClr w14:val="tx1"/>
            </w14:solidFill>
          </w14:textFill>
        </w:rPr>
        <w:t xml:space="preserve"> — 水力半径；</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n</w:t>
      </w:r>
      <w:r>
        <w:rPr>
          <w:rFonts w:cs="Times New Roman"/>
          <w:color w:val="000000" w:themeColor="text1"/>
          <w:sz w:val="21"/>
          <w:lang w:eastAsia="zh-CN"/>
          <w14:textFill>
            <w14:solidFill>
              <w14:schemeClr w14:val="tx1"/>
            </w14:solidFill>
          </w14:textFill>
        </w:rPr>
        <w:t xml:space="preserve"> — 粗糙系数；</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n</w:t>
      </w:r>
      <w:r>
        <w:rPr>
          <w:rFonts w:cs="Times New Roman"/>
          <w:color w:val="000000" w:themeColor="text1"/>
          <w:sz w:val="21"/>
          <w:vertAlign w:val="subscript"/>
          <w:lang w:eastAsia="zh-CN"/>
          <w14:textFill>
            <w14:solidFill>
              <w14:schemeClr w14:val="tx1"/>
            </w14:solidFill>
          </w14:textFill>
        </w:rPr>
        <w:t xml:space="preserve">e </w:t>
      </w:r>
      <w:r>
        <w:rPr>
          <w:rFonts w:cs="Times New Roman"/>
          <w:color w:val="000000" w:themeColor="text1"/>
          <w:sz w:val="21"/>
          <w:lang w:eastAsia="zh-CN"/>
          <w14:textFill>
            <w14:solidFill>
              <w14:schemeClr w14:val="tx1"/>
            </w14:solidFill>
          </w14:textFill>
        </w:rPr>
        <w:t>— 原有管道的粗糙系数；</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n</w:t>
      </w:r>
      <w:r>
        <w:rPr>
          <w:rFonts w:cs="Times New Roman"/>
          <w:color w:val="000000" w:themeColor="text1"/>
          <w:sz w:val="21"/>
          <w:vertAlign w:val="subscript"/>
          <w:lang w:eastAsia="zh-CN"/>
          <w14:textFill>
            <w14:solidFill>
              <w14:schemeClr w14:val="tx1"/>
            </w14:solidFill>
          </w14:textFill>
        </w:rPr>
        <w:t xml:space="preserve">l </w:t>
      </w:r>
      <w:r>
        <w:rPr>
          <w:rFonts w:cs="Times New Roman"/>
          <w:color w:val="000000" w:themeColor="text1"/>
          <w:sz w:val="21"/>
          <w:lang w:eastAsia="zh-CN"/>
          <w14:textFill>
            <w14:solidFill>
              <w14:schemeClr w14:val="tx1"/>
            </w14:solidFill>
          </w14:textFill>
        </w:rPr>
        <w:t>— 内衬管的粗糙系数；</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B</w:t>
      </w:r>
      <w:r>
        <w:rPr>
          <w:rFonts w:cs="Times New Roman"/>
          <w:color w:val="000000" w:themeColor="text1"/>
          <w:sz w:val="21"/>
          <w:lang w:eastAsia="zh-CN"/>
          <w14:textFill>
            <w14:solidFill>
              <w14:schemeClr w14:val="tx1"/>
            </w14:solidFill>
          </w14:textFill>
        </w:rPr>
        <w:t xml:space="preserve"> — 管道修复前后过流能力比。</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2.2.5</w:t>
      </w:r>
      <w:r>
        <w:rPr>
          <w:rFonts w:cs="Times New Roman"/>
          <w:color w:val="000000" w:themeColor="text1"/>
          <w:sz w:val="21"/>
          <w:lang w:eastAsia="zh-CN"/>
          <w14:textFill>
            <w14:solidFill>
              <w14:schemeClr w14:val="tx1"/>
            </w14:solidFill>
          </w14:textFill>
        </w:rPr>
        <w:t xml:space="preserve"> 计算系数及其他</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B</w:t>
      </w:r>
      <w:r>
        <w:rPr>
          <w:rFonts w:cs="Times New Roman"/>
          <w:color w:val="000000" w:themeColor="text1"/>
          <w:sz w:val="21"/>
          <w:lang w:eastAsia="zh-CN"/>
          <w14:textFill>
            <w14:solidFill>
              <w14:schemeClr w14:val="tx1"/>
            </w14:solidFill>
          </w14:textFill>
        </w:rPr>
        <w:t>’ — 弹性支撑系数；</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R</w:t>
      </w:r>
      <w:r>
        <w:rPr>
          <w:rFonts w:cs="Times New Roman"/>
          <w:color w:val="000000" w:themeColor="text1"/>
          <w:sz w:val="21"/>
          <w:vertAlign w:val="subscript"/>
          <w:lang w:eastAsia="zh-CN"/>
          <w14:textFill>
            <w14:solidFill>
              <w14:schemeClr w14:val="tx1"/>
            </w14:solidFill>
          </w14:textFill>
        </w:rPr>
        <w:t xml:space="preserve">W </w:t>
      </w:r>
      <w:r>
        <w:rPr>
          <w:rFonts w:cs="Times New Roman"/>
          <w:color w:val="000000" w:themeColor="text1"/>
          <w:sz w:val="21"/>
          <w:lang w:eastAsia="zh-CN"/>
          <w14:textFill>
            <w14:solidFill>
              <w14:schemeClr w14:val="tx1"/>
            </w14:solidFill>
          </w14:textFill>
        </w:rPr>
        <w:t>— 水浮力因子；</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Q</w:t>
      </w:r>
      <w:r>
        <w:rPr>
          <w:rFonts w:cs="Times New Roman"/>
          <w:color w:val="000000" w:themeColor="text1"/>
          <w:sz w:val="21"/>
          <w:vertAlign w:val="subscript"/>
          <w:lang w:eastAsia="zh-CN"/>
          <w14:textFill>
            <w14:solidFill>
              <w14:schemeClr w14:val="tx1"/>
            </w14:solidFill>
          </w14:textFill>
        </w:rPr>
        <w:t xml:space="preserve">S  </w:t>
      </w:r>
      <w:r>
        <w:rPr>
          <w:rFonts w:cs="Times New Roman"/>
          <w:color w:val="000000" w:themeColor="text1"/>
          <w:sz w:val="21"/>
          <w:lang w:eastAsia="zh-CN"/>
          <w14:textFill>
            <w14:solidFill>
              <w14:schemeClr w14:val="tx1"/>
            </w14:solidFill>
          </w14:textFill>
        </w:rPr>
        <w:t>— 许渗水量；</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N</w:t>
      </w:r>
      <w:r>
        <w:rPr>
          <w:rFonts w:cs="Times New Roman"/>
          <w:color w:val="000000" w:themeColor="text1"/>
          <w:sz w:val="21"/>
          <w:lang w:eastAsia="zh-CN"/>
          <w14:textFill>
            <w14:solidFill>
              <w14:schemeClr w14:val="tx1"/>
            </w14:solidFill>
          </w14:textFill>
        </w:rPr>
        <w:t xml:space="preserve"> — 安全系数；</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 xml:space="preserve">C </w:t>
      </w:r>
      <w:r>
        <w:rPr>
          <w:rFonts w:cs="Times New Roman"/>
          <w:color w:val="000000" w:themeColor="text1"/>
          <w:sz w:val="21"/>
          <w:lang w:eastAsia="zh-CN"/>
          <w14:textFill>
            <w14:solidFill>
              <w14:schemeClr w14:val="tx1"/>
            </w14:solidFill>
          </w14:textFill>
        </w:rPr>
        <w:t>— 椭圆度折减因子；</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 xml:space="preserve">K </w:t>
      </w:r>
      <w:r>
        <w:rPr>
          <w:rFonts w:cs="Times New Roman"/>
          <w:color w:val="000000" w:themeColor="text1"/>
          <w:sz w:val="21"/>
          <w:lang w:eastAsia="zh-CN"/>
          <w14:textFill>
            <w14:solidFill>
              <w14:schemeClr w14:val="tx1"/>
            </w14:solidFill>
          </w14:textFill>
        </w:rPr>
        <w:t>— 圆周支持率；</w:t>
      </w:r>
    </w:p>
    <w:p>
      <w:pPr>
        <w:ind w:left="420" w:firstLine="420"/>
        <w:rPr>
          <w:rFonts w:cs="Times New Roman"/>
          <w:color w:val="000000" w:themeColor="text1"/>
          <w:sz w:val="21"/>
          <w:lang w:eastAsia="zh-CN"/>
          <w14:textFill>
            <w14:solidFill>
              <w14:schemeClr w14:val="tx1"/>
            </w14:solidFill>
          </w14:textFill>
        </w:rPr>
      </w:pPr>
      <m:oMath>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γ</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0</m:t>
            </m:r>
            <m:ctrlPr>
              <w:rPr>
                <w:rFonts w:ascii="Cambria Math" w:hAnsi="Cambria Math" w:cs="Times New Roman"/>
                <w:i/>
                <w:color w:val="000000" w:themeColor="text1"/>
                <w:sz w:val="21"/>
                <w:lang w:eastAsia="zh-CN"/>
                <w14:textFill>
                  <w14:solidFill>
                    <w14:schemeClr w14:val="tx1"/>
                  </w14:solidFill>
                </w14:textFill>
              </w:rPr>
            </m:ctrlPr>
          </m:sub>
        </m:sSub>
      </m:oMath>
      <w:r>
        <w:rPr>
          <w:rFonts w:cs="Times New Roman"/>
          <w:color w:val="000000" w:themeColor="text1"/>
          <w:sz w:val="21"/>
          <w:lang w:eastAsia="zh-CN"/>
          <w14:textFill>
            <w14:solidFill>
              <w14:schemeClr w14:val="tx1"/>
            </w14:solidFill>
          </w14:textFill>
        </w:rPr>
        <w:t>—内衬管刚度折减系数；</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 xml:space="preserve">G </w:t>
      </w:r>
      <w:r>
        <w:rPr>
          <w:rFonts w:cs="Times New Roman"/>
          <w:color w:val="000000" w:themeColor="text1"/>
          <w:sz w:val="21"/>
          <w:lang w:eastAsia="zh-CN"/>
          <w14:textFill>
            <w14:solidFill>
              <w14:schemeClr w14:val="tx1"/>
            </w14:solidFill>
          </w14:textFill>
        </w:rPr>
        <w:t>— 喷涂材料用量；</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k</w:t>
      </w:r>
      <w:r>
        <w:rPr>
          <w:rFonts w:cs="Times New Roman"/>
          <w:color w:val="000000" w:themeColor="text1"/>
          <w:sz w:val="21"/>
          <w:lang w:eastAsia="zh-CN"/>
          <w14:textFill>
            <w14:solidFill>
              <w14:schemeClr w14:val="tx1"/>
            </w14:solidFill>
          </w14:textFill>
        </w:rPr>
        <w:t xml:space="preserve"> — 裕度系数；</w:t>
      </w:r>
    </w:p>
    <w:p>
      <w:pPr>
        <w:ind w:left="420" w:firstLine="420"/>
        <w:rPr>
          <w:rFonts w:cs="Times New Roman"/>
          <w:color w:val="000000" w:themeColor="text1"/>
          <w:sz w:val="21"/>
          <w:lang w:eastAsia="zh-CN"/>
          <w14:textFill>
            <w14:solidFill>
              <w14:schemeClr w14:val="tx1"/>
            </w14:solidFill>
          </w14:textFill>
        </w:rPr>
      </w:pPr>
      <m:oMath>
        <m:r>
          <m:rPr>
            <m:sty m:val="p"/>
          </m:rPr>
          <w:rPr>
            <w:rFonts w:ascii="Cambria Math" w:hAnsi="Cambria Math" w:cs="Times New Roman"/>
            <w:color w:val="000000" w:themeColor="text1"/>
            <w:sz w:val="21"/>
            <w:lang w:eastAsia="zh-CN"/>
            <w14:textFill>
              <w14:solidFill>
                <w14:schemeClr w14:val="tx1"/>
              </w14:solidFill>
            </w14:textFill>
          </w:rPr>
          <m:t>φ</m:t>
        </m:r>
      </m:oMath>
      <w:r>
        <w:rPr>
          <w:rFonts w:cs="Times New Roman"/>
          <w:color w:val="000000" w:themeColor="text1"/>
          <w:sz w:val="21"/>
          <w:lang w:eastAsia="zh-CN"/>
          <w14:textFill>
            <w14:solidFill>
              <w14:schemeClr w14:val="tx1"/>
            </w14:solidFill>
          </w14:textFill>
        </w:rPr>
        <w:t xml:space="preserve"> — 未注浆角度；</w:t>
      </w:r>
    </w:p>
    <w:p>
      <w:pPr>
        <w:ind w:left="420" w:firstLine="420"/>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K</w:t>
      </w:r>
      <w:r>
        <w:rPr>
          <w:rFonts w:cs="Times New Roman"/>
          <w:color w:val="000000" w:themeColor="text1"/>
          <w:sz w:val="21"/>
          <w:vertAlign w:val="subscript"/>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 未注浆角度相关的系数。</w:t>
      </w:r>
    </w:p>
    <w:p>
      <w:pPr>
        <w:kinsoku/>
        <w:autoSpaceDE/>
        <w:autoSpaceDN/>
        <w:adjustRightInd/>
        <w:snapToGrid/>
        <w:spacing w:line="240" w:lineRule="auto"/>
        <w:ind w:firstLine="0" w:firstLineChars="0"/>
        <w:jc w:val="left"/>
        <w:textAlignment w:val="auto"/>
        <w:rPr>
          <w:rFonts w:eastAsia="黑体" w:cs="Times New Roman"/>
          <w:b/>
          <w:bCs/>
          <w:color w:val="000000" w:themeColor="text1"/>
          <w:kern w:val="44"/>
          <w:sz w:val="32"/>
          <w:szCs w:val="32"/>
          <w:lang w:eastAsia="zh-CN"/>
          <w14:textFill>
            <w14:solidFill>
              <w14:schemeClr w14:val="tx1"/>
            </w14:solidFill>
          </w14:textFill>
        </w:rPr>
      </w:pPr>
      <w:r>
        <w:rPr>
          <w:rFonts w:cs="Times New Roman"/>
          <w:color w:val="000000" w:themeColor="text1"/>
          <w:lang w:eastAsia="zh-CN"/>
          <w14:textFill>
            <w14:solidFill>
              <w14:schemeClr w14:val="tx1"/>
            </w14:solidFill>
          </w14:textFill>
        </w:rPr>
        <w:br w:type="page"/>
      </w:r>
    </w:p>
    <w:p>
      <w:pPr>
        <w:pStyle w:val="15"/>
        <w:ind w:firstLine="0" w:firstLineChars="0"/>
        <w:rPr>
          <w:color w:val="000000" w:themeColor="text1"/>
          <w:lang w:eastAsia="zh-CN"/>
          <w14:textFill>
            <w14:solidFill>
              <w14:schemeClr w14:val="tx1"/>
            </w14:solidFill>
          </w14:textFill>
        </w:rPr>
      </w:pPr>
      <w:bookmarkStart w:id="17" w:name="_Toc196915196"/>
      <w:r>
        <w:rPr>
          <w:rFonts w:ascii="Times New Roman" w:hAnsi="Times New Roman" w:eastAsia="黑体" w:cs="Times New Roman"/>
          <w:color w:val="000000" w:themeColor="text1"/>
          <w:lang w:eastAsia="zh-CN"/>
          <w14:textFill>
            <w14:solidFill>
              <w14:schemeClr w14:val="tx1"/>
            </w14:solidFill>
          </w14:textFill>
        </w:rPr>
        <w:t xml:space="preserve">3 </w:t>
      </w:r>
      <w:r>
        <w:rPr>
          <w:rFonts w:hint="eastAsia" w:ascii="Times New Roman" w:hAnsi="Times New Roman" w:eastAsia="黑体" w:cs="Times New Roman"/>
          <w:color w:val="000000" w:themeColor="text1"/>
          <w:lang w:eastAsia="zh-CN"/>
          <w14:textFill>
            <w14:solidFill>
              <w14:schemeClr w14:val="tx1"/>
            </w14:solidFill>
          </w14:textFill>
        </w:rPr>
        <w:t>设 计</w:t>
      </w:r>
      <w:bookmarkEnd w:id="17"/>
    </w:p>
    <w:p>
      <w:pPr>
        <w:pStyle w:val="3"/>
        <w:ind w:firstLine="560"/>
      </w:pPr>
      <w:bookmarkStart w:id="18" w:name="_Toc196915197"/>
      <w:r>
        <w:t>3.1 一般规定</w:t>
      </w:r>
      <w:bookmarkEnd w:id="18"/>
    </w:p>
    <w:p>
      <w:pPr>
        <w:ind w:left="418" w:firstLine="0" w:firstLineChars="0"/>
        <w:rPr>
          <w:rFonts w:cs="Times New Roman"/>
          <w:color w:val="auto"/>
          <w:sz w:val="21"/>
          <w:lang w:eastAsia="zh-CN"/>
        </w:rPr>
      </w:pPr>
      <w:bookmarkStart w:id="19" w:name="OLE_LINK1"/>
      <w:r>
        <w:rPr>
          <w:rFonts w:cs="Times New Roman"/>
          <w:b/>
          <w:bCs/>
          <w:color w:val="auto"/>
          <w:sz w:val="21"/>
          <w:lang w:eastAsia="zh-CN"/>
        </w:rPr>
        <w:t>3.1.1</w:t>
      </w:r>
      <w:bookmarkEnd w:id="19"/>
      <w:r>
        <w:rPr>
          <w:rFonts w:cs="Times New Roman"/>
          <w:color w:val="auto"/>
          <w:sz w:val="21"/>
          <w:lang w:eastAsia="zh-CN"/>
        </w:rPr>
        <w:t xml:space="preserve"> 非开挖修复设计</w:t>
      </w:r>
      <w:r>
        <w:rPr>
          <w:rFonts w:hint="eastAsia" w:cs="Times New Roman"/>
          <w:color w:val="auto"/>
          <w:sz w:val="21"/>
          <w:lang w:eastAsia="zh-CN"/>
        </w:rPr>
        <w:t>应依据现状管道勘察测绘报告、检测评估结果和管道养护维修情况进行设计，并</w:t>
      </w:r>
      <w:r>
        <w:rPr>
          <w:rFonts w:cs="Times New Roman"/>
          <w:color w:val="auto"/>
          <w:sz w:val="21"/>
          <w:lang w:eastAsia="zh-CN"/>
        </w:rPr>
        <w:t>应符合下列规定</w:t>
      </w:r>
      <w:r>
        <w:rPr>
          <w:rFonts w:hint="eastAsia" w:cs="Times New Roman"/>
          <w:color w:val="auto"/>
          <w:sz w:val="21"/>
          <w:lang w:eastAsia="zh-CN"/>
        </w:rPr>
        <w:t>：</w:t>
      </w:r>
    </w:p>
    <w:p>
      <w:pPr>
        <w:ind w:left="418" w:firstLine="422"/>
        <w:rPr>
          <w:rFonts w:cs="Times New Roman"/>
          <w:color w:val="auto"/>
          <w:sz w:val="21"/>
          <w:lang w:eastAsia="zh-CN"/>
        </w:rPr>
      </w:pPr>
      <w:r>
        <w:rPr>
          <w:rFonts w:cs="Times New Roman"/>
          <w:b/>
          <w:bCs/>
          <w:color w:val="auto"/>
          <w:sz w:val="21"/>
          <w:lang w:eastAsia="zh-CN"/>
        </w:rPr>
        <w:t>1</w:t>
      </w:r>
      <w:r>
        <w:rPr>
          <w:rFonts w:hint="eastAsia" w:cs="Times New Roman"/>
          <w:color w:val="auto"/>
          <w:sz w:val="21"/>
          <w:lang w:eastAsia="zh-CN"/>
        </w:rPr>
        <w:t xml:space="preserve"> 应根据原管道剩余强度进行设计。</w:t>
      </w:r>
    </w:p>
    <w:p>
      <w:pPr>
        <w:ind w:left="418" w:firstLine="422"/>
        <w:rPr>
          <w:rFonts w:cs="Times New Roman"/>
          <w:color w:val="auto"/>
          <w:sz w:val="21"/>
          <w:lang w:eastAsia="zh-CN"/>
        </w:rPr>
      </w:pPr>
      <w:r>
        <w:rPr>
          <w:rFonts w:hint="eastAsia" w:cs="Times New Roman"/>
          <w:b/>
          <w:bCs/>
          <w:color w:val="auto"/>
          <w:sz w:val="21"/>
          <w:lang w:eastAsia="zh-CN"/>
        </w:rPr>
        <w:t>2</w:t>
      </w:r>
      <w:r>
        <w:rPr>
          <w:rFonts w:hint="eastAsia" w:cs="Times New Roman"/>
          <w:color w:val="auto"/>
          <w:sz w:val="21"/>
          <w:lang w:eastAsia="zh-CN"/>
        </w:rPr>
        <w:t xml:space="preserve"> </w:t>
      </w:r>
      <w:r>
        <w:rPr>
          <w:rFonts w:cs="Times New Roman"/>
          <w:color w:val="auto"/>
          <w:sz w:val="21"/>
          <w:lang w:eastAsia="zh-CN"/>
        </w:rPr>
        <w:t>原有管道地基及管周土体不满足承载力要求及管周土体出现空洞时，应进行预处理。</w:t>
      </w:r>
    </w:p>
    <w:p>
      <w:pPr>
        <w:ind w:left="418" w:firstLine="422"/>
        <w:rPr>
          <w:rFonts w:cs="Times New Roman"/>
          <w:color w:val="auto"/>
          <w:sz w:val="21"/>
          <w:lang w:eastAsia="zh-CN"/>
        </w:rPr>
      </w:pPr>
      <w:r>
        <w:rPr>
          <w:rFonts w:hint="eastAsia" w:cs="Times New Roman"/>
          <w:b/>
          <w:bCs/>
          <w:color w:val="auto"/>
          <w:sz w:val="21"/>
          <w:lang w:eastAsia="zh-CN"/>
        </w:rPr>
        <w:t>3</w:t>
      </w:r>
      <w:r>
        <w:rPr>
          <w:rFonts w:cs="Times New Roman"/>
          <w:color w:val="auto"/>
          <w:sz w:val="21"/>
          <w:lang w:eastAsia="zh-CN"/>
        </w:rPr>
        <w:t xml:space="preserve"> 修复后管道的结构应满足强度、变形和稳定性要求。</w:t>
      </w:r>
    </w:p>
    <w:p>
      <w:pPr>
        <w:ind w:left="418" w:firstLine="422"/>
        <w:rPr>
          <w:rFonts w:cs="Times New Roman"/>
          <w:color w:val="auto"/>
          <w:sz w:val="21"/>
          <w:lang w:eastAsia="zh-CN"/>
        </w:rPr>
      </w:pPr>
      <w:r>
        <w:rPr>
          <w:rFonts w:hint="eastAsia" w:cs="Times New Roman"/>
          <w:b/>
          <w:bCs/>
          <w:color w:val="auto"/>
          <w:sz w:val="21"/>
          <w:lang w:eastAsia="zh-CN"/>
        </w:rPr>
        <w:t>4</w:t>
      </w:r>
      <w:r>
        <w:rPr>
          <w:rFonts w:cs="Times New Roman"/>
          <w:color w:val="auto"/>
          <w:sz w:val="21"/>
          <w:lang w:eastAsia="zh-CN"/>
        </w:rPr>
        <w:t xml:space="preserve"> 修复后管道的过流能力不宜低于原有管道的设计过流能力。</w:t>
      </w:r>
    </w:p>
    <w:p>
      <w:pPr>
        <w:ind w:firstLine="479" w:firstLineChars="227"/>
        <w:rPr>
          <w:rFonts w:cs="Times New Roman"/>
          <w:color w:val="auto"/>
          <w:sz w:val="21"/>
          <w:lang w:eastAsia="zh-CN"/>
        </w:rPr>
      </w:pPr>
      <w:r>
        <w:rPr>
          <w:rFonts w:cs="Times New Roman"/>
          <w:b/>
          <w:bCs/>
          <w:color w:val="auto"/>
          <w:sz w:val="21"/>
          <w:lang w:eastAsia="zh-CN"/>
        </w:rPr>
        <w:t>3.1.2</w:t>
      </w:r>
      <w:r>
        <w:rPr>
          <w:rFonts w:cs="Times New Roman"/>
          <w:color w:val="auto"/>
          <w:sz w:val="21"/>
          <w:lang w:eastAsia="zh-CN"/>
        </w:rPr>
        <w:t xml:space="preserve"> 现状管道勘察测绘应符合</w:t>
      </w:r>
      <w:r>
        <w:rPr>
          <w:rFonts w:hint="eastAsia" w:cs="Times New Roman"/>
          <w:color w:val="auto"/>
          <w:sz w:val="21"/>
          <w:lang w:eastAsia="zh-CN"/>
        </w:rPr>
        <w:t>下列</w:t>
      </w:r>
      <w:r>
        <w:rPr>
          <w:rFonts w:cs="Times New Roman"/>
          <w:color w:val="auto"/>
          <w:sz w:val="21"/>
          <w:lang w:eastAsia="zh-CN"/>
        </w:rPr>
        <w:t>规定：</w:t>
      </w:r>
    </w:p>
    <w:p>
      <w:pPr>
        <w:ind w:left="418" w:firstLine="422"/>
        <w:rPr>
          <w:rFonts w:cs="Times New Roman"/>
          <w:color w:val="auto"/>
          <w:sz w:val="21"/>
          <w:lang w:eastAsia="zh-CN"/>
        </w:rPr>
      </w:pPr>
      <w:r>
        <w:rPr>
          <w:rFonts w:cs="Times New Roman"/>
          <w:b/>
          <w:bCs/>
          <w:color w:val="auto"/>
          <w:sz w:val="21"/>
          <w:lang w:eastAsia="zh-CN"/>
        </w:rPr>
        <w:t>1</w:t>
      </w:r>
      <w:r>
        <w:rPr>
          <w:rFonts w:cs="Times New Roman"/>
          <w:color w:val="auto"/>
          <w:sz w:val="21"/>
          <w:lang w:eastAsia="zh-CN"/>
        </w:rPr>
        <w:t xml:space="preserve"> </w:t>
      </w:r>
      <w:r>
        <w:rPr>
          <w:rFonts w:hint="eastAsia" w:cs="Times New Roman"/>
          <w:color w:val="auto"/>
          <w:sz w:val="21"/>
          <w:lang w:eastAsia="zh-CN"/>
        </w:rPr>
        <w:t>勘察测绘单位应具备相关资质。</w:t>
      </w:r>
    </w:p>
    <w:p>
      <w:pPr>
        <w:ind w:left="418" w:firstLine="422"/>
        <w:rPr>
          <w:rFonts w:cs="Times New Roman"/>
          <w:color w:val="auto"/>
          <w:sz w:val="21"/>
          <w:lang w:eastAsia="zh-CN"/>
        </w:rPr>
      </w:pPr>
      <w:r>
        <w:rPr>
          <w:rFonts w:cs="Times New Roman"/>
          <w:b/>
          <w:bCs/>
          <w:color w:val="auto"/>
          <w:sz w:val="21"/>
          <w:lang w:eastAsia="zh-CN"/>
        </w:rPr>
        <w:t>2</w:t>
      </w:r>
      <w:r>
        <w:rPr>
          <w:rFonts w:cs="Times New Roman"/>
          <w:color w:val="auto"/>
          <w:sz w:val="21"/>
          <w:lang w:eastAsia="zh-CN"/>
        </w:rPr>
        <w:t xml:space="preserve"> 测绘的内容应包括工程场地范围内地形、地下管线种类、规模及位置、水文地质情况、地下空洞位置及范围等。</w:t>
      </w:r>
    </w:p>
    <w:p>
      <w:pPr>
        <w:ind w:left="418" w:firstLine="422"/>
        <w:rPr>
          <w:rFonts w:cs="Times New Roman"/>
          <w:color w:val="auto"/>
          <w:sz w:val="21"/>
          <w:lang w:eastAsia="zh-CN"/>
        </w:rPr>
      </w:pPr>
      <w:r>
        <w:rPr>
          <w:rFonts w:cs="Times New Roman"/>
          <w:b/>
          <w:bCs/>
          <w:color w:val="auto"/>
          <w:sz w:val="21"/>
          <w:lang w:eastAsia="zh-CN"/>
        </w:rPr>
        <w:t>3</w:t>
      </w:r>
      <w:r>
        <w:rPr>
          <w:rFonts w:cs="Times New Roman"/>
          <w:color w:val="auto"/>
          <w:sz w:val="21"/>
          <w:lang w:eastAsia="zh-CN"/>
        </w:rPr>
        <w:t xml:space="preserve"> 测绘成果除符合国家、行业及地方规范、标准外，还应满足设计要求。</w:t>
      </w:r>
    </w:p>
    <w:p>
      <w:pPr>
        <w:ind w:firstLine="479" w:firstLineChars="227"/>
        <w:rPr>
          <w:rFonts w:cs="Times New Roman"/>
          <w:color w:val="auto"/>
          <w:sz w:val="21"/>
          <w:lang w:eastAsia="zh-CN"/>
        </w:rPr>
      </w:pPr>
      <w:r>
        <w:rPr>
          <w:rFonts w:cs="Times New Roman"/>
          <w:b/>
          <w:bCs/>
          <w:color w:val="auto"/>
          <w:sz w:val="21"/>
          <w:lang w:eastAsia="zh-CN"/>
        </w:rPr>
        <w:t xml:space="preserve">3.1.3 </w:t>
      </w:r>
      <w:r>
        <w:rPr>
          <w:rFonts w:cs="Times New Roman"/>
          <w:color w:val="auto"/>
          <w:sz w:val="21"/>
          <w:lang w:eastAsia="zh-CN"/>
        </w:rPr>
        <w:t>现状管道排检测评估应符合</w:t>
      </w:r>
      <w:r>
        <w:rPr>
          <w:rFonts w:hint="eastAsia" w:cs="Times New Roman"/>
          <w:color w:val="auto"/>
          <w:sz w:val="21"/>
          <w:lang w:eastAsia="zh-CN"/>
        </w:rPr>
        <w:t>下列</w:t>
      </w:r>
      <w:r>
        <w:rPr>
          <w:rFonts w:cs="Times New Roman"/>
          <w:color w:val="auto"/>
          <w:sz w:val="21"/>
          <w:lang w:eastAsia="zh-CN"/>
        </w:rPr>
        <w:t>规定：</w:t>
      </w:r>
    </w:p>
    <w:p>
      <w:pPr>
        <w:ind w:left="418" w:firstLine="422"/>
        <w:rPr>
          <w:rFonts w:cs="Times New Roman"/>
          <w:color w:val="auto"/>
          <w:sz w:val="21"/>
          <w:lang w:eastAsia="zh-CN"/>
        </w:rPr>
      </w:pPr>
      <w:r>
        <w:rPr>
          <w:rFonts w:cs="Times New Roman"/>
          <w:b/>
          <w:bCs/>
          <w:color w:val="auto"/>
          <w:sz w:val="21"/>
          <w:lang w:eastAsia="zh-CN"/>
        </w:rPr>
        <w:t>1</w:t>
      </w:r>
      <w:r>
        <w:rPr>
          <w:rFonts w:cs="Times New Roman"/>
          <w:color w:val="auto"/>
          <w:sz w:val="21"/>
          <w:lang w:eastAsia="zh-CN"/>
        </w:rPr>
        <w:t xml:space="preserve"> </w:t>
      </w:r>
      <w:r>
        <w:rPr>
          <w:rFonts w:hint="eastAsia" w:cs="Times New Roman"/>
          <w:color w:val="auto"/>
          <w:sz w:val="21"/>
          <w:lang w:eastAsia="zh-CN"/>
        </w:rPr>
        <w:t>检测评估单位应具备相关资质</w:t>
      </w:r>
      <w:r>
        <w:rPr>
          <w:rFonts w:cs="Times New Roman"/>
          <w:color w:val="auto"/>
          <w:sz w:val="21"/>
          <w:lang w:eastAsia="zh-CN"/>
        </w:rPr>
        <w:t>。</w:t>
      </w:r>
    </w:p>
    <w:p>
      <w:pPr>
        <w:ind w:left="418" w:firstLine="422"/>
        <w:rPr>
          <w:rFonts w:cs="Times New Roman"/>
          <w:color w:val="auto"/>
          <w:sz w:val="21"/>
          <w:lang w:eastAsia="zh-CN"/>
        </w:rPr>
      </w:pPr>
      <w:r>
        <w:rPr>
          <w:rFonts w:cs="Times New Roman"/>
          <w:b/>
          <w:bCs/>
          <w:color w:val="auto"/>
          <w:sz w:val="21"/>
          <w:lang w:eastAsia="zh-CN"/>
        </w:rPr>
        <w:t>2</w:t>
      </w:r>
      <w:r>
        <w:rPr>
          <w:rFonts w:cs="Times New Roman"/>
          <w:color w:val="auto"/>
          <w:sz w:val="21"/>
          <w:lang w:eastAsia="zh-CN"/>
        </w:rPr>
        <w:t xml:space="preserve"> 检测评估报告内容除应符合</w:t>
      </w:r>
      <w:r>
        <w:rPr>
          <w:rFonts w:hint="eastAsia" w:cs="Times New Roman"/>
          <w:color w:val="auto"/>
          <w:sz w:val="21"/>
          <w:lang w:eastAsia="zh-CN"/>
        </w:rPr>
        <w:t>现行行业标准</w:t>
      </w:r>
      <w:r>
        <w:rPr>
          <w:rFonts w:cs="Times New Roman"/>
          <w:color w:val="auto"/>
          <w:sz w:val="21"/>
          <w:lang w:eastAsia="zh-CN"/>
        </w:rPr>
        <w:t>《城镇排水管道检测与评估技术规程》CJJ 181要求外，还应满足设计要求。</w:t>
      </w:r>
    </w:p>
    <w:p>
      <w:pPr>
        <w:ind w:left="418" w:firstLine="422"/>
        <w:rPr>
          <w:rFonts w:cs="Times New Roman"/>
          <w:color w:val="auto"/>
          <w:sz w:val="21"/>
          <w:lang w:eastAsia="zh-CN"/>
        </w:rPr>
      </w:pPr>
      <w:r>
        <w:rPr>
          <w:rFonts w:cs="Times New Roman"/>
          <w:b/>
          <w:bCs/>
          <w:color w:val="auto"/>
          <w:sz w:val="21"/>
          <w:lang w:eastAsia="zh-CN"/>
        </w:rPr>
        <w:t>3</w:t>
      </w:r>
      <w:r>
        <w:rPr>
          <w:rFonts w:cs="Times New Roman"/>
          <w:color w:val="auto"/>
          <w:sz w:val="21"/>
          <w:lang w:eastAsia="zh-CN"/>
        </w:rPr>
        <w:t xml:space="preserve"> 管道病害评级宜</w:t>
      </w:r>
      <w:r>
        <w:rPr>
          <w:rFonts w:hint="eastAsia" w:cs="Times New Roman"/>
          <w:color w:val="auto"/>
          <w:sz w:val="21"/>
          <w:lang w:eastAsia="zh-CN"/>
        </w:rPr>
        <w:t>以</w:t>
      </w:r>
      <w:r>
        <w:rPr>
          <w:rFonts w:cs="Times New Roman"/>
          <w:color w:val="auto"/>
          <w:sz w:val="21"/>
          <w:lang w:eastAsia="zh-CN"/>
        </w:rPr>
        <w:t>管段为单位对局部点位分别作出缺陷评级。</w:t>
      </w:r>
    </w:p>
    <w:p>
      <w:pPr>
        <w:ind w:left="418" w:firstLine="422"/>
        <w:rPr>
          <w:rFonts w:cs="Times New Roman"/>
          <w:color w:val="auto"/>
          <w:sz w:val="21"/>
          <w:lang w:eastAsia="zh-CN"/>
        </w:rPr>
      </w:pPr>
      <w:r>
        <w:rPr>
          <w:rFonts w:cs="Times New Roman"/>
          <w:b/>
          <w:bCs/>
          <w:color w:val="auto"/>
          <w:sz w:val="21"/>
          <w:lang w:eastAsia="zh-CN"/>
        </w:rPr>
        <w:t>4</w:t>
      </w:r>
      <w:r>
        <w:rPr>
          <w:rFonts w:cs="Times New Roman"/>
          <w:color w:val="auto"/>
          <w:sz w:val="21"/>
          <w:lang w:eastAsia="zh-CN"/>
        </w:rPr>
        <w:t xml:space="preserve"> 检查评估报告附图应符合</w:t>
      </w:r>
      <w:r>
        <w:rPr>
          <w:rFonts w:hint="eastAsia" w:cs="Times New Roman"/>
          <w:color w:val="auto"/>
          <w:sz w:val="21"/>
          <w:lang w:eastAsia="zh-CN"/>
        </w:rPr>
        <w:t>现行行业标准</w:t>
      </w:r>
      <w:bookmarkStart w:id="20" w:name="_Hlk196922062"/>
      <w:r>
        <w:rPr>
          <w:rFonts w:cs="Times New Roman"/>
          <w:color w:val="auto"/>
          <w:sz w:val="21"/>
          <w:lang w:eastAsia="zh-CN"/>
        </w:rPr>
        <w:t>《</w:t>
      </w:r>
      <w:bookmarkStart w:id="21" w:name="OLE_LINK34"/>
      <w:r>
        <w:rPr>
          <w:rFonts w:cs="Times New Roman"/>
          <w:color w:val="auto"/>
          <w:sz w:val="21"/>
          <w:lang w:eastAsia="zh-CN"/>
        </w:rPr>
        <w:t>城镇排水管道检测与评估技术规程</w:t>
      </w:r>
      <w:bookmarkEnd w:id="21"/>
      <w:r>
        <w:rPr>
          <w:rFonts w:hint="eastAsia" w:cs="Times New Roman"/>
          <w:color w:val="auto"/>
          <w:sz w:val="21"/>
          <w:lang w:eastAsia="zh-CN"/>
        </w:rPr>
        <w:t>》</w:t>
      </w:r>
      <w:r>
        <w:rPr>
          <w:rFonts w:cs="Times New Roman"/>
          <w:color w:val="auto"/>
          <w:sz w:val="21"/>
          <w:lang w:eastAsia="zh-CN"/>
        </w:rPr>
        <w:t>CJJ 181</w:t>
      </w:r>
      <w:bookmarkEnd w:id="20"/>
      <w:r>
        <w:rPr>
          <w:rFonts w:cs="Times New Roman"/>
          <w:color w:val="auto"/>
          <w:sz w:val="21"/>
          <w:lang w:eastAsia="zh-CN"/>
        </w:rPr>
        <w:t>附录</w:t>
      </w:r>
      <w:r>
        <w:rPr>
          <w:rFonts w:hint="eastAsia" w:cs="Times New Roman"/>
          <w:color w:val="auto"/>
          <w:sz w:val="21"/>
          <w:lang w:eastAsia="zh-CN"/>
        </w:rPr>
        <w:t>D</w:t>
      </w:r>
      <w:r>
        <w:rPr>
          <w:rFonts w:cs="Times New Roman"/>
          <w:color w:val="auto"/>
          <w:sz w:val="21"/>
          <w:lang w:eastAsia="zh-CN"/>
        </w:rPr>
        <w:t>的相关要求，宜采用管段形式</w:t>
      </w:r>
      <w:r>
        <w:rPr>
          <w:rFonts w:hint="eastAsia" w:cs="Times New Roman"/>
          <w:color w:val="auto"/>
          <w:sz w:val="21"/>
          <w:lang w:eastAsia="zh-CN"/>
        </w:rPr>
        <w:t>呈现，</w:t>
      </w:r>
      <w:r>
        <w:rPr>
          <w:rFonts w:cs="Times New Roman"/>
          <w:color w:val="auto"/>
          <w:sz w:val="21"/>
          <w:lang w:eastAsia="zh-CN"/>
        </w:rPr>
        <w:t>并绘制管段变形分析断面图。</w:t>
      </w:r>
    </w:p>
    <w:p>
      <w:pPr>
        <w:ind w:firstLine="420" w:firstLineChars="0"/>
        <w:rPr>
          <w:rFonts w:cs="Times New Roman"/>
          <w:color w:val="auto"/>
          <w:sz w:val="21"/>
          <w:lang w:eastAsia="zh-CN"/>
        </w:rPr>
      </w:pPr>
      <w:r>
        <w:rPr>
          <w:rFonts w:hint="eastAsia" w:cs="Times New Roman"/>
          <w:b/>
          <w:bCs/>
          <w:color w:val="auto"/>
          <w:sz w:val="21"/>
          <w:lang w:eastAsia="zh-CN"/>
        </w:rPr>
        <w:t>3</w:t>
      </w:r>
      <w:r>
        <w:rPr>
          <w:rFonts w:cs="Times New Roman"/>
          <w:b/>
          <w:bCs/>
          <w:color w:val="auto"/>
          <w:sz w:val="21"/>
          <w:lang w:eastAsia="zh-CN"/>
        </w:rPr>
        <w:t>.1.4</w:t>
      </w:r>
      <w:r>
        <w:rPr>
          <w:rFonts w:cs="Times New Roman"/>
          <w:color w:val="auto"/>
          <w:sz w:val="21"/>
          <w:lang w:eastAsia="zh-CN"/>
        </w:rPr>
        <w:t xml:space="preserve"> </w:t>
      </w:r>
      <w:r>
        <w:rPr>
          <w:rFonts w:hint="eastAsia" w:cs="Times New Roman"/>
          <w:color w:val="auto"/>
          <w:sz w:val="21"/>
          <w:lang w:eastAsia="zh-CN"/>
        </w:rPr>
        <w:t>管道</w:t>
      </w:r>
      <w:r>
        <w:rPr>
          <w:rFonts w:cs="Times New Roman"/>
          <w:color w:val="auto"/>
          <w:sz w:val="21"/>
          <w:lang w:eastAsia="zh-CN"/>
        </w:rPr>
        <w:t>非开挖修复更新工程设计前</w:t>
      </w:r>
      <w:r>
        <w:rPr>
          <w:rFonts w:hint="eastAsia" w:cs="Times New Roman"/>
          <w:color w:val="auto"/>
          <w:sz w:val="21"/>
          <w:lang w:eastAsia="zh-CN"/>
        </w:rPr>
        <w:t>，</w:t>
      </w:r>
      <w:r>
        <w:rPr>
          <w:rFonts w:cs="Times New Roman"/>
          <w:color w:val="auto"/>
          <w:sz w:val="21"/>
          <w:lang w:eastAsia="zh-CN"/>
        </w:rPr>
        <w:t>应详细调查原管道的竣工资料及维修记录。复核勘察测绘和管道检测评估</w:t>
      </w:r>
      <w:r>
        <w:rPr>
          <w:rFonts w:hint="eastAsia" w:cs="Times New Roman"/>
          <w:color w:val="auto"/>
          <w:sz w:val="21"/>
          <w:lang w:eastAsia="zh-CN"/>
        </w:rPr>
        <w:t>报告</w:t>
      </w:r>
      <w:r>
        <w:rPr>
          <w:rFonts w:cs="Times New Roman"/>
          <w:color w:val="auto"/>
          <w:sz w:val="21"/>
          <w:lang w:eastAsia="zh-CN"/>
        </w:rPr>
        <w:t>。</w:t>
      </w:r>
    </w:p>
    <w:p>
      <w:pPr>
        <w:ind w:firstLine="420" w:firstLineChars="0"/>
        <w:rPr>
          <w:rFonts w:cs="Times New Roman"/>
          <w:color w:val="auto"/>
          <w:sz w:val="21"/>
          <w:lang w:eastAsia="zh-CN"/>
        </w:rPr>
      </w:pPr>
      <w:r>
        <w:rPr>
          <w:rFonts w:hint="eastAsia" w:cs="Times New Roman"/>
          <w:b/>
          <w:bCs/>
          <w:color w:val="auto"/>
          <w:sz w:val="21"/>
          <w:lang w:eastAsia="zh-CN"/>
        </w:rPr>
        <w:t>3</w:t>
      </w:r>
      <w:r>
        <w:rPr>
          <w:rFonts w:cs="Times New Roman"/>
          <w:b/>
          <w:bCs/>
          <w:color w:val="auto"/>
          <w:sz w:val="21"/>
          <w:lang w:eastAsia="zh-CN"/>
        </w:rPr>
        <w:t xml:space="preserve">.1.5 </w:t>
      </w:r>
      <w:r>
        <w:rPr>
          <w:rFonts w:hint="eastAsia" w:cs="Times New Roman"/>
          <w:color w:val="auto"/>
          <w:sz w:val="21"/>
          <w:lang w:eastAsia="zh-CN"/>
        </w:rPr>
        <w:t>重力管道非开挖修复设计</w:t>
      </w:r>
      <w:r>
        <w:rPr>
          <w:rFonts w:cs="Times New Roman"/>
          <w:color w:val="auto"/>
          <w:sz w:val="21"/>
          <w:lang w:eastAsia="zh-CN"/>
        </w:rPr>
        <w:t>应符合</w:t>
      </w:r>
      <w:r>
        <w:rPr>
          <w:rFonts w:hint="eastAsia" w:cs="Times New Roman"/>
          <w:color w:val="auto"/>
          <w:sz w:val="21"/>
          <w:lang w:eastAsia="zh-CN"/>
        </w:rPr>
        <w:t>现行行业标准</w:t>
      </w:r>
      <w:r>
        <w:rPr>
          <w:rFonts w:cs="Times New Roman"/>
          <w:color w:val="auto"/>
          <w:sz w:val="21"/>
          <w:lang w:eastAsia="zh-CN"/>
        </w:rPr>
        <w:t>《城镇排水管道非开挖修复更新工程技术规程》CJJ/T 21</w:t>
      </w:r>
      <w:r>
        <w:rPr>
          <w:rFonts w:hint="eastAsia" w:cs="Times New Roman"/>
          <w:color w:val="auto"/>
          <w:sz w:val="21"/>
          <w:lang w:eastAsia="zh-CN"/>
        </w:rPr>
        <w:t>0</w:t>
      </w:r>
      <w:r>
        <w:rPr>
          <w:rFonts w:cs="Times New Roman"/>
          <w:color w:val="auto"/>
          <w:sz w:val="21"/>
          <w:lang w:eastAsia="zh-CN"/>
        </w:rPr>
        <w:t>要求。</w:t>
      </w:r>
    </w:p>
    <w:p>
      <w:pPr>
        <w:ind w:firstLine="420" w:firstLineChars="0"/>
        <w:rPr>
          <w:rFonts w:cs="Times New Roman"/>
          <w:color w:val="auto"/>
          <w:sz w:val="21"/>
          <w:lang w:eastAsia="zh-CN"/>
        </w:rPr>
      </w:pPr>
      <w:bookmarkStart w:id="22" w:name="_Hlk190953829"/>
      <w:r>
        <w:rPr>
          <w:rFonts w:hint="eastAsia" w:cs="Times New Roman"/>
          <w:b/>
          <w:bCs/>
          <w:color w:val="auto"/>
          <w:sz w:val="21"/>
          <w:lang w:eastAsia="zh-CN"/>
        </w:rPr>
        <w:t>3</w:t>
      </w:r>
      <w:r>
        <w:rPr>
          <w:rFonts w:cs="Times New Roman"/>
          <w:b/>
          <w:bCs/>
          <w:color w:val="auto"/>
          <w:sz w:val="21"/>
          <w:lang w:eastAsia="zh-CN"/>
        </w:rPr>
        <w:t>.1.6</w:t>
      </w:r>
      <w:r>
        <w:rPr>
          <w:rFonts w:cs="Times New Roman"/>
          <w:color w:val="auto"/>
          <w:sz w:val="21"/>
          <w:lang w:eastAsia="zh-CN"/>
        </w:rPr>
        <w:t xml:space="preserve"> 采用牵拉方式时，</w:t>
      </w:r>
      <w:r>
        <w:rPr>
          <w:rFonts w:hint="eastAsia" w:cs="Times New Roman"/>
          <w:color w:val="auto"/>
          <w:sz w:val="21"/>
          <w:lang w:eastAsia="zh-CN"/>
        </w:rPr>
        <w:t>牵拉力应符合</w:t>
      </w:r>
      <w:r>
        <w:rPr>
          <w:rFonts w:cs="Times New Roman"/>
          <w:color w:val="auto"/>
          <w:sz w:val="21"/>
          <w:lang w:eastAsia="zh-CN"/>
        </w:rPr>
        <w:t>《水平定向钻法管道穿越工程技术规程》CECS</w:t>
      </w:r>
      <w:r>
        <w:rPr>
          <w:rFonts w:hint="eastAsia" w:cs="Times New Roman"/>
          <w:color w:val="auto"/>
          <w:sz w:val="21"/>
          <w:lang w:eastAsia="zh-CN"/>
        </w:rPr>
        <w:t xml:space="preserve"> </w:t>
      </w:r>
      <w:r>
        <w:rPr>
          <w:rFonts w:cs="Times New Roman"/>
          <w:color w:val="auto"/>
          <w:sz w:val="21"/>
          <w:lang w:eastAsia="zh-CN"/>
        </w:rPr>
        <w:t>38</w:t>
      </w:r>
      <w:r>
        <w:rPr>
          <w:rFonts w:hint="eastAsia" w:cs="Times New Roman"/>
          <w:color w:val="auto"/>
          <w:sz w:val="21"/>
          <w:lang w:eastAsia="zh-CN"/>
        </w:rPr>
        <w:t>的规定</w:t>
      </w:r>
      <w:r>
        <w:rPr>
          <w:rFonts w:cs="Times New Roman"/>
          <w:color w:val="auto"/>
          <w:sz w:val="21"/>
          <w:lang w:eastAsia="zh-CN"/>
        </w:rPr>
        <w:t>。采用顶</w:t>
      </w:r>
      <w:r>
        <w:rPr>
          <w:rFonts w:hint="eastAsia" w:cs="Times New Roman"/>
          <w:color w:val="auto"/>
          <w:sz w:val="21"/>
          <w:lang w:eastAsia="zh-CN"/>
        </w:rPr>
        <w:t>力</w:t>
      </w:r>
      <w:r>
        <w:rPr>
          <w:rFonts w:cs="Times New Roman"/>
          <w:color w:val="auto"/>
          <w:sz w:val="21"/>
          <w:lang w:eastAsia="zh-CN"/>
        </w:rPr>
        <w:t>时</w:t>
      </w:r>
      <w:r>
        <w:rPr>
          <w:rFonts w:hint="eastAsia" w:cs="Times New Roman"/>
          <w:color w:val="auto"/>
          <w:sz w:val="21"/>
          <w:lang w:eastAsia="zh-CN"/>
        </w:rPr>
        <w:t>应符合</w:t>
      </w:r>
      <w:r>
        <w:rPr>
          <w:rFonts w:cs="Times New Roman"/>
          <w:color w:val="auto"/>
          <w:sz w:val="21"/>
          <w:lang w:eastAsia="zh-CN"/>
        </w:rPr>
        <w:t>《给水排水工程顶管技术规程</w:t>
      </w:r>
      <w:r>
        <w:rPr>
          <w:rFonts w:hint="eastAsia" w:cs="Times New Roman"/>
          <w:color w:val="auto"/>
          <w:sz w:val="21"/>
          <w:lang w:eastAsia="zh-CN"/>
        </w:rPr>
        <w:t>》</w:t>
      </w:r>
      <w:r>
        <w:rPr>
          <w:rFonts w:cs="Times New Roman"/>
          <w:color w:val="auto"/>
          <w:sz w:val="21"/>
          <w:lang w:eastAsia="zh-CN"/>
        </w:rPr>
        <w:t>CECS 246进行顶力设计。</w:t>
      </w:r>
      <w:bookmarkEnd w:id="22"/>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auto"/>
          <w:sz w:val="21"/>
          <w:lang w:eastAsia="zh-CN"/>
        </w:rPr>
        <w:t>3</w:t>
      </w:r>
      <w:r>
        <w:rPr>
          <w:rFonts w:cs="Times New Roman"/>
          <w:b/>
          <w:bCs/>
          <w:color w:val="auto"/>
          <w:sz w:val="21"/>
          <w:lang w:eastAsia="zh-CN"/>
        </w:rPr>
        <w:t>.1.7</w:t>
      </w:r>
      <w:r>
        <w:rPr>
          <w:rFonts w:cs="Times New Roman"/>
          <w:color w:val="auto"/>
          <w:sz w:val="21"/>
          <w:lang w:eastAsia="zh-CN"/>
        </w:rPr>
        <w:t xml:space="preserve"> 设计文件应以管段为单位</w:t>
      </w:r>
      <w:r>
        <w:rPr>
          <w:rFonts w:hint="eastAsia" w:cs="Times New Roman"/>
          <w:color w:val="auto"/>
          <w:sz w:val="21"/>
          <w:lang w:eastAsia="zh-CN"/>
        </w:rPr>
        <w:t>，</w:t>
      </w:r>
      <w:r>
        <w:rPr>
          <w:rFonts w:cs="Times New Roman"/>
          <w:color w:val="auto"/>
          <w:sz w:val="21"/>
          <w:lang w:eastAsia="zh-CN"/>
        </w:rPr>
        <w:t>注明缺陷类型、缺陷位置、修复方法、预处理措施并</w:t>
      </w:r>
      <w:r>
        <w:rPr>
          <w:rFonts w:hint="eastAsia" w:cs="Times New Roman"/>
          <w:color w:val="auto"/>
          <w:sz w:val="21"/>
          <w:lang w:eastAsia="zh-CN"/>
        </w:rPr>
        <w:t>应</w:t>
      </w:r>
      <w:r>
        <w:rPr>
          <w:rFonts w:cs="Times New Roman"/>
          <w:color w:val="auto"/>
          <w:sz w:val="21"/>
          <w:lang w:eastAsia="zh-CN"/>
        </w:rPr>
        <w:t>注明内衬管结构设计参数、材料性能指标。</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3.1.</w:t>
      </w:r>
      <w:r>
        <w:rPr>
          <w:rFonts w:hint="eastAsia" w:cs="Times New Roman"/>
          <w:b/>
          <w:bCs/>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 xml:space="preserve"> 排水管道整体修复内衬分类及适用情况应符合表3.1.</w:t>
      </w:r>
      <w:r>
        <w:rPr>
          <w:rFonts w:hint="eastAsia" w:cs="Times New Roman"/>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的规定：</w:t>
      </w:r>
    </w:p>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表3.1.</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 xml:space="preserve"> 排水管道整体修复内衬分类及情况</w:t>
      </w:r>
    </w:p>
    <w:tbl>
      <w:tblPr>
        <w:tblStyle w:val="17"/>
        <w:tblW w:w="84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196"/>
        <w:gridCol w:w="1365"/>
        <w:gridCol w:w="2931"/>
        <w:gridCol w:w="19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289" w:type="dxa"/>
            <w:vAlign w:val="center"/>
          </w:tcPr>
          <w:p>
            <w:pPr>
              <w:spacing w:line="240" w:lineRule="auto"/>
              <w:ind w:firstLine="0" w:firstLineChars="0"/>
              <w:jc w:val="center"/>
              <w:rPr>
                <w:rFonts w:cs="Times New Roman" w:eastAsiaTheme="minorEastAsia"/>
                <w:color w:val="auto"/>
                <w:sz w:val="21"/>
                <w:lang w:eastAsia="zh-CN"/>
              </w:rPr>
            </w:pPr>
            <w:r>
              <w:rPr>
                <w:rFonts w:cs="Times New Roman" w:eastAsiaTheme="minorEastAsia"/>
                <w:color w:val="auto"/>
                <w:sz w:val="21"/>
                <w:lang w:eastAsia="zh-CN"/>
              </w:rPr>
              <w:t>受力条件/缺陷等级</w:t>
            </w:r>
          </w:p>
        </w:tc>
        <w:tc>
          <w:tcPr>
            <w:tcW w:w="1421" w:type="dxa"/>
            <w:vAlign w:val="center"/>
          </w:tcPr>
          <w:p>
            <w:pPr>
              <w:spacing w:line="240" w:lineRule="auto"/>
              <w:ind w:firstLine="0" w:firstLineChars="0"/>
              <w:jc w:val="center"/>
              <w:rPr>
                <w:rFonts w:cs="Times New Roman" w:eastAsiaTheme="minorEastAsia"/>
                <w:color w:val="auto"/>
                <w:sz w:val="21"/>
                <w:lang w:eastAsia="zh-CN"/>
              </w:rPr>
            </w:pPr>
            <w:r>
              <w:rPr>
                <w:rFonts w:cs="Times New Roman" w:eastAsiaTheme="minorEastAsia"/>
                <w:color w:val="auto"/>
                <w:sz w:val="21"/>
                <w:lang w:eastAsia="zh-CN"/>
              </w:rPr>
              <w:t>内衬类别</w:t>
            </w:r>
          </w:p>
        </w:tc>
        <w:tc>
          <w:tcPr>
            <w:tcW w:w="2704" w:type="dxa"/>
            <w:vAlign w:val="center"/>
          </w:tcPr>
          <w:p>
            <w:pPr>
              <w:spacing w:line="240" w:lineRule="auto"/>
              <w:ind w:firstLine="0" w:firstLineChars="0"/>
              <w:jc w:val="center"/>
              <w:rPr>
                <w:rFonts w:cs="Times New Roman" w:eastAsiaTheme="minorEastAsia"/>
                <w:color w:val="auto"/>
                <w:sz w:val="21"/>
                <w:lang w:eastAsia="zh-CN"/>
              </w:rPr>
            </w:pPr>
            <w:r>
              <w:rPr>
                <w:rFonts w:cs="Times New Roman" w:eastAsiaTheme="minorEastAsia"/>
                <w:color w:val="auto"/>
                <w:sz w:val="21"/>
                <w:lang w:eastAsia="zh-CN"/>
              </w:rPr>
              <w:t>示意图</w:t>
            </w:r>
          </w:p>
        </w:tc>
        <w:tc>
          <w:tcPr>
            <w:tcW w:w="2026" w:type="dxa"/>
            <w:vAlign w:val="center"/>
          </w:tcPr>
          <w:p>
            <w:pPr>
              <w:spacing w:line="240" w:lineRule="auto"/>
              <w:ind w:firstLine="0" w:firstLineChars="0"/>
              <w:jc w:val="center"/>
              <w:rPr>
                <w:rFonts w:cs="Times New Roman" w:eastAsiaTheme="minorEastAsia"/>
                <w:color w:val="auto"/>
                <w:sz w:val="21"/>
                <w:lang w:eastAsia="zh-CN"/>
              </w:rPr>
            </w:pPr>
            <w:r>
              <w:rPr>
                <w:rFonts w:cs="Times New Roman" w:eastAsiaTheme="minorEastAsia"/>
                <w:color w:val="auto"/>
                <w:sz w:val="21"/>
                <w:lang w:eastAsia="zh-CN"/>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289" w:type="dxa"/>
            <w:vAlign w:val="center"/>
          </w:tcPr>
          <w:p>
            <w:pPr>
              <w:spacing w:line="240" w:lineRule="auto"/>
              <w:ind w:firstLine="0" w:firstLineChars="0"/>
              <w:jc w:val="center"/>
              <w:rPr>
                <w:rFonts w:cs="Times New Roman" w:eastAsiaTheme="minorEastAsia"/>
                <w:color w:val="FF0000"/>
                <w:sz w:val="21"/>
                <w:lang w:eastAsia="zh-CN"/>
              </w:rPr>
            </w:pPr>
            <w:r>
              <w:rPr>
                <w:rFonts w:cs="Times New Roman" w:eastAsiaTheme="minorEastAsia"/>
                <w:color w:val="auto"/>
                <w:sz w:val="21"/>
                <w:lang w:eastAsia="zh-CN"/>
              </w:rPr>
              <w:t>管道存在I级脱节、I级变形、I级腐蚀等轻微缺陷，没有外部荷载作用到管内</w:t>
            </w:r>
          </w:p>
        </w:tc>
        <w:tc>
          <w:tcPr>
            <w:tcW w:w="1421" w:type="dxa"/>
            <w:vAlign w:val="center"/>
          </w:tcPr>
          <w:p>
            <w:pPr>
              <w:spacing w:line="240" w:lineRule="auto"/>
              <w:ind w:firstLine="0" w:firstLineChars="0"/>
              <w:jc w:val="center"/>
              <w:rPr>
                <w:rFonts w:cs="Times New Roman" w:eastAsiaTheme="minorEastAsia"/>
                <w:color w:val="auto"/>
                <w:sz w:val="21"/>
                <w:lang w:eastAsia="zh-CN"/>
              </w:rPr>
            </w:pPr>
            <w:r>
              <w:rPr>
                <w:rFonts w:cs="Times New Roman" w:eastAsiaTheme="minorEastAsia"/>
                <w:color w:val="000000" w:themeColor="text1"/>
                <w:sz w:val="21"/>
                <w14:textFill>
                  <w14:solidFill>
                    <w14:schemeClr w14:val="tx1"/>
                  </w14:solidFill>
                </w14:textFill>
              </w:rPr>
              <w:t>第I类内衬</w:t>
            </w:r>
          </w:p>
        </w:tc>
        <w:tc>
          <w:tcPr>
            <w:tcW w:w="2704" w:type="dxa"/>
            <w:vAlign w:val="center"/>
          </w:tcPr>
          <w:p>
            <w:pPr>
              <w:spacing w:line="240" w:lineRule="auto"/>
              <w:ind w:firstLine="420"/>
              <w:jc w:val="center"/>
              <w:rPr>
                <w:rFonts w:cs="Times New Roman" w:eastAsiaTheme="minorEastAsia"/>
                <w:color w:val="auto"/>
                <w:sz w:val="21"/>
                <w:lang w:eastAsia="zh-CN"/>
              </w:rPr>
            </w:pPr>
            <w:r>
              <w:rPr>
                <w:rFonts w:cs="Times New Roman" w:eastAsiaTheme="minorEastAsia"/>
                <w:color w:val="auto"/>
                <w:sz w:val="21"/>
                <w:lang w:eastAsia="zh-CN"/>
              </w:rPr>
              <w:drawing>
                <wp:inline distT="0" distB="0" distL="0" distR="0">
                  <wp:extent cx="690880" cy="650240"/>
                  <wp:effectExtent l="0" t="0" r="4445" b="6985"/>
                  <wp:docPr id="1334416018" name="图片 5" descr="形状, 圆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16018" name="图片 5" descr="形状, 圆圈&#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03138" cy="661643"/>
                          </a:xfrm>
                          <a:prstGeom prst="rect">
                            <a:avLst/>
                          </a:prstGeom>
                          <a:noFill/>
                          <a:ln>
                            <a:noFill/>
                          </a:ln>
                        </pic:spPr>
                      </pic:pic>
                    </a:graphicData>
                  </a:graphic>
                </wp:inline>
              </w:drawing>
            </w:r>
          </w:p>
        </w:tc>
        <w:tc>
          <w:tcPr>
            <w:tcW w:w="2026" w:type="dxa"/>
            <w:vAlign w:val="center"/>
          </w:tcPr>
          <w:p>
            <w:pPr>
              <w:spacing w:line="240" w:lineRule="auto"/>
              <w:ind w:firstLine="0" w:firstLineChars="0"/>
              <w:jc w:val="center"/>
              <w:rPr>
                <w:rFonts w:cs="Times New Roman" w:eastAsiaTheme="minorEastAsia"/>
                <w:color w:val="auto"/>
                <w:sz w:val="21"/>
                <w:lang w:eastAsia="zh-CN"/>
              </w:rPr>
            </w:pPr>
            <w:r>
              <w:rPr>
                <w:rFonts w:cs="Times New Roman" w:eastAsiaTheme="minorEastAsia"/>
                <w:color w:val="auto"/>
                <w:sz w:val="21"/>
                <w:lang w:eastAsia="zh-CN"/>
              </w:rPr>
              <w:t>内衬仅需满足日常修补维护需求，只进行功能性修复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289" w:type="dxa"/>
            <w:vAlign w:val="center"/>
          </w:tcPr>
          <w:p>
            <w:pPr>
              <w:spacing w:line="240" w:lineRule="auto"/>
              <w:ind w:firstLine="0" w:firstLineChars="0"/>
              <w:jc w:val="center"/>
              <w:rPr>
                <w:rFonts w:cs="Times New Roman" w:eastAsiaTheme="minorEastAsia"/>
                <w:color w:val="auto"/>
                <w:sz w:val="21"/>
                <w:lang w:eastAsia="zh-CN"/>
              </w:rPr>
            </w:pPr>
            <w:r>
              <w:rPr>
                <w:rFonts w:cs="Times New Roman" w:eastAsiaTheme="minorEastAsia"/>
                <w:color w:val="auto"/>
                <w:sz w:val="21"/>
                <w:lang w:eastAsia="zh-CN"/>
              </w:rPr>
              <w:t>管道存在Ⅱ级脱节、Ⅱ级变形、Ⅱ级腐蚀等轻微缺陷，有外水渗入、没有外部荷载作用到管内</w:t>
            </w:r>
          </w:p>
        </w:tc>
        <w:tc>
          <w:tcPr>
            <w:tcW w:w="1421" w:type="dxa"/>
            <w:vAlign w:val="center"/>
          </w:tcPr>
          <w:p>
            <w:pPr>
              <w:spacing w:line="240" w:lineRule="auto"/>
              <w:ind w:firstLine="0" w:firstLineChars="0"/>
              <w:jc w:val="center"/>
              <w:rPr>
                <w:rFonts w:cs="Times New Roman" w:eastAsiaTheme="minorEastAsia"/>
                <w:color w:val="auto"/>
                <w:sz w:val="21"/>
                <w:lang w:eastAsia="zh-CN"/>
              </w:rPr>
            </w:pPr>
            <w:r>
              <w:rPr>
                <w:rFonts w:cs="Times New Roman" w:eastAsiaTheme="minorEastAsia"/>
                <w:color w:val="auto"/>
                <w:sz w:val="21"/>
              </w:rPr>
              <w:t>第II类内衬</w:t>
            </w:r>
          </w:p>
        </w:tc>
        <w:tc>
          <w:tcPr>
            <w:tcW w:w="2704" w:type="dxa"/>
            <w:vAlign w:val="center"/>
          </w:tcPr>
          <w:p>
            <w:pPr>
              <w:spacing w:line="240" w:lineRule="auto"/>
              <w:ind w:firstLine="420"/>
              <w:jc w:val="center"/>
              <w:rPr>
                <w:rFonts w:cs="Times New Roman" w:eastAsiaTheme="minorEastAsia"/>
                <w:color w:val="auto"/>
                <w:sz w:val="21"/>
                <w:lang w:eastAsia="zh-CN"/>
              </w:rPr>
            </w:pPr>
            <w:r>
              <w:rPr>
                <w:rFonts w:cs="Times New Roman" w:eastAsiaTheme="minorEastAsia"/>
                <w:color w:val="auto"/>
                <w:sz w:val="21"/>
                <w:lang w:eastAsia="zh-CN"/>
              </w:rPr>
              <w:drawing>
                <wp:inline distT="0" distB="0" distL="0" distR="0">
                  <wp:extent cx="1254125" cy="678180"/>
                  <wp:effectExtent l="0" t="0" r="3175" b="7620"/>
                  <wp:docPr id="681760404" name="图片 6" descr="图形用户界面, 应用程序, 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60404" name="图片 6" descr="图形用户界面, 应用程序, 形状&#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69044" cy="686077"/>
                          </a:xfrm>
                          <a:prstGeom prst="rect">
                            <a:avLst/>
                          </a:prstGeom>
                          <a:noFill/>
                          <a:ln>
                            <a:noFill/>
                          </a:ln>
                        </pic:spPr>
                      </pic:pic>
                    </a:graphicData>
                  </a:graphic>
                </wp:inline>
              </w:drawing>
            </w:r>
          </w:p>
        </w:tc>
        <w:tc>
          <w:tcPr>
            <w:tcW w:w="2026" w:type="dxa"/>
            <w:vAlign w:val="center"/>
          </w:tcPr>
          <w:p>
            <w:pPr>
              <w:spacing w:line="240" w:lineRule="auto"/>
              <w:ind w:firstLine="0" w:firstLineChars="0"/>
              <w:jc w:val="center"/>
              <w:rPr>
                <w:rFonts w:cs="Times New Roman" w:eastAsiaTheme="minorEastAsia"/>
                <w:color w:val="auto"/>
                <w:sz w:val="21"/>
                <w:lang w:eastAsia="zh-CN"/>
              </w:rPr>
            </w:pPr>
            <w:r>
              <w:rPr>
                <w:rFonts w:cs="Times New Roman" w:eastAsiaTheme="minorEastAsia"/>
                <w:color w:val="auto"/>
                <w:sz w:val="21"/>
                <w:lang w:eastAsia="zh-CN"/>
              </w:rPr>
              <w:t>内衬可独立或与既有管道共同作用，满足补强要求，应能抵抗外部的静水压力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289" w:type="dxa"/>
            <w:vAlign w:val="center"/>
          </w:tcPr>
          <w:p>
            <w:pPr>
              <w:spacing w:line="240" w:lineRule="auto"/>
              <w:ind w:firstLine="0" w:firstLineChars="0"/>
              <w:jc w:val="center"/>
              <w:rPr>
                <w:rFonts w:cs="Times New Roman" w:eastAsiaTheme="minorEastAsia"/>
                <w:color w:val="auto"/>
                <w:sz w:val="21"/>
                <w:lang w:eastAsia="zh-CN"/>
              </w:rPr>
            </w:pPr>
            <w:r>
              <w:rPr>
                <w:rFonts w:cs="Times New Roman" w:eastAsiaTheme="minorEastAsia"/>
                <w:color w:val="auto"/>
                <w:sz w:val="21"/>
                <w:lang w:eastAsia="zh-CN"/>
              </w:rPr>
              <w:t>管道存在Ⅲ级及以上重大缺陷，遭受普遍的外部腐蚀且失效模式已经存在或可能有严重的纵向开裂等主管道，内衬管需抵抗外水渗入和外部荷载作用</w:t>
            </w:r>
          </w:p>
        </w:tc>
        <w:tc>
          <w:tcPr>
            <w:tcW w:w="1421" w:type="dxa"/>
            <w:vAlign w:val="center"/>
          </w:tcPr>
          <w:p>
            <w:pPr>
              <w:spacing w:line="240" w:lineRule="auto"/>
              <w:ind w:firstLine="0" w:firstLineChars="0"/>
              <w:jc w:val="center"/>
              <w:rPr>
                <w:rFonts w:cs="Times New Roman" w:eastAsiaTheme="minorEastAsia"/>
                <w:color w:val="auto"/>
                <w:sz w:val="21"/>
                <w:lang w:eastAsia="zh-CN"/>
              </w:rPr>
            </w:pPr>
            <w:r>
              <w:rPr>
                <w:rFonts w:cs="Times New Roman" w:eastAsiaTheme="minorEastAsia"/>
                <w:color w:val="auto"/>
                <w:sz w:val="21"/>
              </w:rPr>
              <w:t>第III类内衬</w:t>
            </w:r>
          </w:p>
        </w:tc>
        <w:tc>
          <w:tcPr>
            <w:tcW w:w="2704" w:type="dxa"/>
            <w:vAlign w:val="center"/>
          </w:tcPr>
          <w:p>
            <w:pPr>
              <w:spacing w:line="240" w:lineRule="auto"/>
              <w:ind w:firstLine="420"/>
              <w:jc w:val="center"/>
              <w:rPr>
                <w:rFonts w:cs="Times New Roman" w:eastAsiaTheme="minorEastAsia"/>
                <w:color w:val="auto"/>
                <w:sz w:val="21"/>
                <w:lang w:eastAsia="zh-CN"/>
              </w:rPr>
            </w:pPr>
            <w:r>
              <w:rPr>
                <w:rFonts w:cs="Times New Roman" w:eastAsiaTheme="minorEastAsia"/>
                <w:color w:val="auto"/>
                <w:sz w:val="21"/>
                <w:lang w:eastAsia="zh-CN"/>
              </w:rPr>
              <w:drawing>
                <wp:inline distT="0" distB="0" distL="0" distR="0">
                  <wp:extent cx="1412875" cy="719455"/>
                  <wp:effectExtent l="0" t="0" r="6350" b="4445"/>
                  <wp:docPr id="230315333" name="图片 7"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15333" name="图片 7" descr="图形用户界面, 应用程序&#10;&#10;AI 生成的内容可能不正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34904" cy="730573"/>
                          </a:xfrm>
                          <a:prstGeom prst="rect">
                            <a:avLst/>
                          </a:prstGeom>
                          <a:noFill/>
                          <a:ln>
                            <a:noFill/>
                          </a:ln>
                        </pic:spPr>
                      </pic:pic>
                    </a:graphicData>
                  </a:graphic>
                </wp:inline>
              </w:drawing>
            </w:r>
          </w:p>
        </w:tc>
        <w:tc>
          <w:tcPr>
            <w:tcW w:w="2026" w:type="dxa"/>
            <w:vAlign w:val="center"/>
          </w:tcPr>
          <w:p>
            <w:pPr>
              <w:spacing w:line="240" w:lineRule="auto"/>
              <w:ind w:firstLine="0" w:firstLineChars="0"/>
              <w:jc w:val="center"/>
              <w:rPr>
                <w:rFonts w:cs="Times New Roman" w:eastAsiaTheme="minorEastAsia"/>
                <w:color w:val="auto"/>
                <w:sz w:val="21"/>
                <w:lang w:eastAsia="zh-CN"/>
              </w:rPr>
            </w:pPr>
            <w:r>
              <w:rPr>
                <w:rFonts w:cs="Times New Roman" w:eastAsiaTheme="minorEastAsia"/>
                <w:color w:val="auto"/>
                <w:sz w:val="21"/>
                <w:lang w:eastAsia="zh-CN"/>
              </w:rPr>
              <w:t>内衬应满足不依赖于既有管道能独立承受全部荷载</w:t>
            </w:r>
          </w:p>
        </w:tc>
      </w:tr>
    </w:tbl>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3.1.</w:t>
      </w:r>
      <w:r>
        <w:rPr>
          <w:rFonts w:hint="eastAsia" w:cs="Times New Roman"/>
          <w:b/>
          <w:bCs/>
          <w:color w:val="000000" w:themeColor="text1"/>
          <w:sz w:val="21"/>
          <w:lang w:eastAsia="zh-CN"/>
          <w14:textFill>
            <w14:solidFill>
              <w14:schemeClr w14:val="tx1"/>
            </w14:solidFill>
          </w14:textFill>
        </w:rPr>
        <w:t>9</w:t>
      </w:r>
      <w:r>
        <w:rPr>
          <w:rFonts w:cs="Times New Roman"/>
          <w:color w:val="000000" w:themeColor="text1"/>
          <w:sz w:val="21"/>
          <w:lang w:eastAsia="zh-CN"/>
          <w14:textFill>
            <w14:solidFill>
              <w14:schemeClr w14:val="tx1"/>
            </w14:solidFill>
          </w14:textFill>
        </w:rPr>
        <w:t xml:space="preserve"> 管道采用第Ⅲ类内衬修复后的使用期限不得低于50年；管道采用第Ⅱ类内衬修复后的使用期限不得低于原设计剩余使用年限，且不得低于20年。</w:t>
      </w:r>
    </w:p>
    <w:p>
      <w:pPr>
        <w:pStyle w:val="3"/>
        <w:ind w:firstLine="560"/>
      </w:pPr>
      <w:bookmarkStart w:id="23" w:name="_Toc196915198"/>
      <w:r>
        <w:t>3.2 修复方法选择</w:t>
      </w:r>
      <w:bookmarkEnd w:id="23"/>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 xml:space="preserve">2.1 </w:t>
      </w:r>
      <w:r>
        <w:rPr>
          <w:rFonts w:cs="Times New Roman"/>
          <w:color w:val="000000" w:themeColor="text1"/>
          <w:sz w:val="21"/>
          <w:lang w:eastAsia="zh-CN"/>
          <w14:textFill>
            <w14:solidFill>
              <w14:schemeClr w14:val="tx1"/>
            </w14:solidFill>
          </w14:textFill>
        </w:rPr>
        <w:t>管道</w:t>
      </w:r>
      <w:r>
        <w:rPr>
          <w:rFonts w:hint="eastAsia" w:cs="Times New Roman"/>
          <w:color w:val="000000" w:themeColor="text1"/>
          <w:sz w:val="21"/>
          <w:lang w:eastAsia="zh-CN"/>
          <w14:textFill>
            <w14:solidFill>
              <w14:schemeClr w14:val="tx1"/>
            </w14:solidFill>
          </w14:textFill>
        </w:rPr>
        <w:t>非开挖修复包括整体修复和局部修复，并应符合</w:t>
      </w:r>
      <w:r>
        <w:rPr>
          <w:rFonts w:cs="Times New Roman"/>
          <w:color w:val="000000" w:themeColor="text1"/>
          <w:sz w:val="21"/>
          <w:lang w:eastAsia="zh-CN"/>
          <w14:textFill>
            <w14:solidFill>
              <w14:schemeClr w14:val="tx1"/>
            </w14:solidFill>
          </w14:textFill>
        </w:rPr>
        <w:t>下列规定</w:t>
      </w:r>
      <w:r>
        <w:rPr>
          <w:rFonts w:hint="eastAsia"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同一管段的结构性缺陷小于3处且结构性缺陷等级小于3级时，宜采用局部修复。</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同一管段的结构性缺陷大于等于3处时，宜采用整体修复。</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管道结构性状况评定结果修复指数RI</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7或评定等级为三级时，宜采用整体修复；单一严重结构性缺陷（如4级变形、4级破裂、3级</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4级洼水、3级</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4级异物侵入等）宜作技术经济比较后确定选用开挖或非开挖修复方案。</w:t>
      </w:r>
    </w:p>
    <w:p>
      <w:pPr>
        <w:ind w:firstLine="422"/>
        <w:rPr>
          <w:rFonts w:hint="eastAsia" w:ascii="宋体" w:hAnsi="宋体"/>
          <w:color w:val="auto"/>
          <w:sz w:val="21"/>
          <w:lang w:eastAsia="zh-CN"/>
        </w:rPr>
      </w:pPr>
      <w:r>
        <w:rPr>
          <w:rFonts w:cs="Times New Roman"/>
          <w:b/>
          <w:bCs/>
          <w:color w:val="000000" w:themeColor="text1"/>
          <w:sz w:val="21"/>
          <w:lang w:eastAsia="zh-CN"/>
          <w14:textFill>
            <w14:solidFill>
              <w14:schemeClr w14:val="tx1"/>
            </w14:solidFill>
          </w14:textFill>
        </w:rPr>
        <w:t>3.2.</w:t>
      </w:r>
      <w:r>
        <w:rPr>
          <w:rFonts w:hint="eastAsia"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ascii="宋体" w:hAnsi="宋体"/>
          <w:color w:val="auto"/>
          <w:sz w:val="21"/>
          <w:lang w:eastAsia="zh-CN"/>
        </w:rPr>
        <w:t>对于管道变形或破裂严重、接头错位严重及渗漏严重的部位，应采用土体注浆进行加固和止水；</w:t>
      </w:r>
      <w:r>
        <w:rPr>
          <w:rFonts w:cs="Times New Roman"/>
          <w:color w:val="000000" w:themeColor="text1"/>
          <w:sz w:val="21"/>
          <w:lang w:eastAsia="zh-CN"/>
          <w14:textFill>
            <w14:solidFill>
              <w14:schemeClr w14:val="tx1"/>
            </w14:solidFill>
          </w14:textFill>
        </w:rPr>
        <w:t>对于有影响修复施工的缺陷，应进行裂缝嵌补处理</w:t>
      </w:r>
      <w:r>
        <w:rPr>
          <w:rFonts w:ascii="宋体" w:hAnsi="宋体"/>
          <w:color w:val="auto"/>
          <w:sz w:val="21"/>
          <w:lang w:eastAsia="zh-CN"/>
        </w:rPr>
        <w:t>。</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裂缝嵌补法可用于修复管径 DN800及以上的钢筋混凝土材质的圆形、矩形排水管道。</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土体注浆加固分为管内注浆法和管外注浆法。管外注浆法可用于各类排水管道，管内注浆法可用于管径</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DN800及以上的排水管道。</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3.2.</w:t>
      </w:r>
      <w:r>
        <w:rPr>
          <w:rFonts w:hint="eastAsia"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管道非开挖修复工程方法宜按</w:t>
      </w:r>
      <w:r>
        <w:rPr>
          <w:rFonts w:hint="eastAsia" w:cs="Times New Roman"/>
          <w:color w:val="000000" w:themeColor="text1"/>
          <w:sz w:val="21"/>
          <w:lang w:eastAsia="zh-CN"/>
          <w14:textFill>
            <w14:solidFill>
              <w14:schemeClr w14:val="tx1"/>
            </w14:solidFill>
          </w14:textFill>
        </w:rPr>
        <w:t>附录A</w:t>
      </w:r>
      <w:r>
        <w:rPr>
          <w:rFonts w:cs="Times New Roman"/>
          <w:color w:val="000000" w:themeColor="text1"/>
          <w:sz w:val="21"/>
          <w:lang w:eastAsia="zh-CN"/>
          <w14:textFill>
            <w14:solidFill>
              <w14:schemeClr w14:val="tx1"/>
            </w14:solidFill>
          </w14:textFill>
        </w:rPr>
        <w:t>的规定选用。</w:t>
      </w:r>
    </w:p>
    <w:p>
      <w:pPr>
        <w:ind w:firstLine="0" w:firstLineChars="0"/>
        <w:rPr>
          <w:rFonts w:cs="Times New Roman"/>
          <w:color w:val="000000" w:themeColor="text1"/>
          <w:sz w:val="21"/>
          <w:lang w:eastAsia="zh-CN"/>
          <w14:textFill>
            <w14:solidFill>
              <w14:schemeClr w14:val="tx1"/>
            </w14:solidFill>
          </w14:textFill>
        </w:rPr>
      </w:pPr>
    </w:p>
    <w:p>
      <w:pPr>
        <w:pStyle w:val="3"/>
        <w:ind w:firstLine="560"/>
      </w:pPr>
      <w:bookmarkStart w:id="24" w:name="_Toc196915199"/>
      <w:r>
        <w:t>3.3 内衬管壁厚设计</w:t>
      </w:r>
      <w:bookmarkEnd w:id="24"/>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3.3.1</w:t>
      </w:r>
      <w:r>
        <w:rPr>
          <w:rFonts w:cs="Times New Roman"/>
          <w:color w:val="000000" w:themeColor="text1"/>
          <w:sz w:val="21"/>
          <w:lang w:eastAsia="zh-CN"/>
          <w14:textFill>
            <w14:solidFill>
              <w14:schemeClr w14:val="tx1"/>
            </w14:solidFill>
          </w14:textFill>
        </w:rPr>
        <w:t xml:space="preserve"> </w:t>
      </w:r>
      <w:bookmarkStart w:id="25" w:name="OLE_LINK83"/>
      <w:r>
        <w:rPr>
          <w:rFonts w:hint="eastAsia" w:cs="Times New Roman"/>
          <w:color w:val="000000" w:themeColor="text1"/>
          <w:sz w:val="21"/>
          <w:lang w:eastAsia="zh-CN"/>
          <w14:textFill>
            <w14:solidFill>
              <w14:schemeClr w14:val="tx1"/>
            </w14:solidFill>
          </w14:textFill>
        </w:rPr>
        <w:t>紫外光原位固化修复法、翻转式原位固化修复法、原位热塑修复成型法</w:t>
      </w:r>
      <w:bookmarkEnd w:id="25"/>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短管内衬修复法、螺旋缠绕内衬修复法</w:t>
      </w:r>
      <w:r>
        <w:rPr>
          <w:rFonts w:cs="Times New Roman"/>
          <w:color w:val="000000" w:themeColor="text1"/>
          <w:sz w:val="21"/>
          <w:lang w:eastAsia="zh-CN"/>
          <w14:textFill>
            <w14:solidFill>
              <w14:schemeClr w14:val="tx1"/>
            </w14:solidFill>
          </w14:textFill>
        </w:rPr>
        <w:t>用于第 Ⅱ 类内衬进行重力流管道修复设计时，其内衬管最小壁厚应符合下列规定：</w:t>
      </w:r>
    </w:p>
    <w:p>
      <w:pPr>
        <w:ind w:left="420" w:firstLine="422"/>
        <w:rPr>
          <w:rFonts w:cs="Times New Roman"/>
          <w:color w:val="000000" w:themeColor="text1"/>
          <w:sz w:val="21"/>
          <w:lang w:eastAsia="zh-CN"/>
          <w14:textFill>
            <w14:solidFill>
              <w14:schemeClr w14:val="tx1"/>
            </w14:solidFill>
          </w14:textFill>
        </w:rPr>
      </w:pPr>
      <w:bookmarkStart w:id="26" w:name="_Toc15385"/>
      <w:bookmarkStart w:id="27" w:name="_Toc28348"/>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当采用原位固化法时，内衬管壁厚应按下列公式计算：</w:t>
      </w:r>
      <w:bookmarkEnd w:id="26"/>
      <w:bookmarkEnd w:id="27"/>
    </w:p>
    <w:tbl>
      <w:tblPr>
        <w:tblStyle w:val="1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7"/>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7" w:type="dxa"/>
            <w:tcBorders>
              <w:top w:val="nil"/>
              <w:left w:val="nil"/>
              <w:bottom w:val="nil"/>
              <w:right w:val="nil"/>
            </w:tcBorders>
          </w:tcPr>
          <w:p>
            <w:pPr>
              <w:ind w:firstLine="420"/>
              <w:jc w:val="center"/>
              <w:rPr>
                <w:rFonts w:cs="Times New Roman"/>
                <w:i/>
                <w:iCs/>
                <w:color w:val="000000" w:themeColor="text1"/>
                <w:sz w:val="21"/>
                <w14:textFill>
                  <w14:solidFill>
                    <w14:schemeClr w14:val="tx1"/>
                  </w14:solidFill>
                </w14:textFill>
              </w:rPr>
            </w:pPr>
            <m:oMathPara>
              <m:oMath>
                <w:bookmarkStart w:id="28" w:name="OLE_LINK64"/>
                <m:r>
                  <m:rPr/>
                  <w:rPr>
                    <w:rFonts w:ascii="Cambria Math" w:hAnsi="Cambria Math" w:cs="Times New Roman"/>
                    <w:color w:val="000000" w:themeColor="text1"/>
                    <w:sz w:val="21"/>
                    <w14:textFill>
                      <w14:solidFill>
                        <w14:schemeClr w14:val="tx1"/>
                      </w14:solidFill>
                    </w14:textFill>
                  </w:rPr>
                  <m:t>t=</m:t>
                </m:r>
                <m:f>
                  <m:fPr>
                    <m:ctrlPr>
                      <w:rPr>
                        <w:rFonts w:ascii="Cambria Math" w:hAnsi="Cambria Math" w:cs="Times New Roman"/>
                        <w:i/>
                        <w:iCs/>
                        <w:color w:val="000000" w:themeColor="text1"/>
                        <w:sz w:val="21"/>
                        <w14:textFill>
                          <w14:solidFill>
                            <w14:schemeClr w14:val="tx1"/>
                          </w14:solidFill>
                        </w14:textFill>
                      </w:rPr>
                    </m:ctrlPr>
                  </m:fPr>
                  <m:num>
                    <m:sSub>
                      <m:sSubPr>
                        <m:ctrlPr>
                          <w:rPr>
                            <w:rFonts w:ascii="Cambria Math" w:hAnsi="Cambria Math" w:cs="Times New Roman"/>
                            <w:i/>
                            <w:iCs/>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D</m:t>
                        </m:r>
                        <m:ctrlPr>
                          <w:rPr>
                            <w:rFonts w:ascii="Cambria Math" w:hAnsi="Cambria Math" w:cs="Times New Roman"/>
                            <w:i/>
                            <w:iCs/>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O</m:t>
                        </m:r>
                        <m:ctrlPr>
                          <w:rPr>
                            <w:rFonts w:ascii="Cambria Math" w:hAnsi="Cambria Math" w:cs="Times New Roman"/>
                            <w:i/>
                            <w:iCs/>
                            <w:color w:val="000000" w:themeColor="text1"/>
                            <w:sz w:val="21"/>
                            <w14:textFill>
                              <w14:solidFill>
                                <w14:schemeClr w14:val="tx1"/>
                              </w14:solidFill>
                            </w14:textFill>
                          </w:rPr>
                        </m:ctrlPr>
                      </m:sub>
                    </m:sSub>
                    <m:ctrlPr>
                      <w:rPr>
                        <w:rFonts w:ascii="Cambria Math" w:hAnsi="Cambria Math" w:cs="Times New Roman"/>
                        <w:i/>
                        <w:iCs/>
                        <w:color w:val="000000" w:themeColor="text1"/>
                        <w:sz w:val="21"/>
                        <w14:textFill>
                          <w14:solidFill>
                            <w14:schemeClr w14:val="tx1"/>
                          </w14:solidFill>
                        </w14:textFill>
                      </w:rPr>
                    </m:ctrlPr>
                  </m:num>
                  <m:den>
                    <m:sSup>
                      <m:sSupPr>
                        <m:ctrlPr>
                          <w:rPr>
                            <w:rFonts w:ascii="Cambria Math" w:hAnsi="Cambria Math" w:cs="Times New Roman"/>
                            <w:i/>
                            <w:iCs/>
                            <w:color w:val="000000" w:themeColor="text1"/>
                            <w:sz w:val="21"/>
                            <w14:textFill>
                              <w14:solidFill>
                                <w14:schemeClr w14:val="tx1"/>
                              </w14:solidFill>
                            </w14:textFill>
                          </w:rPr>
                        </m:ctrlPr>
                      </m:sSupPr>
                      <m:e>
                        <m:d>
                          <m:dPr>
                            <m:begChr m:val="["/>
                            <m:endChr m:val="]"/>
                            <m:ctrlPr>
                              <w:rPr>
                                <w:rFonts w:ascii="Cambria Math" w:hAnsi="Cambria Math" w:cs="Times New Roman"/>
                                <w:i/>
                                <w:iCs/>
                                <w:color w:val="000000" w:themeColor="text1"/>
                                <w:sz w:val="21"/>
                                <w14:textFill>
                                  <w14:solidFill>
                                    <w14:schemeClr w14:val="tx1"/>
                                  </w14:solidFill>
                                </w14:textFill>
                              </w:rPr>
                            </m:ctrlPr>
                          </m:dPr>
                          <m:e>
                            <m:f>
                              <m:fPr>
                                <m:ctrlPr>
                                  <w:rPr>
                                    <w:rFonts w:ascii="Cambria Math" w:hAnsi="Cambria Math" w:cs="Times New Roman"/>
                                    <w:i/>
                                    <w:iCs/>
                                    <w:color w:val="000000" w:themeColor="text1"/>
                                    <w:sz w:val="21"/>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2K</m:t>
                                </m:r>
                                <m:sSub>
                                  <m:sSubPr>
                                    <m:ctrlPr>
                                      <w:rPr>
                                        <w:rFonts w:ascii="Cambria Math" w:hAnsi="Cambria Math" w:cs="Times New Roman"/>
                                        <w:i/>
                                        <w:iCs/>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E</m:t>
                                    </m:r>
                                    <m:ctrlPr>
                                      <w:rPr>
                                        <w:rFonts w:ascii="Cambria Math" w:hAnsi="Cambria Math" w:cs="Times New Roman"/>
                                        <w:i/>
                                        <w:iCs/>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L</m:t>
                                    </m:r>
                                    <m:ctrlPr>
                                      <w:rPr>
                                        <w:rFonts w:ascii="Cambria Math" w:hAnsi="Cambria Math" w:cs="Times New Roman"/>
                                        <w:i/>
                                        <w:iCs/>
                                        <w:color w:val="000000" w:themeColor="text1"/>
                                        <w:sz w:val="21"/>
                                        <w14:textFill>
                                          <w14:solidFill>
                                            <w14:schemeClr w14:val="tx1"/>
                                          </w14:solidFill>
                                        </w14:textFill>
                                      </w:rPr>
                                    </m:ctrlPr>
                                  </m:sub>
                                </m:sSub>
                                <m:r>
                                  <m:rPr/>
                                  <w:rPr>
                                    <w:rFonts w:ascii="Cambria Math" w:hAnsi="Cambria Math" w:cs="Times New Roman"/>
                                    <w:color w:val="000000" w:themeColor="text1"/>
                                    <w:sz w:val="21"/>
                                    <w14:textFill>
                                      <w14:solidFill>
                                        <w14:schemeClr w14:val="tx1"/>
                                      </w14:solidFill>
                                    </w14:textFill>
                                  </w:rPr>
                                  <m:t>C</m:t>
                                </m:r>
                                <m:ctrlPr>
                                  <w:rPr>
                                    <w:rFonts w:ascii="Cambria Math" w:hAnsi="Cambria Math" w:cs="Times New Roman"/>
                                    <w:i/>
                                    <w:iCs/>
                                    <w:color w:val="000000" w:themeColor="text1"/>
                                    <w:sz w:val="21"/>
                                    <w14:textFill>
                                      <w14:solidFill>
                                        <w14:schemeClr w14:val="tx1"/>
                                      </w14:solidFill>
                                    </w14:textFill>
                                  </w:rPr>
                                </m:ctrlPr>
                              </m:num>
                              <m:den>
                                <m:sSub>
                                  <m:sSubPr>
                                    <m:ctrlPr>
                                      <w:rPr>
                                        <w:rFonts w:ascii="Cambria Math" w:hAnsi="Cambria Math" w:cs="Times New Roman"/>
                                        <w:i/>
                                        <w:iCs/>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P</m:t>
                                    </m:r>
                                    <m:ctrlPr>
                                      <w:rPr>
                                        <w:rFonts w:ascii="Cambria Math" w:hAnsi="Cambria Math" w:cs="Times New Roman"/>
                                        <w:i/>
                                        <w:iCs/>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0</m:t>
                                    </m:r>
                                    <m:ctrlPr>
                                      <w:rPr>
                                        <w:rFonts w:ascii="Cambria Math" w:hAnsi="Cambria Math" w:cs="Times New Roman"/>
                                        <w:i/>
                                        <w:iCs/>
                                        <w:color w:val="000000" w:themeColor="text1"/>
                                        <w:sz w:val="21"/>
                                        <w14:textFill>
                                          <w14:solidFill>
                                            <w14:schemeClr w14:val="tx1"/>
                                          </w14:solidFill>
                                        </w14:textFill>
                                      </w:rPr>
                                    </m:ctrlPr>
                                  </m:sub>
                                </m:sSub>
                                <m:r>
                                  <m:rPr/>
                                  <w:rPr>
                                    <w:rFonts w:ascii="Cambria Math" w:hAnsi="Cambria Math" w:cs="Times New Roman"/>
                                    <w:color w:val="000000" w:themeColor="text1"/>
                                    <w:sz w:val="21"/>
                                    <w14:textFill>
                                      <w14:solidFill>
                                        <w14:schemeClr w14:val="tx1"/>
                                      </w14:solidFill>
                                    </w14:textFill>
                                  </w:rPr>
                                  <m:t>N</m:t>
                                </m:r>
                                <m:d>
                                  <m:dPr>
                                    <m:ctrlPr>
                                      <w:rPr>
                                        <w:rFonts w:ascii="Cambria Math" w:hAnsi="Cambria Math" w:cs="Times New Roman"/>
                                        <w:i/>
                                        <w:iCs/>
                                        <w:color w:val="000000" w:themeColor="text1"/>
                                        <w:sz w:val="21"/>
                                        <w14:textFill>
                                          <w14:solidFill>
                                            <w14:schemeClr w14:val="tx1"/>
                                          </w14:solidFill>
                                        </w14:textFill>
                                      </w:rPr>
                                    </m:ctrlPr>
                                  </m:dPr>
                                  <m:e>
                                    <m:r>
                                      <m:rPr/>
                                      <w:rPr>
                                        <w:rFonts w:ascii="Cambria Math" w:hAnsi="Cambria Math" w:cs="Times New Roman"/>
                                        <w:color w:val="000000" w:themeColor="text1"/>
                                        <w:sz w:val="21"/>
                                        <w14:textFill>
                                          <w14:solidFill>
                                            <w14:schemeClr w14:val="tx1"/>
                                          </w14:solidFill>
                                        </w14:textFill>
                                      </w:rPr>
                                      <m:t>1−</m:t>
                                    </m:r>
                                    <m:sSup>
                                      <m:sSupPr>
                                        <m:ctrlPr>
                                          <w:rPr>
                                            <w:rFonts w:ascii="Cambria Math" w:hAnsi="Cambria Math" w:cs="Times New Roman"/>
                                            <w:i/>
                                            <w:iCs/>
                                            <w:color w:val="000000" w:themeColor="text1"/>
                                            <w:sz w:val="21"/>
                                            <w14:textFill>
                                              <w14:solidFill>
                                                <w14:schemeClr w14:val="tx1"/>
                                              </w14:solidFill>
                                            </w14:textFill>
                                          </w:rPr>
                                        </m:ctrlPr>
                                      </m:sSupPr>
                                      <m:e>
                                        <m:r>
                                          <m:rPr/>
                                          <w:rPr>
                                            <w:rFonts w:ascii="Cambria Math" w:hAnsi="Cambria Math" w:cs="Times New Roman"/>
                                            <w:color w:val="000000" w:themeColor="text1"/>
                                            <w:sz w:val="21"/>
                                            <w14:textFill>
                                              <w14:solidFill>
                                                <w14:schemeClr w14:val="tx1"/>
                                              </w14:solidFill>
                                            </w14:textFill>
                                          </w:rPr>
                                          <m:t>μ</m:t>
                                        </m:r>
                                        <m:ctrlPr>
                                          <w:rPr>
                                            <w:rFonts w:ascii="Cambria Math" w:hAnsi="Cambria Math" w:cs="Times New Roman"/>
                                            <w:i/>
                                            <w:iCs/>
                                            <w:color w:val="000000" w:themeColor="text1"/>
                                            <w:sz w:val="21"/>
                                            <w14:textFill>
                                              <w14:solidFill>
                                                <w14:schemeClr w14:val="tx1"/>
                                              </w14:solidFill>
                                            </w14:textFill>
                                          </w:rPr>
                                        </m:ctrlPr>
                                      </m:e>
                                      <m:sup>
                                        <m:r>
                                          <m:rPr/>
                                          <w:rPr>
                                            <w:rFonts w:ascii="Cambria Math" w:hAnsi="Cambria Math" w:cs="Times New Roman"/>
                                            <w:color w:val="000000" w:themeColor="text1"/>
                                            <w:sz w:val="21"/>
                                            <w14:textFill>
                                              <w14:solidFill>
                                                <w14:schemeClr w14:val="tx1"/>
                                              </w14:solidFill>
                                            </w14:textFill>
                                          </w:rPr>
                                          <m:t>2</m:t>
                                        </m:r>
                                        <m:ctrlPr>
                                          <w:rPr>
                                            <w:rFonts w:ascii="Cambria Math" w:hAnsi="Cambria Math" w:cs="Times New Roman"/>
                                            <w:i/>
                                            <w:iCs/>
                                            <w:color w:val="000000" w:themeColor="text1"/>
                                            <w:sz w:val="21"/>
                                            <w14:textFill>
                                              <w14:solidFill>
                                                <w14:schemeClr w14:val="tx1"/>
                                              </w14:solidFill>
                                            </w14:textFill>
                                          </w:rPr>
                                        </m:ctrlPr>
                                      </m:sup>
                                    </m:sSup>
                                    <m:ctrlPr>
                                      <w:rPr>
                                        <w:rFonts w:ascii="Cambria Math" w:hAnsi="Cambria Math" w:cs="Times New Roman"/>
                                        <w:i/>
                                        <w:iCs/>
                                        <w:color w:val="000000" w:themeColor="text1"/>
                                        <w:sz w:val="21"/>
                                        <w14:textFill>
                                          <w14:solidFill>
                                            <w14:schemeClr w14:val="tx1"/>
                                          </w14:solidFill>
                                        </w14:textFill>
                                      </w:rPr>
                                    </m:ctrlPr>
                                  </m:e>
                                </m:d>
                                <m:ctrlPr>
                                  <w:rPr>
                                    <w:rFonts w:ascii="Cambria Math" w:hAnsi="Cambria Math" w:cs="Times New Roman"/>
                                    <w:i/>
                                    <w:iCs/>
                                    <w:color w:val="000000" w:themeColor="text1"/>
                                    <w:sz w:val="21"/>
                                    <w14:textFill>
                                      <w14:solidFill>
                                        <w14:schemeClr w14:val="tx1"/>
                                      </w14:solidFill>
                                    </w14:textFill>
                                  </w:rPr>
                                </m:ctrlPr>
                              </m:den>
                            </m:f>
                            <m:ctrlPr>
                              <w:rPr>
                                <w:rFonts w:ascii="Cambria Math" w:hAnsi="Cambria Math" w:cs="Times New Roman"/>
                                <w:i/>
                                <w:iCs/>
                                <w:color w:val="000000" w:themeColor="text1"/>
                                <w:sz w:val="21"/>
                                <w14:textFill>
                                  <w14:solidFill>
                                    <w14:schemeClr w14:val="tx1"/>
                                  </w14:solidFill>
                                </w14:textFill>
                              </w:rPr>
                            </m:ctrlPr>
                          </m:e>
                        </m:d>
                        <m:ctrlPr>
                          <w:rPr>
                            <w:rFonts w:ascii="Cambria Math" w:hAnsi="Cambria Math" w:cs="Times New Roman"/>
                            <w:i/>
                            <w:iCs/>
                            <w:color w:val="000000" w:themeColor="text1"/>
                            <w:sz w:val="21"/>
                            <w14:textFill>
                              <w14:solidFill>
                                <w14:schemeClr w14:val="tx1"/>
                              </w14:solidFill>
                            </w14:textFill>
                          </w:rPr>
                        </m:ctrlPr>
                      </m:e>
                      <m:sup>
                        <m:f>
                          <m:fPr>
                            <m:ctrlPr>
                              <w:rPr>
                                <w:rFonts w:ascii="Cambria Math" w:hAnsi="Cambria Math" w:cs="Times New Roman"/>
                                <w:i/>
                                <w:iCs/>
                                <w:color w:val="000000" w:themeColor="text1"/>
                                <w:sz w:val="21"/>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1</m:t>
                            </m:r>
                            <m:ctrlPr>
                              <w:rPr>
                                <w:rFonts w:ascii="Cambria Math" w:hAnsi="Cambria Math" w:cs="Times New Roman"/>
                                <w:i/>
                                <w:iCs/>
                                <w:color w:val="000000" w:themeColor="text1"/>
                                <w:sz w:val="21"/>
                                <w14:textFill>
                                  <w14:solidFill>
                                    <w14:schemeClr w14:val="tx1"/>
                                  </w14:solidFill>
                                </w14:textFill>
                              </w:rPr>
                            </m:ctrlPr>
                          </m:num>
                          <m:den>
                            <m:r>
                              <m:rPr/>
                              <w:rPr>
                                <w:rFonts w:ascii="Cambria Math" w:hAnsi="Cambria Math" w:cs="Times New Roman"/>
                                <w:color w:val="000000" w:themeColor="text1"/>
                                <w:sz w:val="21"/>
                                <w14:textFill>
                                  <w14:solidFill>
                                    <w14:schemeClr w14:val="tx1"/>
                                  </w14:solidFill>
                                </w14:textFill>
                              </w:rPr>
                              <m:t>3</m:t>
                            </m:r>
                            <m:ctrlPr>
                              <w:rPr>
                                <w:rFonts w:ascii="Cambria Math" w:hAnsi="Cambria Math" w:cs="Times New Roman"/>
                                <w:i/>
                                <w:iCs/>
                                <w:color w:val="000000" w:themeColor="text1"/>
                                <w:sz w:val="21"/>
                                <w14:textFill>
                                  <w14:solidFill>
                                    <w14:schemeClr w14:val="tx1"/>
                                  </w14:solidFill>
                                </w14:textFill>
                              </w:rPr>
                            </m:ctrlPr>
                          </m:den>
                        </m:f>
                        <m:ctrlPr>
                          <w:rPr>
                            <w:rFonts w:ascii="Cambria Math" w:hAnsi="Cambria Math" w:cs="Times New Roman"/>
                            <w:i/>
                            <w:iCs/>
                            <w:color w:val="000000" w:themeColor="text1"/>
                            <w:sz w:val="21"/>
                            <w14:textFill>
                              <w14:solidFill>
                                <w14:schemeClr w14:val="tx1"/>
                              </w14:solidFill>
                            </w14:textFill>
                          </w:rPr>
                        </m:ctrlPr>
                      </m:sup>
                    </m:sSup>
                    <m:r>
                      <m:rPr/>
                      <w:rPr>
                        <w:rFonts w:ascii="Cambria Math" w:hAnsi="Cambria Math" w:cs="Times New Roman"/>
                        <w:color w:val="000000" w:themeColor="text1"/>
                        <w:sz w:val="21"/>
                        <w14:textFill>
                          <w14:solidFill>
                            <w14:schemeClr w14:val="tx1"/>
                          </w14:solidFill>
                        </w14:textFill>
                      </w:rPr>
                      <m:t>+1</m:t>
                    </m:r>
                    <m:ctrlPr>
                      <w:rPr>
                        <w:rFonts w:ascii="Cambria Math" w:hAnsi="Cambria Math" w:cs="Times New Roman"/>
                        <w:i/>
                        <w:iCs/>
                        <w:color w:val="000000" w:themeColor="text1"/>
                        <w:sz w:val="21"/>
                        <w14:textFill>
                          <w14:solidFill>
                            <w14:schemeClr w14:val="tx1"/>
                          </w14:solidFill>
                        </w14:textFill>
                      </w:rPr>
                    </m:ctrlPr>
                  </m:den>
                </m:f>
              </m:oMath>
            </m:oMathPara>
          </w:p>
        </w:tc>
        <w:tc>
          <w:tcPr>
            <w:tcW w:w="1780" w:type="dxa"/>
            <w:tcBorders>
              <w:top w:val="nil"/>
              <w:left w:val="nil"/>
              <w:bottom w:val="nil"/>
              <w:right w:val="nil"/>
            </w:tcBorders>
          </w:tcPr>
          <w:p>
            <w:pPr>
              <w:ind w:firstLine="422"/>
              <w:jc w:val="right"/>
              <w:rPr>
                <w:rFonts w:cs="Times New Roman"/>
                <w:b/>
                <w:bCs/>
                <w:color w:val="000000" w:themeColor="text1"/>
                <w:sz w:val="21"/>
                <w14:textFill>
                  <w14:solidFill>
                    <w14:schemeClr w14:val="tx1"/>
                  </w14:solidFill>
                </w14:textFill>
              </w:rPr>
            </w:pPr>
            <w:r>
              <w:rPr>
                <w:rFonts w:cs="Times New Roman"/>
                <w:b/>
                <w:bCs/>
                <w:color w:val="000000" w:themeColor="text1"/>
                <w:sz w:val="21"/>
                <w14:textFill>
                  <w14:solidFill>
                    <w14:schemeClr w14:val="tx1"/>
                  </w14:solidFill>
                </w14:textFill>
              </w:rPr>
              <w:t>（</w:t>
            </w:r>
            <w:r>
              <w:rPr>
                <w:rFonts w:cs="Times New Roman"/>
                <w:b/>
                <w:bCs/>
                <w:color w:val="000000" w:themeColor="text1"/>
                <w:sz w:val="21"/>
                <w:lang w:eastAsia="zh-CN"/>
                <w14:textFill>
                  <w14:solidFill>
                    <w14:schemeClr w14:val="tx1"/>
                  </w14:solidFill>
                </w14:textFill>
              </w:rPr>
              <w:t>3</w:t>
            </w:r>
            <w:r>
              <w:rPr>
                <w:rFonts w:cs="Times New Roman"/>
                <w:b/>
                <w:bCs/>
                <w:color w:val="000000" w:themeColor="text1"/>
                <w:sz w:val="21"/>
                <w14:textFill>
                  <w14:solidFill>
                    <w14:schemeClr w14:val="tx1"/>
                  </w14:solidFill>
                </w14:textFill>
              </w:rPr>
              <w:t>.3.1-1）</w:t>
            </w:r>
          </w:p>
        </w:tc>
      </w:tr>
      <w:bookmarkEnd w:id="28"/>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377" w:type="dxa"/>
          </w:tcPr>
          <w:p>
            <w:pPr>
              <w:ind w:firstLine="420"/>
              <w:jc w:val="center"/>
              <w:rPr>
                <w:rFonts w:cs="Times New Roman"/>
                <w:i/>
                <w:iCs/>
                <w:color w:val="000000" w:themeColor="text1"/>
                <w:sz w:val="21"/>
                <w14:textFill>
                  <w14:solidFill>
                    <w14:schemeClr w14:val="tx1"/>
                  </w14:solidFill>
                </w14:textFill>
              </w:rPr>
            </w:pPr>
            <m:oMathPara>
              <m:oMath>
                <m:r>
                  <m:rPr/>
                  <w:rPr>
                    <w:rFonts w:ascii="Cambria Math" w:hAnsi="Cambria Math" w:cs="Times New Roman"/>
                    <w:color w:val="000000" w:themeColor="text1"/>
                    <w:sz w:val="21"/>
                    <w14:textFill>
                      <w14:solidFill>
                        <w14:schemeClr w14:val="tx1"/>
                      </w14:solidFill>
                    </w14:textFill>
                  </w:rPr>
                  <m:t>C=</m:t>
                </m:r>
                <m:sSup>
                  <m:sSupPr>
                    <m:ctrlPr>
                      <w:rPr>
                        <w:rFonts w:ascii="Cambria Math" w:hAnsi="Cambria Math" w:cs="Times New Roman"/>
                        <w:i/>
                        <w:iCs/>
                        <w:color w:val="000000" w:themeColor="text1"/>
                        <w:sz w:val="21"/>
                        <w14:textFill>
                          <w14:solidFill>
                            <w14:schemeClr w14:val="tx1"/>
                          </w14:solidFill>
                        </w14:textFill>
                      </w:rPr>
                    </m:ctrlPr>
                  </m:sSupPr>
                  <m:e>
                    <m:d>
                      <m:dPr>
                        <m:begChr m:val="["/>
                        <m:endChr m:val="]"/>
                        <m:ctrlPr>
                          <w:rPr>
                            <w:rFonts w:ascii="Cambria Math" w:hAnsi="Cambria Math" w:cs="Times New Roman"/>
                            <w:i/>
                            <w:iCs/>
                            <w:color w:val="000000" w:themeColor="text1"/>
                            <w:sz w:val="21"/>
                            <w14:textFill>
                              <w14:solidFill>
                                <w14:schemeClr w14:val="tx1"/>
                              </w14:solidFill>
                            </w14:textFill>
                          </w:rPr>
                        </m:ctrlPr>
                      </m:dPr>
                      <m:e>
                        <m:f>
                          <m:fPr>
                            <m:ctrlPr>
                              <w:rPr>
                                <w:rFonts w:ascii="Cambria Math" w:hAnsi="Cambria Math" w:cs="Times New Roman"/>
                                <w:i/>
                                <w:iCs/>
                                <w:color w:val="000000" w:themeColor="text1"/>
                                <w:sz w:val="21"/>
                                <w14:textFill>
                                  <w14:solidFill>
                                    <w14:schemeClr w14:val="tx1"/>
                                  </w14:solidFill>
                                </w14:textFill>
                              </w:rPr>
                            </m:ctrlPr>
                          </m:fPr>
                          <m:num>
                            <m:d>
                              <m:dPr>
                                <m:ctrlPr>
                                  <w:rPr>
                                    <w:rFonts w:ascii="Cambria Math" w:hAnsi="Cambria Math" w:cs="Times New Roman"/>
                                    <w:i/>
                                    <w:iCs/>
                                    <w:color w:val="000000" w:themeColor="text1"/>
                                    <w:sz w:val="21"/>
                                    <w14:textFill>
                                      <w14:solidFill>
                                        <w14:schemeClr w14:val="tx1"/>
                                      </w14:solidFill>
                                    </w14:textFill>
                                  </w:rPr>
                                </m:ctrlPr>
                              </m:dPr>
                              <m:e>
                                <m:r>
                                  <m:rPr/>
                                  <w:rPr>
                                    <w:rFonts w:ascii="Cambria Math" w:hAnsi="Cambria Math" w:cs="Times New Roman"/>
                                    <w:color w:val="000000" w:themeColor="text1"/>
                                    <w:sz w:val="21"/>
                                    <w14:textFill>
                                      <w14:solidFill>
                                        <w14:schemeClr w14:val="tx1"/>
                                      </w14:solidFill>
                                    </w14:textFill>
                                  </w:rPr>
                                  <m:t>1−q</m:t>
                                </m:r>
                                <m:ctrlPr>
                                  <w:rPr>
                                    <w:rFonts w:ascii="Cambria Math" w:hAnsi="Cambria Math" w:cs="Times New Roman"/>
                                    <w:i/>
                                    <w:iCs/>
                                    <w:color w:val="000000" w:themeColor="text1"/>
                                    <w:sz w:val="21"/>
                                    <w14:textFill>
                                      <w14:solidFill>
                                        <w14:schemeClr w14:val="tx1"/>
                                      </w14:solidFill>
                                    </w14:textFill>
                                  </w:rPr>
                                </m:ctrlPr>
                              </m:e>
                            </m:d>
                            <m:ctrlPr>
                              <w:rPr>
                                <w:rFonts w:ascii="Cambria Math" w:hAnsi="Cambria Math" w:cs="Times New Roman"/>
                                <w:i/>
                                <w:iCs/>
                                <w:color w:val="000000" w:themeColor="text1"/>
                                <w:sz w:val="21"/>
                                <w14:textFill>
                                  <w14:solidFill>
                                    <w14:schemeClr w14:val="tx1"/>
                                  </w14:solidFill>
                                </w14:textFill>
                              </w:rPr>
                            </m:ctrlPr>
                          </m:num>
                          <m:den>
                            <m:sSup>
                              <m:sSupPr>
                                <m:ctrlPr>
                                  <w:rPr>
                                    <w:rFonts w:ascii="Cambria Math" w:hAnsi="Cambria Math" w:cs="Times New Roman"/>
                                    <w:i/>
                                    <w:iCs/>
                                    <w:color w:val="000000" w:themeColor="text1"/>
                                    <w:sz w:val="21"/>
                                    <w14:textFill>
                                      <w14:solidFill>
                                        <w14:schemeClr w14:val="tx1"/>
                                      </w14:solidFill>
                                    </w14:textFill>
                                  </w:rPr>
                                </m:ctrlPr>
                              </m:sSupPr>
                              <m:e>
                                <m:d>
                                  <m:dPr>
                                    <m:ctrlPr>
                                      <w:rPr>
                                        <w:rFonts w:ascii="Cambria Math" w:hAnsi="Cambria Math" w:cs="Times New Roman"/>
                                        <w:i/>
                                        <w:iCs/>
                                        <w:color w:val="000000" w:themeColor="text1"/>
                                        <w:sz w:val="21"/>
                                        <w14:textFill>
                                          <w14:solidFill>
                                            <w14:schemeClr w14:val="tx1"/>
                                          </w14:solidFill>
                                        </w14:textFill>
                                      </w:rPr>
                                    </m:ctrlPr>
                                  </m:dPr>
                                  <m:e>
                                    <m:r>
                                      <m:rPr/>
                                      <w:rPr>
                                        <w:rFonts w:ascii="Cambria Math" w:hAnsi="Cambria Math" w:cs="Times New Roman"/>
                                        <w:color w:val="000000" w:themeColor="text1"/>
                                        <w:sz w:val="21"/>
                                        <w14:textFill>
                                          <w14:solidFill>
                                            <w14:schemeClr w14:val="tx1"/>
                                          </w14:solidFill>
                                        </w14:textFill>
                                      </w:rPr>
                                      <m:t>1+q</m:t>
                                    </m:r>
                                    <m:ctrlPr>
                                      <w:rPr>
                                        <w:rFonts w:ascii="Cambria Math" w:hAnsi="Cambria Math" w:cs="Times New Roman"/>
                                        <w:i/>
                                        <w:iCs/>
                                        <w:color w:val="000000" w:themeColor="text1"/>
                                        <w:sz w:val="21"/>
                                        <w14:textFill>
                                          <w14:solidFill>
                                            <w14:schemeClr w14:val="tx1"/>
                                          </w14:solidFill>
                                        </w14:textFill>
                                      </w:rPr>
                                    </m:ctrlPr>
                                  </m:e>
                                </m:d>
                                <m:ctrlPr>
                                  <w:rPr>
                                    <w:rFonts w:ascii="Cambria Math" w:hAnsi="Cambria Math" w:cs="Times New Roman"/>
                                    <w:i/>
                                    <w:iCs/>
                                    <w:color w:val="000000" w:themeColor="text1"/>
                                    <w:sz w:val="21"/>
                                    <w14:textFill>
                                      <w14:solidFill>
                                        <w14:schemeClr w14:val="tx1"/>
                                      </w14:solidFill>
                                    </w14:textFill>
                                  </w:rPr>
                                </m:ctrlPr>
                              </m:e>
                              <m:sup>
                                <m:r>
                                  <m:rPr/>
                                  <w:rPr>
                                    <w:rFonts w:ascii="Cambria Math" w:hAnsi="Cambria Math" w:cs="Times New Roman"/>
                                    <w:color w:val="000000" w:themeColor="text1"/>
                                    <w:sz w:val="21"/>
                                    <w14:textFill>
                                      <w14:solidFill>
                                        <w14:schemeClr w14:val="tx1"/>
                                      </w14:solidFill>
                                    </w14:textFill>
                                  </w:rPr>
                                  <m:t>2</m:t>
                                </m:r>
                                <m:ctrlPr>
                                  <w:rPr>
                                    <w:rFonts w:ascii="Cambria Math" w:hAnsi="Cambria Math" w:cs="Times New Roman"/>
                                    <w:i/>
                                    <w:iCs/>
                                    <w:color w:val="000000" w:themeColor="text1"/>
                                    <w:sz w:val="21"/>
                                    <w14:textFill>
                                      <w14:solidFill>
                                        <w14:schemeClr w14:val="tx1"/>
                                      </w14:solidFill>
                                    </w14:textFill>
                                  </w:rPr>
                                </m:ctrlPr>
                              </m:sup>
                            </m:sSup>
                            <m:ctrlPr>
                              <w:rPr>
                                <w:rFonts w:ascii="Cambria Math" w:hAnsi="Cambria Math" w:cs="Times New Roman"/>
                                <w:i/>
                                <w:iCs/>
                                <w:color w:val="000000" w:themeColor="text1"/>
                                <w:sz w:val="21"/>
                                <w14:textFill>
                                  <w14:solidFill>
                                    <w14:schemeClr w14:val="tx1"/>
                                  </w14:solidFill>
                                </w14:textFill>
                              </w:rPr>
                            </m:ctrlPr>
                          </m:den>
                        </m:f>
                        <m:ctrlPr>
                          <w:rPr>
                            <w:rFonts w:ascii="Cambria Math" w:hAnsi="Cambria Math" w:cs="Times New Roman"/>
                            <w:i/>
                            <w:iCs/>
                            <w:color w:val="000000" w:themeColor="text1"/>
                            <w:sz w:val="21"/>
                            <w14:textFill>
                              <w14:solidFill>
                                <w14:schemeClr w14:val="tx1"/>
                              </w14:solidFill>
                            </w14:textFill>
                          </w:rPr>
                        </m:ctrlPr>
                      </m:e>
                    </m:d>
                    <m:ctrlPr>
                      <w:rPr>
                        <w:rFonts w:ascii="Cambria Math" w:hAnsi="Cambria Math" w:cs="Times New Roman"/>
                        <w:i/>
                        <w:iCs/>
                        <w:color w:val="000000" w:themeColor="text1"/>
                        <w:sz w:val="21"/>
                        <w14:textFill>
                          <w14:solidFill>
                            <w14:schemeClr w14:val="tx1"/>
                          </w14:solidFill>
                        </w14:textFill>
                      </w:rPr>
                    </m:ctrlPr>
                  </m:e>
                  <m:sup>
                    <m:r>
                      <m:rPr/>
                      <w:rPr>
                        <w:rFonts w:ascii="Cambria Math" w:hAnsi="Cambria Math" w:cs="Times New Roman"/>
                        <w:color w:val="000000" w:themeColor="text1"/>
                        <w:sz w:val="21"/>
                        <w14:textFill>
                          <w14:solidFill>
                            <w14:schemeClr w14:val="tx1"/>
                          </w14:solidFill>
                        </w14:textFill>
                      </w:rPr>
                      <m:t>3</m:t>
                    </m:r>
                    <m:ctrlPr>
                      <w:rPr>
                        <w:rFonts w:ascii="Cambria Math" w:hAnsi="Cambria Math" w:cs="Times New Roman"/>
                        <w:i/>
                        <w:iCs/>
                        <w:color w:val="000000" w:themeColor="text1"/>
                        <w:sz w:val="21"/>
                        <w14:textFill>
                          <w14:solidFill>
                            <w14:schemeClr w14:val="tx1"/>
                          </w14:solidFill>
                        </w14:textFill>
                      </w:rPr>
                    </m:ctrlPr>
                  </m:sup>
                </m:sSup>
              </m:oMath>
            </m:oMathPara>
          </w:p>
        </w:tc>
        <w:tc>
          <w:tcPr>
            <w:tcW w:w="1780" w:type="dxa"/>
            <w:vAlign w:val="center"/>
          </w:tcPr>
          <w:p>
            <w:pPr>
              <w:ind w:firstLine="422"/>
              <w:jc w:val="right"/>
              <w:rPr>
                <w:rFonts w:cs="Times New Roman"/>
                <w:b/>
                <w:bCs/>
                <w:color w:val="000000" w:themeColor="text1"/>
                <w:sz w:val="21"/>
                <w14:textFill>
                  <w14:solidFill>
                    <w14:schemeClr w14:val="tx1"/>
                  </w14:solidFill>
                </w14:textFill>
              </w:rPr>
            </w:pPr>
            <w:r>
              <w:rPr>
                <w:rFonts w:cs="Times New Roman"/>
                <w:b/>
                <w:bCs/>
                <w:color w:val="000000" w:themeColor="text1"/>
                <w:sz w:val="21"/>
                <w14:textFill>
                  <w14:solidFill>
                    <w14:schemeClr w14:val="tx1"/>
                  </w14:solidFill>
                </w14:textFill>
              </w:rPr>
              <w:t>（</w:t>
            </w:r>
            <w:r>
              <w:rPr>
                <w:rFonts w:cs="Times New Roman"/>
                <w:b/>
                <w:bCs/>
                <w:color w:val="000000" w:themeColor="text1"/>
                <w:sz w:val="21"/>
                <w:lang w:eastAsia="zh-CN"/>
                <w14:textFill>
                  <w14:solidFill>
                    <w14:schemeClr w14:val="tx1"/>
                  </w14:solidFill>
                </w14:textFill>
              </w:rPr>
              <w:t>3</w:t>
            </w:r>
            <w:r>
              <w:rPr>
                <w:rFonts w:cs="Times New Roman"/>
                <w:b/>
                <w:bCs/>
                <w:color w:val="000000" w:themeColor="text1"/>
                <w:sz w:val="21"/>
                <w14:textFill>
                  <w14:solidFill>
                    <w14:schemeClr w14:val="tx1"/>
                  </w14:solidFill>
                </w14:textFill>
              </w:rPr>
              <w:t>.3.1-2）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377" w:type="dxa"/>
          </w:tcPr>
          <w:p>
            <w:pPr>
              <w:ind w:firstLine="420"/>
              <w:jc w:val="center"/>
              <w:rPr>
                <w:rFonts w:cs="Times New Roman"/>
                <w:i/>
                <w:iCs/>
                <w:color w:val="000000" w:themeColor="text1"/>
                <w:sz w:val="21"/>
                <w:lang w:eastAsia="zh-CN"/>
                <w14:textFill>
                  <w14:solidFill>
                    <w14:schemeClr w14:val="tx1"/>
                  </w14:solidFill>
                </w14:textFill>
              </w:rPr>
            </w:pPr>
            <m:oMath>
              <m:r>
                <m:rPr/>
                <w:rPr>
                  <w:rFonts w:ascii="Cambria Math" w:hAnsi="Cambria Math" w:cs="Times New Roman"/>
                  <w:color w:val="000000" w:themeColor="text1"/>
                  <w:sz w:val="21"/>
                  <w14:textFill>
                    <w14:solidFill>
                      <w14:schemeClr w14:val="tx1"/>
                    </w14:solidFill>
                  </w14:textFill>
                </w:rPr>
                <m:t>q=</m:t>
              </m:r>
              <m:f>
                <m:fPr>
                  <m:ctrlPr>
                    <w:rPr>
                      <w:rFonts w:ascii="Cambria Math" w:hAnsi="Cambria Math" w:cs="Times New Roman"/>
                      <w:i/>
                      <w:iCs/>
                      <w:color w:val="000000" w:themeColor="text1"/>
                      <w:sz w:val="21"/>
                      <w14:textFill>
                        <w14:solidFill>
                          <w14:schemeClr w14:val="tx1"/>
                        </w14:solidFill>
                      </w14:textFill>
                    </w:rPr>
                  </m:ctrlPr>
                </m:fPr>
                <m:num>
                  <m:sSub>
                    <m:sSubPr>
                      <m:ctrlPr>
                        <w:rPr>
                          <w:rFonts w:ascii="Cambria Math" w:hAnsi="Cambria Math" w:cs="Times New Roman"/>
                          <w:i/>
                          <w:iCs/>
                          <w:color w:val="000000" w:themeColor="text1"/>
                          <w:sz w:val="21"/>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D</m:t>
                      </m:r>
                      <m:ctrlPr>
                        <w:rPr>
                          <w:rFonts w:ascii="Cambria Math" w:hAnsi="Cambria Math" w:cs="Times New Roman"/>
                          <w:i/>
                          <w:iCs/>
                          <w:color w:val="000000" w:themeColor="text1"/>
                          <w:sz w:val="21"/>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E</m:t>
                      </m:r>
                      <m:ctrlPr>
                        <w:rPr>
                          <w:rFonts w:ascii="Cambria Math" w:hAnsi="Cambria Math" w:cs="Times New Roman"/>
                          <w:i/>
                          <w:iCs/>
                          <w:color w:val="000000" w:themeColor="text1"/>
                          <w:sz w:val="21"/>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m:t>
                  </m:r>
                  <m:sSub>
                    <m:sSubPr>
                      <m:ctrlPr>
                        <w:rPr>
                          <w:rFonts w:ascii="Cambria Math" w:hAnsi="Cambria Math" w:cs="Times New Roman"/>
                          <w:i/>
                          <w:iCs/>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D</m:t>
                      </m:r>
                      <m:ctrlPr>
                        <w:rPr>
                          <w:rFonts w:ascii="Cambria Math" w:hAnsi="Cambria Math" w:cs="Times New Roman"/>
                          <w:i/>
                          <w:iCs/>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min</m:t>
                      </m:r>
                      <m:ctrlPr>
                        <w:rPr>
                          <w:rFonts w:ascii="Cambria Math" w:hAnsi="Cambria Math" w:cs="Times New Roman"/>
                          <w:i/>
                          <w:iCs/>
                          <w:color w:val="000000" w:themeColor="text1"/>
                          <w:sz w:val="21"/>
                          <w:lang w:eastAsia="zh-CN"/>
                          <w14:textFill>
                            <w14:solidFill>
                              <w14:schemeClr w14:val="tx1"/>
                            </w14:solidFill>
                          </w14:textFill>
                        </w:rPr>
                      </m:ctrlPr>
                    </m:sub>
                  </m:sSub>
                  <m:ctrlPr>
                    <w:rPr>
                      <w:rFonts w:ascii="Cambria Math" w:hAnsi="Cambria Math" w:cs="Times New Roman"/>
                      <w:i/>
                      <w:iCs/>
                      <w:color w:val="000000" w:themeColor="text1"/>
                      <w:sz w:val="21"/>
                      <w14:textFill>
                        <w14:solidFill>
                          <w14:schemeClr w14:val="tx1"/>
                        </w14:solidFill>
                      </w14:textFill>
                    </w:rPr>
                  </m:ctrlPr>
                </m:num>
                <m:den>
                  <m:sSub>
                    <m:sSubPr>
                      <m:ctrlPr>
                        <w:rPr>
                          <w:rFonts w:ascii="Cambria Math" w:hAnsi="Cambria Math" w:cs="Times New Roman"/>
                          <w:i/>
                          <w:iCs/>
                          <w:color w:val="000000" w:themeColor="text1"/>
                          <w:sz w:val="21"/>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D</m:t>
                      </m:r>
                      <m:ctrlPr>
                        <w:rPr>
                          <w:rFonts w:ascii="Cambria Math" w:hAnsi="Cambria Math" w:cs="Times New Roman"/>
                          <w:i/>
                          <w:iCs/>
                          <w:color w:val="000000" w:themeColor="text1"/>
                          <w:sz w:val="21"/>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E</m:t>
                      </m:r>
                      <m:ctrlPr>
                        <w:rPr>
                          <w:rFonts w:ascii="Cambria Math" w:hAnsi="Cambria Math" w:cs="Times New Roman"/>
                          <w:i/>
                          <w:iCs/>
                          <w:color w:val="000000" w:themeColor="text1"/>
                          <w:sz w:val="21"/>
                          <w14:textFill>
                            <w14:solidFill>
                              <w14:schemeClr w14:val="tx1"/>
                            </w14:solidFill>
                          </w14:textFill>
                        </w:rPr>
                      </m:ctrlPr>
                    </m:sub>
                  </m:sSub>
                  <m:ctrlPr>
                    <w:rPr>
                      <w:rFonts w:ascii="Cambria Math" w:hAnsi="Cambria Math" w:cs="Times New Roman"/>
                      <w:i/>
                      <w:iCs/>
                      <w:color w:val="000000" w:themeColor="text1"/>
                      <w:sz w:val="21"/>
                      <w14:textFill>
                        <w14:solidFill>
                          <w14:schemeClr w14:val="tx1"/>
                        </w14:solidFill>
                      </w14:textFill>
                    </w:rPr>
                  </m:ctrlPr>
                </m:den>
              </m:f>
            </m:oMath>
            <w:r>
              <w:rPr>
                <w:rFonts w:cs="Times New Roman"/>
                <w:i/>
                <w:iCs/>
                <w:color w:val="000000" w:themeColor="text1"/>
                <w:sz w:val="21"/>
                <w:lang w:eastAsia="zh-CN"/>
                <w14:textFill>
                  <w14:solidFill>
                    <w14:schemeClr w14:val="tx1"/>
                  </w14:solidFill>
                </w14:textFill>
              </w:rPr>
              <w:t xml:space="preserve"> 或 </w:t>
            </w:r>
            <m:oMath>
              <m:r>
                <m:rPr/>
                <w:rPr>
                  <w:rFonts w:ascii="Cambria Math" w:hAnsi="Cambria Math" w:cs="Times New Roman"/>
                  <w:color w:val="000000" w:themeColor="text1"/>
                  <w:sz w:val="21"/>
                  <w14:textFill>
                    <w14:solidFill>
                      <w14:schemeClr w14:val="tx1"/>
                    </w14:solidFill>
                  </w14:textFill>
                </w:rPr>
                <m:t>q=</m:t>
              </m:r>
              <m:f>
                <m:fPr>
                  <m:ctrlPr>
                    <w:rPr>
                      <w:rFonts w:ascii="Cambria Math" w:hAnsi="Cambria Math" w:cs="Times New Roman"/>
                      <w:i/>
                      <w:iCs/>
                      <w:color w:val="000000" w:themeColor="text1"/>
                      <w:sz w:val="21"/>
                      <w14:textFill>
                        <w14:solidFill>
                          <w14:schemeClr w14:val="tx1"/>
                        </w14:solidFill>
                      </w14:textFill>
                    </w:rPr>
                  </m:ctrlPr>
                </m:fPr>
                <m:num>
                  <m:sSub>
                    <m:sSubPr>
                      <m:ctrlPr>
                        <w:rPr>
                          <w:rFonts w:ascii="Cambria Math" w:hAnsi="Cambria Math" w:cs="Times New Roman"/>
                          <w:i/>
                          <w:iCs/>
                          <w:color w:val="000000" w:themeColor="text1"/>
                          <w:sz w:val="21"/>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D</m:t>
                      </m:r>
                      <m:ctrlPr>
                        <w:rPr>
                          <w:rFonts w:ascii="Cambria Math" w:hAnsi="Cambria Math" w:cs="Times New Roman"/>
                          <w:i/>
                          <w:iCs/>
                          <w:color w:val="000000" w:themeColor="text1"/>
                          <w:sz w:val="21"/>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max</m:t>
                      </m:r>
                      <m:ctrlPr>
                        <w:rPr>
                          <w:rFonts w:ascii="Cambria Math" w:hAnsi="Cambria Math" w:cs="Times New Roman"/>
                          <w:i/>
                          <w:iCs/>
                          <w:color w:val="000000" w:themeColor="text1"/>
                          <w:sz w:val="21"/>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m:t>
                  </m:r>
                  <m:sSub>
                    <m:sSubPr>
                      <m:ctrlPr>
                        <w:rPr>
                          <w:rFonts w:ascii="Cambria Math" w:hAnsi="Cambria Math" w:cs="Times New Roman"/>
                          <w:i/>
                          <w:iCs/>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D</m:t>
                      </m:r>
                      <m:ctrlPr>
                        <w:rPr>
                          <w:rFonts w:ascii="Cambria Math" w:hAnsi="Cambria Math" w:cs="Times New Roman"/>
                          <w:i/>
                          <w:iCs/>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E</m:t>
                      </m:r>
                      <m:ctrlPr>
                        <w:rPr>
                          <w:rFonts w:ascii="Cambria Math" w:hAnsi="Cambria Math" w:cs="Times New Roman"/>
                          <w:i/>
                          <w:iCs/>
                          <w:color w:val="000000" w:themeColor="text1"/>
                          <w:sz w:val="21"/>
                          <w:lang w:eastAsia="zh-CN"/>
                          <w14:textFill>
                            <w14:solidFill>
                              <w14:schemeClr w14:val="tx1"/>
                            </w14:solidFill>
                          </w14:textFill>
                        </w:rPr>
                      </m:ctrlPr>
                    </m:sub>
                  </m:sSub>
                  <m:ctrlPr>
                    <w:rPr>
                      <w:rFonts w:ascii="Cambria Math" w:hAnsi="Cambria Math" w:cs="Times New Roman"/>
                      <w:i/>
                      <w:iCs/>
                      <w:color w:val="000000" w:themeColor="text1"/>
                      <w:sz w:val="21"/>
                      <w14:textFill>
                        <w14:solidFill>
                          <w14:schemeClr w14:val="tx1"/>
                        </w14:solidFill>
                      </w14:textFill>
                    </w:rPr>
                  </m:ctrlPr>
                </m:num>
                <m:den>
                  <m:sSub>
                    <m:sSubPr>
                      <m:ctrlPr>
                        <w:rPr>
                          <w:rFonts w:ascii="Cambria Math" w:hAnsi="Cambria Math" w:cs="Times New Roman"/>
                          <w:i/>
                          <w:iCs/>
                          <w:color w:val="000000" w:themeColor="text1"/>
                          <w:sz w:val="21"/>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D</m:t>
                      </m:r>
                      <m:ctrlPr>
                        <w:rPr>
                          <w:rFonts w:ascii="Cambria Math" w:hAnsi="Cambria Math" w:cs="Times New Roman"/>
                          <w:i/>
                          <w:iCs/>
                          <w:color w:val="000000" w:themeColor="text1"/>
                          <w:sz w:val="21"/>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E</m:t>
                      </m:r>
                      <m:ctrlPr>
                        <w:rPr>
                          <w:rFonts w:ascii="Cambria Math" w:hAnsi="Cambria Math" w:cs="Times New Roman"/>
                          <w:i/>
                          <w:iCs/>
                          <w:color w:val="000000" w:themeColor="text1"/>
                          <w:sz w:val="21"/>
                          <w14:textFill>
                            <w14:solidFill>
                              <w14:schemeClr w14:val="tx1"/>
                            </w14:solidFill>
                          </w14:textFill>
                        </w:rPr>
                      </m:ctrlPr>
                    </m:sub>
                  </m:sSub>
                  <m:ctrlPr>
                    <w:rPr>
                      <w:rFonts w:ascii="Cambria Math" w:hAnsi="Cambria Math" w:cs="Times New Roman"/>
                      <w:i/>
                      <w:iCs/>
                      <w:color w:val="000000" w:themeColor="text1"/>
                      <w:sz w:val="21"/>
                      <w14:textFill>
                        <w14:solidFill>
                          <w14:schemeClr w14:val="tx1"/>
                        </w14:solidFill>
                      </w14:textFill>
                    </w:rPr>
                  </m:ctrlPr>
                </m:den>
              </m:f>
            </m:oMath>
          </w:p>
        </w:tc>
        <w:tc>
          <w:tcPr>
            <w:tcW w:w="1780" w:type="dxa"/>
            <w:vAlign w:val="center"/>
          </w:tcPr>
          <w:p>
            <w:pPr>
              <w:ind w:firstLine="422"/>
              <w:jc w:val="right"/>
              <w:rPr>
                <w:rFonts w:cs="Times New Roman"/>
                <w:b/>
                <w:bCs/>
                <w:color w:val="000000" w:themeColor="text1"/>
                <w:sz w:val="21"/>
                <w14:textFill>
                  <w14:solidFill>
                    <w14:schemeClr w14:val="tx1"/>
                  </w14:solidFill>
                </w14:textFill>
              </w:rPr>
            </w:pPr>
            <w:r>
              <w:rPr>
                <w:rFonts w:cs="Times New Roman"/>
                <w:b/>
                <w:bCs/>
                <w:color w:val="000000" w:themeColor="text1"/>
                <w:sz w:val="21"/>
                <w14:textFill>
                  <w14:solidFill>
                    <w14:schemeClr w14:val="tx1"/>
                  </w14:solidFill>
                </w14:textFill>
              </w:rPr>
              <w:t>（</w:t>
            </w:r>
            <w:r>
              <w:rPr>
                <w:rFonts w:cs="Times New Roman"/>
                <w:b/>
                <w:bCs/>
                <w:color w:val="000000" w:themeColor="text1"/>
                <w:sz w:val="21"/>
                <w:lang w:eastAsia="zh-CN"/>
                <w14:textFill>
                  <w14:solidFill>
                    <w14:schemeClr w14:val="tx1"/>
                  </w14:solidFill>
                </w14:textFill>
              </w:rPr>
              <w:t>3</w:t>
            </w:r>
            <w:r>
              <w:rPr>
                <w:rFonts w:cs="Times New Roman"/>
                <w:b/>
                <w:bCs/>
                <w:color w:val="000000" w:themeColor="text1"/>
                <w:sz w:val="21"/>
                <w14:textFill>
                  <w14:solidFill>
                    <w14:schemeClr w14:val="tx1"/>
                  </w14:solidFill>
                </w14:textFill>
              </w:rPr>
              <w:t>.3.1-3）</w:t>
            </w:r>
          </w:p>
        </w:tc>
      </w:tr>
    </w:tbl>
    <w:p>
      <w:pPr>
        <w:ind w:firstLine="361"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式中：t —— 内衬管壁厚（mm）；</w:t>
      </w:r>
    </w:p>
    <w:p>
      <w:pPr>
        <w:ind w:left="57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Do——内衬管外径（mm）；</w:t>
      </w:r>
    </w:p>
    <w:p>
      <w:pPr>
        <w:ind w:left="301" w:firstLine="688" w:firstLineChars="328"/>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K——圆周支持率，可取7.0；</w:t>
      </w:r>
    </w:p>
    <w:p>
      <w:pPr>
        <w:ind w:left="301" w:firstLine="688" w:firstLineChars="328"/>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E₁——内衬管的长期弹性模量（MPa），宜取初始模量的50%;</w:t>
      </w:r>
    </w:p>
    <w:p>
      <w:pPr>
        <w:ind w:left="301" w:firstLine="688" w:firstLineChars="328"/>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P₀——内衬管管中心地下水压力（MPa）;</w:t>
      </w:r>
    </w:p>
    <w:p>
      <w:pPr>
        <w:ind w:left="301" w:firstLine="688" w:firstLineChars="328"/>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C——椭圆度折减因子；</w:t>
      </w:r>
    </w:p>
    <w:p>
      <w:pPr>
        <w:ind w:left="301" w:firstLine="688" w:firstLineChars="328"/>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q——内衬管道的椭圆度；</w:t>
      </w:r>
    </w:p>
    <w:p>
      <w:pPr>
        <w:ind w:left="511" w:firstLine="478" w:firstLineChars="228"/>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N——安全系数，推荐取2.0;</w:t>
      </w:r>
    </w:p>
    <w:p>
      <w:pPr>
        <w:ind w:left="511" w:firstLine="478" w:firstLineChars="228"/>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μ——泊松比，取0.3;</w:t>
      </w:r>
    </w:p>
    <w:p>
      <w:pPr>
        <w:ind w:left="511" w:firstLine="478" w:firstLineChars="228"/>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E</w:t>
      </w:r>
      <w:r>
        <w:rPr>
          <w:rFonts w:cs="Times New Roman"/>
          <w:color w:val="000000" w:themeColor="text1"/>
          <w:sz w:val="21"/>
          <w:lang w:eastAsia="zh-CN"/>
          <w14:textFill>
            <w14:solidFill>
              <w14:schemeClr w14:val="tx1"/>
            </w14:solidFill>
          </w14:textFill>
        </w:rPr>
        <w:t>——原有管道的平均内径（mm）;</w:t>
      </w:r>
    </w:p>
    <w:p>
      <w:pPr>
        <w:ind w:left="511" w:firstLine="478" w:firstLineChars="228"/>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max</w:t>
      </w:r>
      <w:r>
        <w:rPr>
          <w:rFonts w:cs="Times New Roman"/>
          <w:color w:val="000000" w:themeColor="text1"/>
          <w:sz w:val="21"/>
          <w:lang w:eastAsia="zh-CN"/>
          <w14:textFill>
            <w14:solidFill>
              <w14:schemeClr w14:val="tx1"/>
            </w14:solidFill>
          </w14:textFill>
        </w:rPr>
        <w:t>——原有管道的最大内径（mm）;</w:t>
      </w:r>
    </w:p>
    <w:p>
      <w:pPr>
        <w:ind w:left="511" w:firstLine="478" w:firstLineChars="228"/>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min</w:t>
      </w:r>
      <w:r>
        <w:rPr>
          <w:rFonts w:cs="Times New Roman"/>
          <w:color w:val="000000" w:themeColor="text1"/>
          <w:sz w:val="21"/>
          <w:lang w:eastAsia="zh-CN"/>
          <w14:textFill>
            <w14:solidFill>
              <w14:schemeClr w14:val="tx1"/>
            </w14:solidFill>
          </w14:textFill>
        </w:rPr>
        <w:t>——原有管道的最小内径（mm）。</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当采用短管内衬法时，内衬管刚度应满足下列公式要求：</w:t>
      </w:r>
    </w:p>
    <w:tbl>
      <w:tblPr>
        <w:tblStyle w:val="1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5377"/>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tcBorders>
              <w:top w:val="nil"/>
              <w:left w:val="nil"/>
              <w:bottom w:val="nil"/>
              <w:right w:val="nil"/>
            </w:tcBorders>
          </w:tcPr>
          <w:p>
            <w:pPr>
              <w:ind w:firstLine="420"/>
              <w:rPr>
                <w:rFonts w:cs="Times New Roman"/>
                <w:color w:val="000000" w:themeColor="text1"/>
                <w:sz w:val="21"/>
                <w:lang w:eastAsia="zh-CN"/>
                <w14:textFill>
                  <w14:solidFill>
                    <w14:schemeClr w14:val="tx1"/>
                  </w14:solidFill>
                </w14:textFill>
              </w:rPr>
            </w:pPr>
          </w:p>
        </w:tc>
        <w:tc>
          <w:tcPr>
            <w:tcW w:w="5377" w:type="dxa"/>
            <w:tcBorders>
              <w:top w:val="nil"/>
              <w:left w:val="nil"/>
              <w:bottom w:val="nil"/>
              <w:right w:val="nil"/>
            </w:tcBorders>
          </w:tcPr>
          <w:p>
            <w:pPr>
              <w:ind w:firstLine="420"/>
              <w:jc w:val="center"/>
              <w:rPr>
                <w:rFonts w:asciiTheme="minorHAnsi" w:hAnsiTheme="minorHAnsi" w:cstheme="minorHAnsi"/>
                <w:i/>
                <w:iCs/>
                <w:color w:val="000000" w:themeColor="text1"/>
                <w:sz w:val="21"/>
                <w:lang w:eastAsia="zh-CN"/>
                <w14:textFill>
                  <w14:solidFill>
                    <w14:schemeClr w14:val="tx1"/>
                  </w14:solidFill>
                </w14:textFill>
              </w:rPr>
            </w:pPr>
            <m:oMath>
              <m:f>
                <m:fPr>
                  <m:ctrlPr>
                    <w:rPr>
                      <w:rFonts w:ascii="Cambria Math" w:hAnsi="Cambria Math" w:cs="Times New Roman"/>
                      <w:i/>
                      <w:iCs/>
                      <w:color w:val="000000" w:themeColor="text1"/>
                      <w:sz w:val="21"/>
                      <w14:textFill>
                        <w14:solidFill>
                          <w14:schemeClr w14:val="tx1"/>
                        </w14:solidFill>
                      </w14:textFill>
                    </w:rPr>
                  </m:ctrlPr>
                </m:fPr>
                <m:num>
                  <m:sSub>
                    <m:sSubPr>
                      <m:ctrlPr>
                        <w:rPr>
                          <w:rFonts w:ascii="Cambria Math" w:hAnsi="Cambria Math" w:cs="Times New Roman"/>
                          <w:i/>
                          <w:iCs/>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E</m:t>
                      </m:r>
                      <m:ctrlPr>
                        <w:rPr>
                          <w:rFonts w:ascii="Cambria Math" w:hAnsi="Cambria Math" w:cs="Times New Roman"/>
                          <w:i/>
                          <w:iCs/>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L</m:t>
                      </m:r>
                      <m:ctrlPr>
                        <w:rPr>
                          <w:rFonts w:ascii="Cambria Math" w:hAnsi="Cambria Math" w:cs="Times New Roman"/>
                          <w:i/>
                          <w:iCs/>
                          <w:color w:val="000000" w:themeColor="text1"/>
                          <w:sz w:val="21"/>
                          <w14:textFill>
                            <w14:solidFill>
                              <w14:schemeClr w14:val="tx1"/>
                            </w14:solidFill>
                          </w14:textFill>
                        </w:rPr>
                      </m:ctrlPr>
                    </m:sub>
                  </m:sSub>
                  <m:r>
                    <m:rPr/>
                    <w:rPr>
                      <w:rFonts w:ascii="Cambria Math" w:hAnsi="Cambria Math" w:cs="Times New Roman"/>
                      <w:color w:val="000000" w:themeColor="text1"/>
                      <w:sz w:val="21"/>
                      <w14:textFill>
                        <w14:solidFill>
                          <w14:schemeClr w14:val="tx1"/>
                        </w14:solidFill>
                      </w14:textFill>
                    </w:rPr>
                    <m:t>·I</m:t>
                  </m:r>
                  <m:ctrlPr>
                    <w:rPr>
                      <w:rFonts w:ascii="Cambria Math" w:hAnsi="Cambria Math" w:cs="Times New Roman"/>
                      <w:i/>
                      <w:iCs/>
                      <w:color w:val="000000" w:themeColor="text1"/>
                      <w:sz w:val="21"/>
                      <w14:textFill>
                        <w14:solidFill>
                          <w14:schemeClr w14:val="tx1"/>
                        </w14:solidFill>
                      </w14:textFill>
                    </w:rPr>
                  </m:ctrlPr>
                </m:num>
                <m:den>
                  <m:sSub>
                    <m:sSubPr>
                      <m:ctrlPr>
                        <w:rPr>
                          <w:rFonts w:ascii="Cambria Math" w:hAnsi="Cambria Math" w:cs="Times New Roman"/>
                          <w:i/>
                          <w:iCs/>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γ</m:t>
                      </m:r>
                      <m:ctrlPr>
                        <w:rPr>
                          <w:rFonts w:ascii="Cambria Math" w:hAnsi="Cambria Math" w:cs="Times New Roman"/>
                          <w:i/>
                          <w:iCs/>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0</m:t>
                      </m:r>
                      <m:ctrlPr>
                        <w:rPr>
                          <w:rFonts w:ascii="Cambria Math" w:hAnsi="Cambria Math" w:cs="Times New Roman"/>
                          <w:i/>
                          <w:iCs/>
                          <w:color w:val="000000" w:themeColor="text1"/>
                          <w:sz w:val="21"/>
                          <w14:textFill>
                            <w14:solidFill>
                              <w14:schemeClr w14:val="tx1"/>
                            </w14:solidFill>
                          </w14:textFill>
                        </w:rPr>
                      </m:ctrlPr>
                    </m:sub>
                  </m:sSub>
                  <m:ctrlPr>
                    <w:rPr>
                      <w:rFonts w:ascii="Cambria Math" w:hAnsi="Cambria Math" w:cs="Times New Roman"/>
                      <w:i/>
                      <w:iCs/>
                      <w:color w:val="000000" w:themeColor="text1"/>
                      <w:sz w:val="21"/>
                      <w14:textFill>
                        <w14:solidFill>
                          <w14:schemeClr w14:val="tx1"/>
                        </w14:solidFill>
                      </w14:textFill>
                    </w:rPr>
                  </m:ctrlPr>
                </m:den>
              </m:f>
            </m:oMath>
            <w:r>
              <w:rPr>
                <w:rFonts w:ascii="Cambria Math" w:hAnsi="Cambria Math" w:cs="Times New Roman"/>
                <w:i/>
                <w:iCs/>
                <w:color w:val="000000" w:themeColor="text1"/>
                <w:sz w:val="21"/>
                <w14:textFill>
                  <w14:solidFill>
                    <w14:schemeClr w14:val="tx1"/>
                  </w14:solidFill>
                </w14:textFill>
              </w:rPr>
              <w:t>≥</w:t>
            </w:r>
            <m:oMath>
              <m:f>
                <m:fPr>
                  <m:ctrlPr>
                    <w:rPr>
                      <w:rFonts w:ascii="Cambria Math" w:hAnsi="Cambria Math" w:cs="Times New Roman"/>
                      <w:i/>
                      <w:iCs/>
                      <w:color w:val="000000" w:themeColor="text1"/>
                      <w:sz w:val="21"/>
                      <w14:textFill>
                        <w14:solidFill>
                          <w14:schemeClr w14:val="tx1"/>
                        </w14:solidFill>
                      </w14:textFill>
                    </w:rPr>
                  </m:ctrlPr>
                </m:fPr>
                <m:num>
                  <m:sSub>
                    <m:sSubPr>
                      <m:ctrlPr>
                        <w:rPr>
                          <w:rFonts w:ascii="Cambria Math" w:hAnsi="Cambria Math" w:cs="Times New Roman"/>
                          <w:i/>
                          <w:iCs/>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P</m:t>
                      </m:r>
                      <m:ctrlPr>
                        <w:rPr>
                          <w:rFonts w:ascii="Cambria Math" w:hAnsi="Cambria Math" w:cs="Times New Roman"/>
                          <w:i/>
                          <w:iCs/>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0</m:t>
                      </m:r>
                      <m:ctrlPr>
                        <w:rPr>
                          <w:rFonts w:ascii="Cambria Math" w:hAnsi="Cambria Math" w:cs="Times New Roman"/>
                          <w:i/>
                          <w:iCs/>
                          <w:color w:val="000000" w:themeColor="text1"/>
                          <w:sz w:val="21"/>
                          <w14:textFill>
                            <w14:solidFill>
                              <w14:schemeClr w14:val="tx1"/>
                            </w14:solidFill>
                          </w14:textFill>
                        </w:rPr>
                      </m:ctrlPr>
                    </m:sub>
                  </m:sSub>
                  <m:d>
                    <m:dPr>
                      <m:ctrlPr>
                        <w:rPr>
                          <w:rFonts w:ascii="Cambria Math" w:hAnsi="Cambria Math" w:cs="Times New Roman"/>
                          <w:i/>
                          <w:iCs/>
                          <w:color w:val="000000" w:themeColor="text1"/>
                          <w:sz w:val="21"/>
                          <w14:textFill>
                            <w14:solidFill>
                              <w14:schemeClr w14:val="tx1"/>
                            </w14:solidFill>
                          </w14:textFill>
                        </w:rPr>
                      </m:ctrlPr>
                    </m:dPr>
                    <m:e>
                      <m:r>
                        <m:rPr/>
                        <w:rPr>
                          <w:rFonts w:ascii="Cambria Math" w:hAnsi="Cambria Math" w:cs="Times New Roman"/>
                          <w:color w:val="000000" w:themeColor="text1"/>
                          <w:sz w:val="21"/>
                          <w14:textFill>
                            <w14:solidFill>
                              <w14:schemeClr w14:val="tx1"/>
                            </w14:solidFill>
                          </w14:textFill>
                        </w:rPr>
                        <m:t>1−</m:t>
                      </m:r>
                      <m:sSup>
                        <m:sSupPr>
                          <m:ctrlPr>
                            <w:rPr>
                              <w:rFonts w:ascii="Cambria Math" w:hAnsi="Cambria Math" w:cs="Times New Roman"/>
                              <w:i/>
                              <w:iCs/>
                              <w:color w:val="000000" w:themeColor="text1"/>
                              <w:sz w:val="21"/>
                              <w14:textFill>
                                <w14:solidFill>
                                  <w14:schemeClr w14:val="tx1"/>
                                </w14:solidFill>
                              </w14:textFill>
                            </w:rPr>
                          </m:ctrlPr>
                        </m:sSupPr>
                        <m:e>
                          <m:r>
                            <m:rPr/>
                            <w:rPr>
                              <w:rFonts w:ascii="Cambria Math" w:hAnsi="Cambria Math" w:cs="Times New Roman"/>
                              <w:color w:val="000000" w:themeColor="text1"/>
                              <w:sz w:val="21"/>
                              <w14:textFill>
                                <w14:solidFill>
                                  <w14:schemeClr w14:val="tx1"/>
                                </w14:solidFill>
                              </w14:textFill>
                            </w:rPr>
                            <m:t>μ</m:t>
                          </m:r>
                          <m:ctrlPr>
                            <w:rPr>
                              <w:rFonts w:ascii="Cambria Math" w:hAnsi="Cambria Math" w:cs="Times New Roman"/>
                              <w:i/>
                              <w:iCs/>
                              <w:color w:val="000000" w:themeColor="text1"/>
                              <w:sz w:val="21"/>
                              <w14:textFill>
                                <w14:solidFill>
                                  <w14:schemeClr w14:val="tx1"/>
                                </w14:solidFill>
                              </w14:textFill>
                            </w:rPr>
                          </m:ctrlPr>
                        </m:e>
                        <m:sup>
                          <m:r>
                            <m:rPr/>
                            <w:rPr>
                              <w:rFonts w:ascii="Cambria Math" w:hAnsi="Cambria Math" w:cs="Times New Roman"/>
                              <w:color w:val="000000" w:themeColor="text1"/>
                              <w:sz w:val="21"/>
                              <w14:textFill>
                                <w14:solidFill>
                                  <w14:schemeClr w14:val="tx1"/>
                                </w14:solidFill>
                              </w14:textFill>
                            </w:rPr>
                            <m:t>2</m:t>
                          </m:r>
                          <m:ctrlPr>
                            <w:rPr>
                              <w:rFonts w:ascii="Cambria Math" w:hAnsi="Cambria Math" w:cs="Times New Roman"/>
                              <w:i/>
                              <w:iCs/>
                              <w:color w:val="000000" w:themeColor="text1"/>
                              <w:sz w:val="21"/>
                              <w14:textFill>
                                <w14:solidFill>
                                  <w14:schemeClr w14:val="tx1"/>
                                </w14:solidFill>
                              </w14:textFill>
                            </w:rPr>
                          </m:ctrlPr>
                        </m:sup>
                      </m:sSup>
                      <m:ctrlPr>
                        <w:rPr>
                          <w:rFonts w:ascii="Cambria Math" w:hAnsi="Cambria Math" w:cs="Times New Roman"/>
                          <w:i/>
                          <w:iCs/>
                          <w:color w:val="000000" w:themeColor="text1"/>
                          <w:sz w:val="21"/>
                          <w14:textFill>
                            <w14:solidFill>
                              <w14:schemeClr w14:val="tx1"/>
                            </w14:solidFill>
                          </w14:textFill>
                        </w:rPr>
                      </m:ctrlPr>
                    </m:e>
                  </m:d>
                  <m:sSup>
                    <m:sSupPr>
                      <m:ctrlPr>
                        <w:rPr>
                          <w:rFonts w:ascii="Cambria Math" w:hAnsi="Cambria Math" w:cs="Times New Roman"/>
                          <w:i/>
                          <w:iCs/>
                          <w:color w:val="000000" w:themeColor="text1"/>
                          <w:sz w:val="21"/>
                          <w14:textFill>
                            <w14:solidFill>
                              <w14:schemeClr w14:val="tx1"/>
                            </w14:solidFill>
                          </w14:textFill>
                        </w:rPr>
                      </m:ctrlPr>
                    </m:sSupPr>
                    <m:e>
                      <m:r>
                        <m:rPr/>
                        <w:rPr>
                          <w:rFonts w:ascii="Cambria Math" w:hAnsi="Cambria Math" w:cs="Times New Roman"/>
                          <w:color w:val="000000" w:themeColor="text1"/>
                          <w:sz w:val="21"/>
                          <w14:textFill>
                            <w14:solidFill>
                              <w14:schemeClr w14:val="tx1"/>
                            </w14:solidFill>
                          </w14:textFill>
                        </w:rPr>
                        <m:t>D</m:t>
                      </m:r>
                      <m:ctrlPr>
                        <w:rPr>
                          <w:rFonts w:ascii="Cambria Math" w:hAnsi="Cambria Math" w:cs="Times New Roman"/>
                          <w:i/>
                          <w:iCs/>
                          <w:color w:val="000000" w:themeColor="text1"/>
                          <w:sz w:val="21"/>
                          <w14:textFill>
                            <w14:solidFill>
                              <w14:schemeClr w14:val="tx1"/>
                            </w14:solidFill>
                          </w14:textFill>
                        </w:rPr>
                      </m:ctrlPr>
                    </m:e>
                    <m:sup>
                      <m:r>
                        <m:rPr/>
                        <w:rPr>
                          <w:rFonts w:ascii="Cambria Math" w:hAnsi="Cambria Math" w:cs="Times New Roman"/>
                          <w:color w:val="000000" w:themeColor="text1"/>
                          <w:sz w:val="21"/>
                          <w14:textFill>
                            <w14:solidFill>
                              <w14:schemeClr w14:val="tx1"/>
                            </w14:solidFill>
                          </w14:textFill>
                        </w:rPr>
                        <m:t>3</m:t>
                      </m:r>
                      <m:ctrlPr>
                        <w:rPr>
                          <w:rFonts w:ascii="Cambria Math" w:hAnsi="Cambria Math" w:cs="Times New Roman"/>
                          <w:i/>
                          <w:iCs/>
                          <w:color w:val="000000" w:themeColor="text1"/>
                          <w:sz w:val="21"/>
                          <w14:textFill>
                            <w14:solidFill>
                              <w14:schemeClr w14:val="tx1"/>
                            </w14:solidFill>
                          </w14:textFill>
                        </w:rPr>
                      </m:ctrlPr>
                    </m:sup>
                  </m:sSup>
                  <m:ctrlPr>
                    <w:rPr>
                      <w:rFonts w:ascii="Cambria Math" w:hAnsi="Cambria Math" w:cs="Times New Roman"/>
                      <w:i/>
                      <w:iCs/>
                      <w:color w:val="000000" w:themeColor="text1"/>
                      <w:sz w:val="21"/>
                      <w14:textFill>
                        <w14:solidFill>
                          <w14:schemeClr w14:val="tx1"/>
                        </w14:solidFill>
                      </w14:textFill>
                    </w:rPr>
                  </m:ctrlPr>
                </m:num>
                <m:den>
                  <m:r>
                    <m:rPr/>
                    <w:rPr>
                      <w:rFonts w:ascii="Cambria Math" w:hAnsi="Cambria Math" w:cs="Times New Roman"/>
                      <w:color w:val="000000" w:themeColor="text1"/>
                      <w:sz w:val="21"/>
                      <w14:textFill>
                        <w14:solidFill>
                          <w14:schemeClr w14:val="tx1"/>
                        </w14:solidFill>
                      </w14:textFill>
                    </w:rPr>
                    <m:t>24K</m:t>
                  </m:r>
                  <m:ctrlPr>
                    <w:rPr>
                      <w:rFonts w:ascii="Cambria Math" w:hAnsi="Cambria Math" w:cs="Times New Roman"/>
                      <w:i/>
                      <w:iCs/>
                      <w:color w:val="000000" w:themeColor="text1"/>
                      <w:sz w:val="21"/>
                      <w14:textFill>
                        <w14:solidFill>
                          <w14:schemeClr w14:val="tx1"/>
                        </w14:solidFill>
                      </w14:textFill>
                    </w:rPr>
                  </m:ctrlPr>
                </m:den>
              </m:f>
            </m:oMath>
            <w:r>
              <w:rPr>
                <w:rFonts w:ascii="Cambria Math" w:hAnsi="Cambria Math" w:cs="Times New Roman"/>
                <w:i/>
                <w:iCs/>
                <w:color w:val="000000" w:themeColor="text1"/>
                <w:sz w:val="21"/>
                <w14:textFill>
                  <w14:solidFill>
                    <w14:schemeClr w14:val="tx1"/>
                  </w14:solidFill>
                </w14:textFill>
              </w:rPr>
              <w:t>·</w:t>
            </w:r>
            <m:oMath>
              <m:f>
                <m:fPr>
                  <m:ctrlPr>
                    <w:rPr>
                      <w:rFonts w:ascii="Cambria Math" w:hAnsi="Cambria Math" w:cs="Times New Roman"/>
                      <w:i/>
                      <w:iCs/>
                      <w:color w:val="000000" w:themeColor="text1"/>
                      <w:sz w:val="21"/>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N</m:t>
                  </m:r>
                  <m:ctrlPr>
                    <w:rPr>
                      <w:rFonts w:ascii="Cambria Math" w:hAnsi="Cambria Math" w:cs="Times New Roman"/>
                      <w:i/>
                      <w:iCs/>
                      <w:color w:val="000000" w:themeColor="text1"/>
                      <w:sz w:val="21"/>
                      <w14:textFill>
                        <w14:solidFill>
                          <w14:schemeClr w14:val="tx1"/>
                        </w14:solidFill>
                      </w14:textFill>
                    </w:rPr>
                  </m:ctrlPr>
                </m:num>
                <m:den>
                  <m:r>
                    <m:rPr/>
                    <w:rPr>
                      <w:rFonts w:ascii="Cambria Math" w:hAnsi="Cambria Math" w:cs="Times New Roman"/>
                      <w:color w:val="000000" w:themeColor="text1"/>
                      <w:sz w:val="21"/>
                      <w14:textFill>
                        <w14:solidFill>
                          <w14:schemeClr w14:val="tx1"/>
                        </w14:solidFill>
                      </w14:textFill>
                    </w:rPr>
                    <m:t>C</m:t>
                  </m:r>
                  <m:ctrlPr>
                    <w:rPr>
                      <w:rFonts w:ascii="Cambria Math" w:hAnsi="Cambria Math" w:cs="Times New Roman"/>
                      <w:i/>
                      <w:iCs/>
                      <w:color w:val="000000" w:themeColor="text1"/>
                      <w:sz w:val="21"/>
                      <w14:textFill>
                        <w14:solidFill>
                          <w14:schemeClr w14:val="tx1"/>
                        </w14:solidFill>
                      </w14:textFill>
                    </w:rPr>
                  </m:ctrlPr>
                </m:den>
              </m:f>
            </m:oMath>
          </w:p>
        </w:tc>
        <w:tc>
          <w:tcPr>
            <w:tcW w:w="1780" w:type="dxa"/>
            <w:tcBorders>
              <w:top w:val="nil"/>
              <w:left w:val="nil"/>
              <w:bottom w:val="nil"/>
              <w:right w:val="nil"/>
            </w:tcBorders>
          </w:tcPr>
          <w:p>
            <w:pPr>
              <w:ind w:firstLine="422"/>
              <w:jc w:val="right"/>
              <w:rPr>
                <w:rFonts w:cs="Times New Roman"/>
                <w:b/>
                <w:bCs/>
                <w:color w:val="000000" w:themeColor="text1"/>
                <w:sz w:val="21"/>
                <w14:textFill>
                  <w14:solidFill>
                    <w14:schemeClr w14:val="tx1"/>
                  </w14:solidFill>
                </w14:textFill>
              </w:rPr>
            </w:pPr>
            <w:r>
              <w:rPr>
                <w:rFonts w:cs="Times New Roman"/>
                <w:b/>
                <w:bCs/>
                <w:color w:val="000000" w:themeColor="text1"/>
                <w:sz w:val="21"/>
                <w14:textFill>
                  <w14:solidFill>
                    <w14:schemeClr w14:val="tx1"/>
                  </w14:solidFill>
                </w14:textFill>
              </w:rPr>
              <w:t>（</w:t>
            </w:r>
            <w:r>
              <w:rPr>
                <w:rFonts w:cs="Times New Roman"/>
                <w:b/>
                <w:bCs/>
                <w:color w:val="000000" w:themeColor="text1"/>
                <w:sz w:val="21"/>
                <w:lang w:eastAsia="zh-CN"/>
                <w14:textFill>
                  <w14:solidFill>
                    <w14:schemeClr w14:val="tx1"/>
                  </w14:solidFill>
                </w14:textFill>
              </w:rPr>
              <w:t>3</w:t>
            </w:r>
            <w:r>
              <w:rPr>
                <w:rFonts w:cs="Times New Roman"/>
                <w:b/>
                <w:bCs/>
                <w:color w:val="000000" w:themeColor="text1"/>
                <w:sz w:val="21"/>
                <w14:textFill>
                  <w14:solidFill>
                    <w14:schemeClr w14:val="tx1"/>
                  </w14:solidFill>
                </w14:textFill>
              </w:rPr>
              <w:t>.3.1-</w:t>
            </w:r>
            <w:r>
              <w:rPr>
                <w:rFonts w:cs="Times New Roman"/>
                <w:b/>
                <w:bCs/>
                <w:color w:val="000000" w:themeColor="text1"/>
                <w:sz w:val="21"/>
                <w:lang w:eastAsia="zh-CN"/>
                <w14:textFill>
                  <w14:solidFill>
                    <w14:schemeClr w14:val="tx1"/>
                  </w14:solidFill>
                </w14:textFill>
              </w:rPr>
              <w:t>4</w:t>
            </w:r>
            <w:r>
              <w:rPr>
                <w:rFonts w:cs="Times New Roman"/>
                <w:b/>
                <w:bCs/>
                <w:color w:val="000000" w:themeColor="text1"/>
                <w:sz w:val="21"/>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9" w:type="dxa"/>
          </w:tcPr>
          <w:p>
            <w:pPr>
              <w:ind w:firstLine="420"/>
              <w:rPr>
                <w:rFonts w:cs="Times New Roman"/>
                <w:color w:val="000000" w:themeColor="text1"/>
                <w:sz w:val="21"/>
                <w14:textFill>
                  <w14:solidFill>
                    <w14:schemeClr w14:val="tx1"/>
                  </w14:solidFill>
                </w14:textFill>
              </w:rPr>
            </w:pPr>
          </w:p>
        </w:tc>
        <w:tc>
          <w:tcPr>
            <w:tcW w:w="5377" w:type="dxa"/>
          </w:tcPr>
          <w:p>
            <w:pPr>
              <w:ind w:firstLine="420"/>
              <w:jc w:val="center"/>
              <w:rPr>
                <w:rFonts w:cs="Times New Roman"/>
                <w:i/>
                <w:iCs/>
                <w:color w:val="000000" w:themeColor="text1"/>
                <w:sz w:val="21"/>
                <w14:textFill>
                  <w14:solidFill>
                    <w14:schemeClr w14:val="tx1"/>
                  </w14:solidFill>
                </w14:textFill>
              </w:rPr>
            </w:pPr>
            <m:oMathPara>
              <m:oMath>
                <m:r>
                  <m:rPr/>
                  <w:rPr>
                    <w:rFonts w:ascii="Cambria Math" w:hAnsi="Cambria Math" w:cs="Times New Roman"/>
                    <w:color w:val="000000" w:themeColor="text1"/>
                    <w:sz w:val="21"/>
                    <w:lang w:eastAsia="zh-CN"/>
                    <w14:textFill>
                      <w14:solidFill>
                        <w14:schemeClr w14:val="tx1"/>
                      </w14:solidFill>
                    </w14:textFill>
                  </w:rPr>
                  <m:t>I=</m:t>
                </m:r>
                <m:f>
                  <m:fPr>
                    <m:ctrlPr>
                      <w:rPr>
                        <w:rFonts w:ascii="Cambria Math" w:hAnsi="Cambria Math" w:cs="Times New Roman"/>
                        <w:i/>
                        <w:iCs/>
                        <w:color w:val="000000" w:themeColor="text1"/>
                        <w:sz w:val="21"/>
                        <w:lang w:eastAsia="zh-CN"/>
                        <w14:textFill>
                          <w14:solidFill>
                            <w14:schemeClr w14:val="tx1"/>
                          </w14:solidFill>
                        </w14:textFill>
                      </w:rPr>
                    </m:ctrlPr>
                  </m:fPr>
                  <m:num>
                    <m:sSup>
                      <m:sSupPr>
                        <m:ctrlPr>
                          <w:rPr>
                            <w:rFonts w:ascii="Cambria Math" w:hAnsi="Cambria Math" w:cs="Times New Roman"/>
                            <w:i/>
                            <w:iCs/>
                            <w:color w:val="000000" w:themeColor="text1"/>
                            <w:sz w:val="21"/>
                            <w:lang w:eastAsia="zh-CN"/>
                            <w14:textFill>
                              <w14:solidFill>
                                <w14:schemeClr w14:val="tx1"/>
                              </w14:solidFill>
                            </w14:textFill>
                          </w:rPr>
                        </m:ctrlPr>
                      </m:sSupPr>
                      <m:e>
                        <m:r>
                          <m:rPr/>
                          <w:rPr>
                            <w:rFonts w:ascii="Cambria Math" w:hAnsi="Cambria Math" w:cs="Times New Roman"/>
                            <w:color w:val="000000" w:themeColor="text1"/>
                            <w:sz w:val="21"/>
                            <w:lang w:eastAsia="zh-CN"/>
                            <w14:textFill>
                              <w14:solidFill>
                                <w14:schemeClr w14:val="tx1"/>
                              </w14:solidFill>
                            </w14:textFill>
                          </w:rPr>
                          <m:t>t</m:t>
                        </m:r>
                        <m:ctrlPr>
                          <w:rPr>
                            <w:rFonts w:ascii="Cambria Math" w:hAnsi="Cambria Math" w:cs="Times New Roman"/>
                            <w:i/>
                            <w:iCs/>
                            <w:color w:val="000000" w:themeColor="text1"/>
                            <w:sz w:val="21"/>
                            <w:lang w:eastAsia="zh-CN"/>
                            <w14:textFill>
                              <w14:solidFill>
                                <w14:schemeClr w14:val="tx1"/>
                              </w14:solidFill>
                            </w14:textFill>
                          </w:rPr>
                        </m:ctrlPr>
                      </m:e>
                      <m:sup>
                        <m:r>
                          <m:rPr/>
                          <w:rPr>
                            <w:rFonts w:ascii="Cambria Math" w:hAnsi="Cambria Math" w:cs="Times New Roman"/>
                            <w:color w:val="000000" w:themeColor="text1"/>
                            <w:sz w:val="21"/>
                            <w:lang w:eastAsia="zh-CN"/>
                            <w14:textFill>
                              <w14:solidFill>
                                <w14:schemeClr w14:val="tx1"/>
                              </w14:solidFill>
                            </w14:textFill>
                          </w:rPr>
                          <m:t>3</m:t>
                        </m:r>
                        <m:ctrlPr>
                          <w:rPr>
                            <w:rFonts w:ascii="Cambria Math" w:hAnsi="Cambria Math" w:cs="Times New Roman"/>
                            <w:i/>
                            <w:iCs/>
                            <w:color w:val="000000" w:themeColor="text1"/>
                            <w:sz w:val="21"/>
                            <w:lang w:eastAsia="zh-CN"/>
                            <w14:textFill>
                              <w14:solidFill>
                                <w14:schemeClr w14:val="tx1"/>
                              </w14:solidFill>
                            </w14:textFill>
                          </w:rPr>
                        </m:ctrlPr>
                      </m:sup>
                    </m:sSup>
                    <m:ctrlPr>
                      <w:rPr>
                        <w:rFonts w:ascii="Cambria Math" w:hAnsi="Cambria Math" w:cs="Times New Roman"/>
                        <w:i/>
                        <w:iCs/>
                        <w:color w:val="000000" w:themeColor="text1"/>
                        <w:sz w:val="21"/>
                        <w:lang w:eastAsia="zh-CN"/>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12</m:t>
                    </m:r>
                    <m:ctrlPr>
                      <w:rPr>
                        <w:rFonts w:ascii="Cambria Math" w:hAnsi="Cambria Math" w:cs="Times New Roman"/>
                        <w:i/>
                        <w:iCs/>
                        <w:color w:val="000000" w:themeColor="text1"/>
                        <w:sz w:val="21"/>
                        <w:lang w:eastAsia="zh-CN"/>
                        <w14:textFill>
                          <w14:solidFill>
                            <w14:schemeClr w14:val="tx1"/>
                          </w14:solidFill>
                        </w14:textFill>
                      </w:rPr>
                    </m:ctrlPr>
                  </m:den>
                </m:f>
              </m:oMath>
            </m:oMathPara>
          </w:p>
        </w:tc>
        <w:tc>
          <w:tcPr>
            <w:tcW w:w="1780" w:type="dxa"/>
            <w:vAlign w:val="center"/>
          </w:tcPr>
          <w:p>
            <w:pPr>
              <w:ind w:firstLine="422"/>
              <w:jc w:val="right"/>
              <w:rPr>
                <w:rFonts w:cs="Times New Roman"/>
                <w:b/>
                <w:bCs/>
                <w:color w:val="000000" w:themeColor="text1"/>
                <w:sz w:val="21"/>
                <w14:textFill>
                  <w14:solidFill>
                    <w14:schemeClr w14:val="tx1"/>
                  </w14:solidFill>
                </w14:textFill>
              </w:rPr>
            </w:pPr>
            <w:r>
              <w:rPr>
                <w:rFonts w:cs="Times New Roman"/>
                <w:b/>
                <w:bCs/>
                <w:color w:val="000000" w:themeColor="text1"/>
                <w:sz w:val="21"/>
                <w14:textFill>
                  <w14:solidFill>
                    <w14:schemeClr w14:val="tx1"/>
                  </w14:solidFill>
                </w14:textFill>
              </w:rPr>
              <w:t>（</w:t>
            </w:r>
            <w:r>
              <w:rPr>
                <w:rFonts w:cs="Times New Roman"/>
                <w:b/>
                <w:bCs/>
                <w:color w:val="000000" w:themeColor="text1"/>
                <w:sz w:val="21"/>
                <w:lang w:eastAsia="zh-CN"/>
                <w14:textFill>
                  <w14:solidFill>
                    <w14:schemeClr w14:val="tx1"/>
                  </w14:solidFill>
                </w14:textFill>
              </w:rPr>
              <w:t>3</w:t>
            </w:r>
            <w:r>
              <w:rPr>
                <w:rFonts w:cs="Times New Roman"/>
                <w:b/>
                <w:bCs/>
                <w:color w:val="000000" w:themeColor="text1"/>
                <w:sz w:val="21"/>
                <w14:textFill>
                  <w14:solidFill>
                    <w14:schemeClr w14:val="tx1"/>
                  </w14:solidFill>
                </w14:textFill>
              </w:rPr>
              <w:t>.3.1-</w:t>
            </w:r>
            <w:r>
              <w:rPr>
                <w:rFonts w:cs="Times New Roman"/>
                <w:b/>
                <w:bCs/>
                <w:color w:val="000000" w:themeColor="text1"/>
                <w:sz w:val="21"/>
                <w:lang w:eastAsia="zh-CN"/>
                <w14:textFill>
                  <w14:solidFill>
                    <w14:schemeClr w14:val="tx1"/>
                  </w14:solidFill>
                </w14:textFill>
              </w:rPr>
              <w:t>5</w:t>
            </w:r>
            <w:r>
              <w:rPr>
                <w:rFonts w:cs="Times New Roman"/>
                <w:b/>
                <w:bCs/>
                <w:color w:val="000000" w:themeColor="text1"/>
                <w:sz w:val="21"/>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139" w:type="dxa"/>
          </w:tcPr>
          <w:p>
            <w:pPr>
              <w:ind w:firstLine="420"/>
              <w:rPr>
                <w:rFonts w:cs="Times New Roman"/>
                <w:color w:val="000000" w:themeColor="text1"/>
                <w:sz w:val="21"/>
                <w14:textFill>
                  <w14:solidFill>
                    <w14:schemeClr w14:val="tx1"/>
                  </w14:solidFill>
                </w14:textFill>
              </w:rPr>
            </w:pPr>
          </w:p>
        </w:tc>
        <w:tc>
          <w:tcPr>
            <w:tcW w:w="5377" w:type="dxa"/>
          </w:tcPr>
          <w:p>
            <w:pPr>
              <w:ind w:firstLine="420"/>
              <w:jc w:val="center"/>
              <w:rPr>
                <w:rFonts w:cs="Times New Roman"/>
                <w:i/>
                <w:iCs/>
                <w:color w:val="000000" w:themeColor="text1"/>
                <w:sz w:val="21"/>
                <w:lang w:eastAsia="zh-CN"/>
                <w14:textFill>
                  <w14:solidFill>
                    <w14:schemeClr w14:val="tx1"/>
                  </w14:solidFill>
                </w14:textFill>
              </w:rPr>
            </w:pPr>
            <m:oMathPara>
              <m:oMath>
                <m:r>
                  <m:rPr/>
                  <w:rPr>
                    <w:rFonts w:ascii="Cambria Math" w:hAnsi="Cambria Math" w:cs="Times New Roman"/>
                    <w:color w:val="000000" w:themeColor="text1"/>
                    <w:sz w:val="21"/>
                    <w:lang w:eastAsia="zh-CN"/>
                    <w14:textFill>
                      <w14:solidFill>
                        <w14:schemeClr w14:val="tx1"/>
                      </w14:solidFill>
                    </w14:textFill>
                  </w:rPr>
                  <m:t>I=</m:t>
                </m:r>
                <m:f>
                  <m:fPr>
                    <m:ctrlPr>
                      <w:rPr>
                        <w:rFonts w:ascii="Cambria Math" w:hAnsi="Cambria Math" w:cs="Times New Roman"/>
                        <w:i/>
                        <w:iCs/>
                        <w:color w:val="000000" w:themeColor="text1"/>
                        <w:sz w:val="21"/>
                        <w:lang w:eastAsia="zh-CN"/>
                        <w14:textFill>
                          <w14:solidFill>
                            <w14:schemeClr w14:val="tx1"/>
                          </w14:solidFill>
                        </w14:textFill>
                      </w:rPr>
                    </m:ctrlPr>
                  </m:fPr>
                  <m:num>
                    <m:r>
                      <m:rPr/>
                      <w:rPr>
                        <w:rFonts w:ascii="Cambria Math" w:hAnsi="Cambria Math" w:cs="Times New Roman"/>
                        <w:color w:val="000000" w:themeColor="text1"/>
                        <w:sz w:val="21"/>
                        <w:lang w:eastAsia="zh-CN"/>
                        <w14:textFill>
                          <w14:solidFill>
                            <w14:schemeClr w14:val="tx1"/>
                          </w14:solidFill>
                        </w14:textFill>
                      </w:rPr>
                      <m:t>1</m:t>
                    </m:r>
                    <m:ctrlPr>
                      <w:rPr>
                        <w:rFonts w:ascii="Cambria Math" w:hAnsi="Cambria Math" w:cs="Times New Roman"/>
                        <w:i/>
                        <w:iCs/>
                        <w:color w:val="000000" w:themeColor="text1"/>
                        <w:sz w:val="21"/>
                        <w:lang w:eastAsia="zh-CN"/>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12L</m:t>
                    </m:r>
                    <m:ctrlPr>
                      <w:rPr>
                        <w:rFonts w:ascii="Cambria Math" w:hAnsi="Cambria Math" w:cs="Times New Roman"/>
                        <w:i/>
                        <w:iCs/>
                        <w:color w:val="000000" w:themeColor="text1"/>
                        <w:sz w:val="21"/>
                        <w:lang w:eastAsia="zh-CN"/>
                        <w14:textFill>
                          <w14:solidFill>
                            <w14:schemeClr w14:val="tx1"/>
                          </w14:solidFill>
                        </w14:textFill>
                      </w:rPr>
                    </m:ctrlPr>
                  </m:den>
                </m:f>
                <m:d>
                  <m:dPr>
                    <m:ctrlPr>
                      <w:rPr>
                        <w:rFonts w:ascii="Cambria Math" w:hAnsi="Cambria Math" w:cs="Times New Roman"/>
                        <w:i/>
                        <w:iCs/>
                        <w:color w:val="000000" w:themeColor="text1"/>
                        <w:sz w:val="21"/>
                        <w:lang w:eastAsia="zh-CN"/>
                        <w14:textFill>
                          <w14:solidFill>
                            <w14:schemeClr w14:val="tx1"/>
                          </w14:solidFill>
                        </w14:textFill>
                      </w:rPr>
                    </m:ctrlPr>
                  </m:dPr>
                  <m:e>
                    <m:r>
                      <m:rPr/>
                      <w:rPr>
                        <w:rFonts w:ascii="Cambria Math" w:hAnsi="Cambria Math" w:cs="Times New Roman"/>
                        <w:color w:val="000000" w:themeColor="text1"/>
                        <w:sz w:val="21"/>
                        <w:lang w:eastAsia="zh-CN"/>
                        <w14:textFill>
                          <w14:solidFill>
                            <w14:schemeClr w14:val="tx1"/>
                          </w14:solidFill>
                        </w14:textFill>
                      </w:rPr>
                      <m:t>L</m:t>
                    </m:r>
                    <m:sSup>
                      <m:sSupPr>
                        <m:ctrlPr>
                          <w:rPr>
                            <w:rFonts w:ascii="Cambria Math" w:hAnsi="Cambria Math" w:cs="Times New Roman"/>
                            <w:i/>
                            <w:iCs/>
                            <w:color w:val="000000" w:themeColor="text1"/>
                            <w:sz w:val="21"/>
                            <w:lang w:eastAsia="zh-CN"/>
                            <w14:textFill>
                              <w14:solidFill>
                                <w14:schemeClr w14:val="tx1"/>
                              </w14:solidFill>
                            </w14:textFill>
                          </w:rPr>
                        </m:ctrlPr>
                      </m:sSupPr>
                      <m:e>
                        <m:r>
                          <m:rPr/>
                          <w:rPr>
                            <w:rFonts w:ascii="Cambria Math" w:hAnsi="Cambria Math" w:cs="Times New Roman"/>
                            <w:color w:val="000000" w:themeColor="text1"/>
                            <w:sz w:val="21"/>
                            <w:lang w:eastAsia="zh-CN"/>
                            <w14:textFill>
                              <w14:solidFill>
                                <w14:schemeClr w14:val="tx1"/>
                              </w14:solidFill>
                            </w14:textFill>
                          </w:rPr>
                          <m:t>t</m:t>
                        </m:r>
                        <m:ctrlPr>
                          <w:rPr>
                            <w:rFonts w:ascii="Cambria Math" w:hAnsi="Cambria Math" w:cs="Times New Roman"/>
                            <w:i/>
                            <w:iCs/>
                            <w:color w:val="000000" w:themeColor="text1"/>
                            <w:sz w:val="21"/>
                            <w:lang w:eastAsia="zh-CN"/>
                            <w14:textFill>
                              <w14:solidFill>
                                <w14:schemeClr w14:val="tx1"/>
                              </w14:solidFill>
                            </w14:textFill>
                          </w:rPr>
                        </m:ctrlPr>
                      </m:e>
                      <m:sup>
                        <m:r>
                          <m:rPr/>
                          <w:rPr>
                            <w:rFonts w:ascii="Cambria Math" w:hAnsi="Cambria Math" w:cs="Times New Roman"/>
                            <w:color w:val="000000" w:themeColor="text1"/>
                            <w:sz w:val="21"/>
                            <w:lang w:eastAsia="zh-CN"/>
                            <w14:textFill>
                              <w14:solidFill>
                                <w14:schemeClr w14:val="tx1"/>
                              </w14:solidFill>
                            </w14:textFill>
                          </w:rPr>
                          <m:t>3</m:t>
                        </m:r>
                        <m:ctrlPr>
                          <w:rPr>
                            <w:rFonts w:ascii="Cambria Math" w:hAnsi="Cambria Math" w:cs="Times New Roman"/>
                            <w:i/>
                            <w:iCs/>
                            <w:color w:val="000000" w:themeColor="text1"/>
                            <w:sz w:val="21"/>
                            <w:lang w:eastAsia="zh-CN"/>
                            <w14:textFill>
                              <w14:solidFill>
                                <w14:schemeClr w14:val="tx1"/>
                              </w14:solidFill>
                            </w14:textFill>
                          </w:rPr>
                        </m:ctrlPr>
                      </m:sup>
                    </m:sSup>
                    <m:r>
                      <m:rPr/>
                      <w:rPr>
                        <w:rFonts w:ascii="Cambria Math" w:hAnsi="Cambria Math" w:cs="Times New Roman"/>
                        <w:color w:val="000000" w:themeColor="text1"/>
                        <w:sz w:val="21"/>
                        <w:lang w:eastAsia="zh-CN"/>
                        <w14:textFill>
                          <w14:solidFill>
                            <w14:schemeClr w14:val="tx1"/>
                          </w14:solidFill>
                        </w14:textFill>
                      </w:rPr>
                      <m:t>−l</m:t>
                    </m:r>
                    <m:sSup>
                      <m:sSupPr>
                        <m:ctrlPr>
                          <w:rPr>
                            <w:rFonts w:ascii="Cambria Math" w:hAnsi="Cambria Math" w:cs="Times New Roman"/>
                            <w:i/>
                            <w:iCs/>
                            <w:color w:val="000000" w:themeColor="text1"/>
                            <w:sz w:val="21"/>
                            <w:lang w:eastAsia="zh-CN"/>
                            <w14:textFill>
                              <w14:solidFill>
                                <w14:schemeClr w14:val="tx1"/>
                              </w14:solidFill>
                            </w14:textFill>
                          </w:rPr>
                        </m:ctrlPr>
                      </m:sSupPr>
                      <m:e>
                        <m:r>
                          <m:rPr/>
                          <w:rPr>
                            <w:rFonts w:ascii="Cambria Math" w:hAnsi="Cambria Math" w:cs="Times New Roman"/>
                            <w:color w:val="000000" w:themeColor="text1"/>
                            <w:sz w:val="21"/>
                            <w:lang w:eastAsia="zh-CN"/>
                            <w14:textFill>
                              <w14:solidFill>
                                <w14:schemeClr w14:val="tx1"/>
                              </w14:solidFill>
                            </w14:textFill>
                          </w:rPr>
                          <m:t>ℎ</m:t>
                        </m:r>
                        <m:ctrlPr>
                          <w:rPr>
                            <w:rFonts w:ascii="Cambria Math" w:hAnsi="Cambria Math" w:cs="Times New Roman"/>
                            <w:i/>
                            <w:iCs/>
                            <w:color w:val="000000" w:themeColor="text1"/>
                            <w:sz w:val="21"/>
                            <w:lang w:eastAsia="zh-CN"/>
                            <w14:textFill>
                              <w14:solidFill>
                                <w14:schemeClr w14:val="tx1"/>
                              </w14:solidFill>
                            </w14:textFill>
                          </w:rPr>
                        </m:ctrlPr>
                      </m:e>
                      <m:sup>
                        <m:r>
                          <m:rPr/>
                          <w:rPr>
                            <w:rFonts w:ascii="Cambria Math" w:hAnsi="Cambria Math" w:cs="Times New Roman"/>
                            <w:color w:val="000000" w:themeColor="text1"/>
                            <w:sz w:val="21"/>
                            <w:lang w:eastAsia="zh-CN"/>
                            <w14:textFill>
                              <w14:solidFill>
                                <w14:schemeClr w14:val="tx1"/>
                              </w14:solidFill>
                            </w14:textFill>
                          </w:rPr>
                          <m:t>3</m:t>
                        </m:r>
                        <m:ctrlPr>
                          <w:rPr>
                            <w:rFonts w:ascii="Cambria Math" w:hAnsi="Cambria Math" w:cs="Times New Roman"/>
                            <w:i/>
                            <w:iCs/>
                            <w:color w:val="000000" w:themeColor="text1"/>
                            <w:sz w:val="21"/>
                            <w:lang w:eastAsia="zh-CN"/>
                            <w14:textFill>
                              <w14:solidFill>
                                <w14:schemeClr w14:val="tx1"/>
                              </w14:solidFill>
                            </w14:textFill>
                          </w:rPr>
                        </m:ctrlPr>
                      </m:sup>
                    </m:sSup>
                    <m:ctrlPr>
                      <w:rPr>
                        <w:rFonts w:ascii="Cambria Math" w:hAnsi="Cambria Math" w:cs="Times New Roman"/>
                        <w:i/>
                        <w:iCs/>
                        <w:color w:val="000000" w:themeColor="text1"/>
                        <w:sz w:val="21"/>
                        <w:lang w:eastAsia="zh-CN"/>
                        <w14:textFill>
                          <w14:solidFill>
                            <w14:schemeClr w14:val="tx1"/>
                          </w14:solidFill>
                        </w14:textFill>
                      </w:rPr>
                    </m:ctrlPr>
                  </m:e>
                </m:d>
              </m:oMath>
            </m:oMathPara>
          </w:p>
        </w:tc>
        <w:tc>
          <w:tcPr>
            <w:tcW w:w="1780" w:type="dxa"/>
            <w:vAlign w:val="center"/>
          </w:tcPr>
          <w:p>
            <w:pPr>
              <w:ind w:firstLine="422"/>
              <w:jc w:val="right"/>
              <w:rPr>
                <w:rFonts w:cs="Times New Roman"/>
                <w:b/>
                <w:bCs/>
                <w:color w:val="000000" w:themeColor="text1"/>
                <w:sz w:val="21"/>
                <w14:textFill>
                  <w14:solidFill>
                    <w14:schemeClr w14:val="tx1"/>
                  </w14:solidFill>
                </w14:textFill>
              </w:rPr>
            </w:pPr>
            <w:r>
              <w:rPr>
                <w:rFonts w:cs="Times New Roman"/>
                <w:b/>
                <w:bCs/>
                <w:color w:val="000000" w:themeColor="text1"/>
                <w:sz w:val="21"/>
                <w14:textFill>
                  <w14:solidFill>
                    <w14:schemeClr w14:val="tx1"/>
                  </w14:solidFill>
                </w14:textFill>
              </w:rPr>
              <w:t>（</w:t>
            </w:r>
            <w:r>
              <w:rPr>
                <w:rFonts w:cs="Times New Roman"/>
                <w:b/>
                <w:bCs/>
                <w:color w:val="000000" w:themeColor="text1"/>
                <w:sz w:val="21"/>
                <w:lang w:eastAsia="zh-CN"/>
                <w14:textFill>
                  <w14:solidFill>
                    <w14:schemeClr w14:val="tx1"/>
                  </w14:solidFill>
                </w14:textFill>
              </w:rPr>
              <w:t>3</w:t>
            </w:r>
            <w:r>
              <w:rPr>
                <w:rFonts w:cs="Times New Roman"/>
                <w:b/>
                <w:bCs/>
                <w:color w:val="000000" w:themeColor="text1"/>
                <w:sz w:val="21"/>
                <w14:textFill>
                  <w14:solidFill>
                    <w14:schemeClr w14:val="tx1"/>
                  </w14:solidFill>
                </w14:textFill>
              </w:rPr>
              <w:t>.3.1-</w:t>
            </w:r>
            <w:r>
              <w:rPr>
                <w:rFonts w:cs="Times New Roman"/>
                <w:b/>
                <w:bCs/>
                <w:color w:val="000000" w:themeColor="text1"/>
                <w:sz w:val="21"/>
                <w:lang w:eastAsia="zh-CN"/>
                <w14:textFill>
                  <w14:solidFill>
                    <w14:schemeClr w14:val="tx1"/>
                  </w14:solidFill>
                </w14:textFill>
              </w:rPr>
              <w:t>6</w:t>
            </w:r>
            <w:r>
              <w:rPr>
                <w:rFonts w:cs="Times New Roman"/>
                <w:b/>
                <w:bCs/>
                <w:color w:val="000000" w:themeColor="text1"/>
                <w:sz w:val="21"/>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9" w:type="dxa"/>
          </w:tcPr>
          <w:p>
            <w:pPr>
              <w:ind w:firstLine="420"/>
              <w:rPr>
                <w:rFonts w:cs="Times New Roman"/>
                <w:color w:val="000000" w:themeColor="text1"/>
                <w:sz w:val="21"/>
                <w14:textFill>
                  <w14:solidFill>
                    <w14:schemeClr w14:val="tx1"/>
                  </w14:solidFill>
                </w14:textFill>
              </w:rPr>
            </w:pPr>
          </w:p>
        </w:tc>
        <w:tc>
          <w:tcPr>
            <w:tcW w:w="5377" w:type="dxa"/>
          </w:tcPr>
          <w:p>
            <w:pPr>
              <w:ind w:firstLine="420"/>
              <w:jc w:val="center"/>
              <w:rPr>
                <w:rFonts w:ascii="Cambria Math" w:hAnsi="Cambria Math" w:cs="Times New Roman"/>
                <w:color w:val="000000" w:themeColor="text1"/>
                <w:sz w:val="21"/>
                <w:lang w:eastAsia="zh-CN"/>
                <w14:textFill>
                  <w14:solidFill>
                    <w14:schemeClr w14:val="tx1"/>
                  </w14:solidFill>
                </w14:textFill>
                <w:oMath/>
              </w:rPr>
            </w:pPr>
            <m:oMathPara>
              <m:oMath>
                <m:r>
                  <m:rPr/>
                  <w:rPr>
                    <w:rFonts w:ascii="Cambria Math" w:hAnsi="Cambria Math" w:cs="Times New Roman"/>
                    <w:color w:val="000000" w:themeColor="text1"/>
                    <w:sz w:val="21"/>
                    <w:lang w:eastAsia="zh-CN"/>
                    <w14:textFill>
                      <w14:solidFill>
                        <w14:schemeClr w14:val="tx1"/>
                      </w14:solidFill>
                    </w14:textFill>
                  </w:rPr>
                  <m:t>L=A+B</m:t>
                </m:r>
              </m:oMath>
            </m:oMathPara>
          </w:p>
        </w:tc>
        <w:tc>
          <w:tcPr>
            <w:tcW w:w="1780" w:type="dxa"/>
            <w:vAlign w:val="center"/>
          </w:tcPr>
          <w:p>
            <w:pPr>
              <w:ind w:firstLine="422"/>
              <w:jc w:val="right"/>
              <w:rPr>
                <w:rFonts w:cs="Times New Roman"/>
                <w:b/>
                <w:bCs/>
                <w:color w:val="000000" w:themeColor="text1"/>
                <w:sz w:val="21"/>
                <w14:textFill>
                  <w14:solidFill>
                    <w14:schemeClr w14:val="tx1"/>
                  </w14:solidFill>
                </w14:textFill>
              </w:rPr>
            </w:pPr>
            <w:r>
              <w:rPr>
                <w:rFonts w:cs="Times New Roman"/>
                <w:b/>
                <w:bCs/>
                <w:color w:val="000000" w:themeColor="text1"/>
                <w:sz w:val="21"/>
                <w14:textFill>
                  <w14:solidFill>
                    <w14:schemeClr w14:val="tx1"/>
                  </w14:solidFill>
                </w14:textFill>
              </w:rPr>
              <w:t>（</w:t>
            </w:r>
            <w:r>
              <w:rPr>
                <w:rFonts w:cs="Times New Roman"/>
                <w:b/>
                <w:bCs/>
                <w:color w:val="000000" w:themeColor="text1"/>
                <w:sz w:val="21"/>
                <w:lang w:eastAsia="zh-CN"/>
                <w14:textFill>
                  <w14:solidFill>
                    <w14:schemeClr w14:val="tx1"/>
                  </w14:solidFill>
                </w14:textFill>
              </w:rPr>
              <w:t>3</w:t>
            </w:r>
            <w:r>
              <w:rPr>
                <w:rFonts w:cs="Times New Roman"/>
                <w:b/>
                <w:bCs/>
                <w:color w:val="000000" w:themeColor="text1"/>
                <w:sz w:val="21"/>
                <w14:textFill>
                  <w14:solidFill>
                    <w14:schemeClr w14:val="tx1"/>
                  </w14:solidFill>
                </w14:textFill>
              </w:rPr>
              <w:t>.3.1-</w:t>
            </w:r>
            <w:r>
              <w:rPr>
                <w:rFonts w:cs="Times New Roman"/>
                <w:b/>
                <w:bCs/>
                <w:color w:val="000000" w:themeColor="text1"/>
                <w:sz w:val="21"/>
                <w:lang w:eastAsia="zh-CN"/>
                <w14:textFill>
                  <w14:solidFill>
                    <w14:schemeClr w14:val="tx1"/>
                  </w14:solidFill>
                </w14:textFill>
              </w:rPr>
              <w:t>7</w:t>
            </w:r>
            <w:r>
              <w:rPr>
                <w:rFonts w:cs="Times New Roman"/>
                <w:b/>
                <w:bCs/>
                <w:color w:val="000000" w:themeColor="text1"/>
                <w:sz w:val="21"/>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9" w:type="dxa"/>
          </w:tcPr>
          <w:p>
            <w:pPr>
              <w:ind w:firstLine="420"/>
              <w:rPr>
                <w:rFonts w:cs="Times New Roman"/>
                <w:color w:val="000000" w:themeColor="text1"/>
                <w:sz w:val="21"/>
                <w14:textFill>
                  <w14:solidFill>
                    <w14:schemeClr w14:val="tx1"/>
                  </w14:solidFill>
                </w14:textFill>
              </w:rPr>
            </w:pPr>
          </w:p>
        </w:tc>
        <w:tc>
          <w:tcPr>
            <w:tcW w:w="5377" w:type="dxa"/>
          </w:tcPr>
          <w:p>
            <w:pPr>
              <w:ind w:firstLine="420"/>
              <w:jc w:val="center"/>
              <w:rPr>
                <w:rFonts w:ascii="Cambria Math" w:hAnsi="Cambria Math" w:cs="Times New Roman"/>
                <w:color w:val="000000" w:themeColor="text1"/>
                <w:sz w:val="21"/>
                <w:lang w:eastAsia="zh-CN"/>
                <w14:textFill>
                  <w14:solidFill>
                    <w14:schemeClr w14:val="tx1"/>
                  </w14:solidFill>
                </w14:textFill>
                <w:oMath/>
              </w:rPr>
            </w:pPr>
            <m:oMathPara>
              <m:oMath>
                <m:r>
                  <m:rPr/>
                  <w:rPr>
                    <w:rFonts w:ascii="Cambria Math" w:hAnsi="Cambria Math" w:cs="Times New Roman"/>
                    <w:color w:val="000000" w:themeColor="text1"/>
                    <w:sz w:val="21"/>
                    <w:lang w:eastAsia="zh-CN"/>
                    <w14:textFill>
                      <w14:solidFill>
                        <w14:schemeClr w14:val="tx1"/>
                      </w14:solidFill>
                    </w14:textFill>
                  </w:rPr>
                  <m:t>D=</m:t>
                </m:r>
                <m:sSub>
                  <m:sSubPr>
                    <m:ctrlPr>
                      <w:rPr>
                        <w:rFonts w:ascii="Cambria Math" w:hAnsi="Cambria Math" w:cs="Times New Roman"/>
                        <w:i/>
                        <w:iCs/>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D</m:t>
                    </m:r>
                    <m:ctrlPr>
                      <w:rPr>
                        <w:rFonts w:ascii="Cambria Math" w:hAnsi="Cambria Math" w:cs="Times New Roman"/>
                        <w:i/>
                        <w:iCs/>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O</m:t>
                    </m:r>
                    <m:ctrlPr>
                      <w:rPr>
                        <w:rFonts w:ascii="Cambria Math" w:hAnsi="Cambria Math" w:cs="Times New Roman"/>
                        <w:i/>
                        <w:iCs/>
                        <w:color w:val="000000" w:themeColor="text1"/>
                        <w:sz w:val="21"/>
                        <w:lang w:eastAsia="zh-CN"/>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−t</m:t>
                </m:r>
              </m:oMath>
            </m:oMathPara>
          </w:p>
        </w:tc>
        <w:tc>
          <w:tcPr>
            <w:tcW w:w="1780" w:type="dxa"/>
            <w:vAlign w:val="center"/>
          </w:tcPr>
          <w:p>
            <w:pPr>
              <w:ind w:firstLine="422"/>
              <w:jc w:val="right"/>
              <w:rPr>
                <w:rFonts w:cs="Times New Roman"/>
                <w:b/>
                <w:bCs/>
                <w:color w:val="000000" w:themeColor="text1"/>
                <w:sz w:val="21"/>
                <w14:textFill>
                  <w14:solidFill>
                    <w14:schemeClr w14:val="tx1"/>
                  </w14:solidFill>
                </w14:textFill>
              </w:rPr>
            </w:pPr>
            <w:r>
              <w:rPr>
                <w:rFonts w:cs="Times New Roman"/>
                <w:b/>
                <w:bCs/>
                <w:color w:val="000000" w:themeColor="text1"/>
                <w:sz w:val="21"/>
                <w14:textFill>
                  <w14:solidFill>
                    <w14:schemeClr w14:val="tx1"/>
                  </w14:solidFill>
                </w14:textFill>
              </w:rPr>
              <w:t>（</w:t>
            </w:r>
            <w:r>
              <w:rPr>
                <w:rFonts w:cs="Times New Roman"/>
                <w:b/>
                <w:bCs/>
                <w:color w:val="000000" w:themeColor="text1"/>
                <w:sz w:val="21"/>
                <w:lang w:eastAsia="zh-CN"/>
                <w14:textFill>
                  <w14:solidFill>
                    <w14:schemeClr w14:val="tx1"/>
                  </w14:solidFill>
                </w14:textFill>
              </w:rPr>
              <w:t>3</w:t>
            </w:r>
            <w:r>
              <w:rPr>
                <w:rFonts w:cs="Times New Roman"/>
                <w:b/>
                <w:bCs/>
                <w:color w:val="000000" w:themeColor="text1"/>
                <w:sz w:val="21"/>
                <w14:textFill>
                  <w14:solidFill>
                    <w14:schemeClr w14:val="tx1"/>
                  </w14:solidFill>
                </w14:textFill>
              </w:rPr>
              <w:t>.3.1-</w:t>
            </w:r>
            <w:r>
              <w:rPr>
                <w:rFonts w:cs="Times New Roman"/>
                <w:b/>
                <w:bCs/>
                <w:color w:val="000000" w:themeColor="text1"/>
                <w:sz w:val="21"/>
                <w:lang w:eastAsia="zh-CN"/>
                <w14:textFill>
                  <w14:solidFill>
                    <w14:schemeClr w14:val="tx1"/>
                  </w14:solidFill>
                </w14:textFill>
              </w:rPr>
              <w:t>8</w:t>
            </w:r>
            <w:r>
              <w:rPr>
                <w:rFonts w:cs="Times New Roman"/>
                <w:b/>
                <w:bCs/>
                <w:color w:val="000000" w:themeColor="text1"/>
                <w:sz w:val="21"/>
                <w14:textFill>
                  <w14:solidFill>
                    <w14:schemeClr w14:val="tx1"/>
                  </w14:solidFill>
                </w14:textFill>
              </w:rPr>
              <w:t>）</w:t>
            </w:r>
          </w:p>
        </w:tc>
      </w:tr>
    </w:tbl>
    <w:p>
      <w:pPr>
        <w:ind w:firstLine="0" w:firstLineChars="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式中：E</w:t>
      </w:r>
      <w:r>
        <w:rPr>
          <w:rFonts w:cs="Times New Roman"/>
          <w:color w:val="000000" w:themeColor="text1"/>
          <w:sz w:val="21"/>
          <w:vertAlign w:val="subscript"/>
          <w:lang w:eastAsia="zh-CN"/>
          <w14:textFill>
            <w14:solidFill>
              <w14:schemeClr w14:val="tx1"/>
            </w14:solidFill>
          </w14:textFill>
        </w:rPr>
        <w:t>L</w:t>
      </w:r>
      <w:r>
        <w:rPr>
          <w:rFonts w:cs="Times New Roman"/>
          <w:color w:val="000000" w:themeColor="text1"/>
          <w:sz w:val="21"/>
          <w:lang w:eastAsia="zh-CN"/>
          <w14:textFill>
            <w14:solidFill>
              <w14:schemeClr w14:val="tx1"/>
            </w14:solidFill>
          </w14:textFill>
        </w:rPr>
        <w:t>——内衬管的长期弹性模量（MPa）；</w:t>
      </w:r>
    </w:p>
    <w:p>
      <w:pPr>
        <w:ind w:left="420" w:firstLine="630" w:firstLineChars="300"/>
        <w:jc w:val="left"/>
        <w:rPr>
          <w:rFonts w:cs="Times New Roman"/>
          <w:color w:val="000000" w:themeColor="text1"/>
          <w:sz w:val="21"/>
          <w:lang w:eastAsia="zh-CN"/>
          <w14:textFill>
            <w14:solidFill>
              <w14:schemeClr w14:val="tx1"/>
            </w14:solidFill>
          </w14:textFill>
        </w:rPr>
      </w:pPr>
      <w:r>
        <w:rPr>
          <w:rFonts w:cs="Times New Roman"/>
          <w:i/>
          <w:iCs/>
          <w:color w:val="000000" w:themeColor="text1"/>
          <w:sz w:val="21"/>
          <w:lang w:eastAsia="zh-CN"/>
          <w14:textFill>
            <w14:solidFill>
              <w14:schemeClr w14:val="tx1"/>
            </w14:solidFill>
          </w14:textFill>
        </w:rPr>
        <w:t>I</w:t>
      </w:r>
      <w:r>
        <w:rPr>
          <w:rFonts w:cs="Times New Roman"/>
          <w:color w:val="000000" w:themeColor="text1"/>
          <w:sz w:val="21"/>
          <w:lang w:eastAsia="zh-CN"/>
          <w14:textFill>
            <w14:solidFill>
              <w14:schemeClr w14:val="tx1"/>
            </w14:solidFill>
          </w14:textFill>
        </w:rPr>
        <w:t>——内衬管管壁截面惯性矩（mm⁴/mm），不锈钢管片内衬法按式（3.3.1-5）计算，短管内衬法按图3.3.1-1及式（3.3.1-6）计算；</w:t>
      </w:r>
    </w:p>
    <w:p>
      <w:pPr>
        <w:ind w:left="420" w:firstLine="569" w:firstLineChars="271"/>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γ</w:t>
      </w:r>
      <w:r>
        <w:rPr>
          <w:rFonts w:cs="Times New Roman"/>
          <w:color w:val="000000" w:themeColor="text1"/>
          <w:sz w:val="21"/>
          <w:vertAlign w:val="subscript"/>
          <w:lang w:eastAsia="zh-CN"/>
          <w14:textFill>
            <w14:solidFill>
              <w14:schemeClr w14:val="tx1"/>
            </w14:solidFill>
          </w14:textFill>
        </w:rPr>
        <w:t>0</w:t>
      </w:r>
      <w:r>
        <w:rPr>
          <w:rFonts w:cs="Times New Roman"/>
          <w:color w:val="000000" w:themeColor="text1"/>
          <w:sz w:val="21"/>
          <w:lang w:eastAsia="zh-CN"/>
          <w14:textFill>
            <w14:solidFill>
              <w14:schemeClr w14:val="tx1"/>
            </w14:solidFill>
          </w14:textFill>
        </w:rPr>
        <w:t>——内衬管刚度折减系数，取1.0～3.0；</w:t>
      </w:r>
    </w:p>
    <w:p>
      <w:pPr>
        <w:ind w:left="420" w:firstLine="650" w:firstLineChars="271"/>
        <w:rPr>
          <w:rFonts w:cs="Times New Roman"/>
          <w:color w:val="000000" w:themeColor="text1"/>
          <w:sz w:val="21"/>
          <w:lang w:eastAsia="zh-CN"/>
          <w14:textFill>
            <w14:solidFill>
              <w14:schemeClr w14:val="tx1"/>
            </w14:solidFill>
          </w14:textFill>
        </w:rPr>
      </w:pPr>
      <w:r>
        <w:rPr>
          <w:rFonts w:cs="Times New Roman"/>
          <w:color w:val="000000" w:themeColor="text1"/>
          <w:lang w:eastAsia="zh-CN"/>
          <w14:textFill>
            <w14:solidFill>
              <w14:schemeClr w14:val="tx1"/>
            </w14:solidFill>
          </w14:textFill>
        </w:rPr>
        <w:drawing>
          <wp:inline distT="0" distB="0" distL="0" distR="0">
            <wp:extent cx="3831590" cy="1511300"/>
            <wp:effectExtent l="0" t="0" r="0" b="0"/>
            <wp:docPr id="822234856" name="图片 3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34856" name="图片 33" descr="图示&#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34721" cy="1512326"/>
                    </a:xfrm>
                    <a:prstGeom prst="rect">
                      <a:avLst/>
                    </a:prstGeom>
                    <a:noFill/>
                    <a:ln>
                      <a:noFill/>
                    </a:ln>
                  </pic:spPr>
                </pic:pic>
              </a:graphicData>
            </a:graphic>
          </wp:inline>
        </w:drawing>
      </w:r>
    </w:p>
    <w:p>
      <w:pPr>
        <w:ind w:left="420" w:firstLine="571" w:firstLineChars="271"/>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图3.3.1-1 中空壁型式内衬管断面图</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D——内衬管计算直径（mm）；</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D。——内衬管外径（mm）；</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t——内衬管壁厚（mm）；</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K——圆周支持率，取值宜为7.0；</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P₀——内衬管管中心地下水压力（MPa）；</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C——椭圆度折减因子；</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q——内衬管道的椭圆度，宜取2%；</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N——安全系数，推荐取2.0；</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μ——泊松比，取0.3；</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L——中空壁管内腔间距（mm）；</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A——中空壁管宽度（mm）；</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B——熔接厚度（mm）；</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h——中空壁管内腔高度（mm）。</w:t>
      </w:r>
      <w:bookmarkStart w:id="29" w:name="_Toc2800"/>
      <w:bookmarkStart w:id="30" w:name="_Toc6049"/>
    </w:p>
    <w:p>
      <w:pPr>
        <w:ind w:left="360" w:firstLine="632" w:firstLineChars="30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当采用螺旋缠绕内衬法时，内衬管刚度应满足下列公式要求：</w:t>
      </w:r>
      <w:bookmarkEnd w:id="29"/>
      <w:bookmarkEnd w:id="30"/>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21"/>
        <w:gridCol w:w="18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721" w:type="dxa"/>
            <w:vAlign w:val="center"/>
          </w:tcPr>
          <w:p>
            <w:pPr>
              <w:ind w:firstLine="420"/>
              <w:rPr>
                <w:rFonts w:cs="Times New Roman"/>
                <w:i/>
                <w:color w:val="000000" w:themeColor="text1"/>
                <w:sz w:val="21"/>
                <w:lang w:eastAsia="zh-CN"/>
                <w14:textFill>
                  <w14:solidFill>
                    <w14:schemeClr w14:val="tx1"/>
                  </w14:solidFill>
                </w14:textFill>
              </w:rPr>
            </w:pPr>
            <m:oMathPara>
              <m:oMath>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E</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L</m:t>
                    </m:r>
                    <m:ctrlPr>
                      <w:rPr>
                        <w:rFonts w:ascii="Cambria Math" w:hAnsi="Cambria Math" w:cs="Times New Roman"/>
                        <w:i/>
                        <w:color w:val="000000" w:themeColor="text1"/>
                        <w:sz w:val="21"/>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I=</m:t>
                </m:r>
                <m:f>
                  <m:fPr>
                    <m:ctrlPr>
                      <w:rPr>
                        <w:rFonts w:ascii="Cambria Math" w:hAnsi="Cambria Math" w:cs="Times New Roman"/>
                        <w:i/>
                        <w:color w:val="000000" w:themeColor="text1"/>
                        <w:sz w:val="21"/>
                        <w:lang w:eastAsia="zh-CN"/>
                        <w14:textFill>
                          <w14:solidFill>
                            <w14:schemeClr w14:val="tx1"/>
                          </w14:solidFill>
                        </w14:textFill>
                      </w:rPr>
                    </m:ctrlPr>
                  </m:fPr>
                  <m:num>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P</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0</m:t>
                        </m:r>
                        <m:ctrlPr>
                          <w:rPr>
                            <w:rFonts w:ascii="Cambria Math" w:hAnsi="Cambria Math" w:cs="Times New Roman"/>
                            <w:i/>
                            <w:color w:val="000000" w:themeColor="text1"/>
                            <w:sz w:val="21"/>
                            <w:lang w:eastAsia="zh-CN"/>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N</m:t>
                    </m:r>
                    <m:sSup>
                      <m:sSupPr>
                        <m:ctrlPr>
                          <w:rPr>
                            <w:rFonts w:ascii="Cambria Math" w:hAnsi="Cambria Math" w:cs="Times New Roman"/>
                            <w:i/>
                            <w:color w:val="000000" w:themeColor="text1"/>
                            <w:sz w:val="21"/>
                            <w:lang w:eastAsia="zh-CN"/>
                            <w14:textFill>
                              <w14:solidFill>
                                <w14:schemeClr w14:val="tx1"/>
                              </w14:solidFill>
                            </w14:textFill>
                          </w:rPr>
                        </m:ctrlPr>
                      </m:sSupPr>
                      <m:e>
                        <m:r>
                          <m:rPr/>
                          <w:rPr>
                            <w:rFonts w:ascii="Cambria Math" w:hAnsi="Cambria Math" w:cs="Times New Roman"/>
                            <w:color w:val="000000" w:themeColor="text1"/>
                            <w:sz w:val="21"/>
                            <w:lang w:eastAsia="zh-CN"/>
                            <w14:textFill>
                              <w14:solidFill>
                                <w14:schemeClr w14:val="tx1"/>
                              </w14:solidFill>
                            </w14:textFill>
                          </w:rPr>
                          <m:t>D</m:t>
                        </m:r>
                        <m:ctrlPr>
                          <w:rPr>
                            <w:rFonts w:ascii="Cambria Math" w:hAnsi="Cambria Math" w:cs="Times New Roman"/>
                            <w:i/>
                            <w:color w:val="000000" w:themeColor="text1"/>
                            <w:sz w:val="21"/>
                            <w:lang w:eastAsia="zh-CN"/>
                            <w14:textFill>
                              <w14:solidFill>
                                <w14:schemeClr w14:val="tx1"/>
                              </w14:solidFill>
                            </w14:textFill>
                          </w:rPr>
                        </m:ctrlPr>
                      </m:e>
                      <m:sup>
                        <m:r>
                          <m:rPr/>
                          <w:rPr>
                            <w:rFonts w:ascii="Cambria Math" w:hAnsi="Cambria Math" w:cs="Times New Roman"/>
                            <w:color w:val="000000" w:themeColor="text1"/>
                            <w:sz w:val="21"/>
                            <w:lang w:eastAsia="zh-CN"/>
                            <w14:textFill>
                              <w14:solidFill>
                                <w14:schemeClr w14:val="tx1"/>
                              </w14:solidFill>
                            </w14:textFill>
                          </w:rPr>
                          <m:t>3</m:t>
                        </m:r>
                        <m:ctrlPr>
                          <w:rPr>
                            <w:rFonts w:ascii="Cambria Math" w:hAnsi="Cambria Math" w:cs="Times New Roman"/>
                            <w:i/>
                            <w:color w:val="000000" w:themeColor="text1"/>
                            <w:sz w:val="21"/>
                            <w:lang w:eastAsia="zh-CN"/>
                            <w14:textFill>
                              <w14:solidFill>
                                <w14:schemeClr w14:val="tx1"/>
                              </w14:solidFill>
                            </w14:textFill>
                          </w:rPr>
                        </m:ctrlPr>
                      </m:sup>
                    </m:sSup>
                    <m:ctrlPr>
                      <w:rPr>
                        <w:rFonts w:ascii="Cambria Math" w:hAnsi="Cambria Math" w:cs="Times New Roman"/>
                        <w:i/>
                        <w:color w:val="000000" w:themeColor="text1"/>
                        <w:sz w:val="21"/>
                        <w:lang w:eastAsia="zh-CN"/>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8</m:t>
                    </m:r>
                    <m:d>
                      <m:dPr>
                        <m:ctrlPr>
                          <w:rPr>
                            <w:rFonts w:ascii="Cambria Math" w:hAnsi="Cambria Math" w:cs="Times New Roman"/>
                            <w:i/>
                            <w:color w:val="000000" w:themeColor="text1"/>
                            <w:sz w:val="21"/>
                            <w:lang w:eastAsia="zh-CN"/>
                            <w14:textFill>
                              <w14:solidFill>
                                <w14:schemeClr w14:val="tx1"/>
                              </w14:solidFill>
                            </w14:textFill>
                          </w:rPr>
                        </m:ctrlPr>
                      </m:dPr>
                      <m:e>
                        <m:sSubSup>
                          <m:sSubSupPr>
                            <m:ctrlPr>
                              <w:rPr>
                                <w:rFonts w:ascii="Cambria Math" w:hAnsi="Cambria Math" w:cs="Times New Roman"/>
                                <w:i/>
                                <w:color w:val="000000" w:themeColor="text1"/>
                                <w:sz w:val="21"/>
                                <w:lang w:eastAsia="zh-CN"/>
                                <w14:textFill>
                                  <w14:solidFill>
                                    <w14:schemeClr w14:val="tx1"/>
                                  </w14:solidFill>
                                </w14:textFill>
                              </w:rPr>
                            </m:ctrlPr>
                          </m:sSubSupPr>
                          <m:e>
                            <m:r>
                              <m:rPr/>
                              <w:rPr>
                                <w:rFonts w:ascii="Cambria Math" w:hAnsi="Cambria Math" w:cs="Times New Roman"/>
                                <w:color w:val="000000" w:themeColor="text1"/>
                                <w:sz w:val="21"/>
                                <w:lang w:eastAsia="zh-CN"/>
                                <w14:textFill>
                                  <w14:solidFill>
                                    <w14:schemeClr w14:val="tx1"/>
                                  </w14:solidFill>
                                </w14:textFill>
                              </w:rPr>
                              <m:t>K</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1</m:t>
                            </m:r>
                            <m:ctrlPr>
                              <w:rPr>
                                <w:rFonts w:ascii="Cambria Math" w:hAnsi="Cambria Math" w:cs="Times New Roman"/>
                                <w:i/>
                                <w:color w:val="000000" w:themeColor="text1"/>
                                <w:sz w:val="21"/>
                                <w:lang w:eastAsia="zh-CN"/>
                                <w14:textFill>
                                  <w14:solidFill>
                                    <w14:schemeClr w14:val="tx1"/>
                                  </w14:solidFill>
                                </w14:textFill>
                              </w:rPr>
                            </m:ctrlPr>
                          </m:sub>
                          <m:sup>
                            <m:r>
                              <m:rPr/>
                              <w:rPr>
                                <w:rFonts w:ascii="Cambria Math" w:hAnsi="Cambria Math" w:cs="Times New Roman"/>
                                <w:color w:val="000000" w:themeColor="text1"/>
                                <w:sz w:val="21"/>
                                <w:lang w:eastAsia="zh-CN"/>
                                <w14:textFill>
                                  <w14:solidFill>
                                    <w14:schemeClr w14:val="tx1"/>
                                  </w14:solidFill>
                                </w14:textFill>
                              </w:rPr>
                              <m:t>2</m:t>
                            </m:r>
                            <m:ctrlPr>
                              <w:rPr>
                                <w:rFonts w:ascii="Cambria Math" w:hAnsi="Cambria Math" w:cs="Times New Roman"/>
                                <w:i/>
                                <w:color w:val="000000" w:themeColor="text1"/>
                                <w:sz w:val="21"/>
                                <w:lang w:eastAsia="zh-CN"/>
                                <w14:textFill>
                                  <w14:solidFill>
                                    <w14:schemeClr w14:val="tx1"/>
                                  </w14:solidFill>
                                </w14:textFill>
                              </w:rPr>
                            </m:ctrlPr>
                          </m:sup>
                        </m:sSubSup>
                        <m:r>
                          <m:rPr/>
                          <w:rPr>
                            <w:rFonts w:ascii="Cambria Math" w:hAnsi="Cambria Math" w:cs="Times New Roman"/>
                            <w:color w:val="000000" w:themeColor="text1"/>
                            <w:sz w:val="21"/>
                            <w:lang w:eastAsia="zh-CN"/>
                            <w14:textFill>
                              <w14:solidFill>
                                <w14:schemeClr w14:val="tx1"/>
                              </w14:solidFill>
                            </w14:textFill>
                          </w:rPr>
                          <m:t>−1</m:t>
                        </m:r>
                        <m:ctrlPr>
                          <w:rPr>
                            <w:rFonts w:ascii="Cambria Math" w:hAnsi="Cambria Math" w:cs="Times New Roman"/>
                            <w:i/>
                            <w:color w:val="000000" w:themeColor="text1"/>
                            <w:sz w:val="21"/>
                            <w:lang w:eastAsia="zh-CN"/>
                            <w14:textFill>
                              <w14:solidFill>
                                <w14:schemeClr w14:val="tx1"/>
                              </w14:solidFill>
                            </w14:textFill>
                          </w:rPr>
                        </m:ctrlPr>
                      </m:e>
                    </m:d>
                    <m:r>
                      <m:rPr/>
                      <w:rPr>
                        <w:rFonts w:ascii="Cambria Math" w:hAnsi="Cambria Math" w:cs="Times New Roman"/>
                        <w:color w:val="000000" w:themeColor="text1"/>
                        <w:sz w:val="21"/>
                        <w:lang w:eastAsia="zh-CN"/>
                        <w14:textFill>
                          <w14:solidFill>
                            <w14:schemeClr w14:val="tx1"/>
                          </w14:solidFill>
                        </w14:textFill>
                      </w:rPr>
                      <m:t>C</m:t>
                    </m:r>
                    <m:ctrlPr>
                      <w:rPr>
                        <w:rFonts w:ascii="Cambria Math" w:hAnsi="Cambria Math" w:cs="Times New Roman"/>
                        <w:i/>
                        <w:color w:val="000000" w:themeColor="text1"/>
                        <w:sz w:val="21"/>
                        <w:lang w:eastAsia="zh-CN"/>
                        <w14:textFill>
                          <w14:solidFill>
                            <w14:schemeClr w14:val="tx1"/>
                          </w14:solidFill>
                        </w14:textFill>
                      </w:rPr>
                    </m:ctrlPr>
                  </m:den>
                </m:f>
              </m:oMath>
            </m:oMathPara>
          </w:p>
        </w:tc>
        <w:tc>
          <w:tcPr>
            <w:tcW w:w="1801" w:type="dxa"/>
            <w:vAlign w:val="center"/>
          </w:tcPr>
          <w:p>
            <w:pPr>
              <w:ind w:firstLine="422"/>
              <w:rPr>
                <w:rFonts w:cs="Times New Roman"/>
                <w:b/>
                <w:bCs/>
                <w:iCs/>
                <w:color w:val="000000" w:themeColor="text1"/>
                <w:sz w:val="21"/>
                <w:lang w:eastAsia="zh-CN"/>
                <w14:textFill>
                  <w14:solidFill>
                    <w14:schemeClr w14:val="tx1"/>
                  </w14:solidFill>
                </w14:textFill>
              </w:rPr>
            </w:pPr>
            <w:r>
              <w:rPr>
                <w:rFonts w:cs="Times New Roman"/>
                <w:b/>
                <w:bCs/>
                <w:iCs/>
                <w:color w:val="000000" w:themeColor="text1"/>
                <w:sz w:val="21"/>
                <w14:textFill>
                  <w14:solidFill>
                    <w14:schemeClr w14:val="tx1"/>
                  </w14:solidFill>
                </w14:textFill>
              </w:rPr>
              <w:t>（</w:t>
            </w:r>
            <w:r>
              <w:rPr>
                <w:rFonts w:cs="Times New Roman"/>
                <w:b/>
                <w:bCs/>
                <w:iCs/>
                <w:color w:val="000000" w:themeColor="text1"/>
                <w:sz w:val="21"/>
                <w:lang w:eastAsia="zh-CN"/>
                <w14:textFill>
                  <w14:solidFill>
                    <w14:schemeClr w14:val="tx1"/>
                  </w14:solidFill>
                </w14:textFill>
              </w:rPr>
              <w:t>3</w:t>
            </w:r>
            <w:r>
              <w:rPr>
                <w:rFonts w:cs="Times New Roman"/>
                <w:b/>
                <w:bCs/>
                <w:iCs/>
                <w:color w:val="000000" w:themeColor="text1"/>
                <w:sz w:val="21"/>
                <w14:textFill>
                  <w14:solidFill>
                    <w14:schemeClr w14:val="tx1"/>
                  </w14:solidFill>
                </w14:textFill>
              </w:rPr>
              <w:t>.3.1-</w:t>
            </w:r>
            <w:r>
              <w:rPr>
                <w:rFonts w:cs="Times New Roman"/>
                <w:b/>
                <w:bCs/>
                <w:iCs/>
                <w:color w:val="000000" w:themeColor="text1"/>
                <w:sz w:val="21"/>
                <w:lang w:eastAsia="zh-CN"/>
                <w14:textFill>
                  <w14:solidFill>
                    <w14:schemeClr w14:val="tx1"/>
                  </w14:solidFill>
                </w14:textFill>
              </w:rPr>
              <w:t>9</w:t>
            </w:r>
            <w:r>
              <w:rPr>
                <w:rFonts w:cs="Times New Roman"/>
                <w:b/>
                <w:bCs/>
                <w:iCs/>
                <w:color w:val="000000" w:themeColor="text1"/>
                <w:sz w:val="21"/>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721" w:type="dxa"/>
            <w:vAlign w:val="center"/>
          </w:tcPr>
          <w:p>
            <w:pPr>
              <w:ind w:firstLine="420"/>
              <w:rPr>
                <w:rFonts w:cs="Times New Roman"/>
                <w:i/>
                <w:color w:val="000000" w:themeColor="text1"/>
                <w:sz w:val="21"/>
                <w:lang w:eastAsia="zh-CN"/>
                <w14:textFill>
                  <w14:solidFill>
                    <w14:schemeClr w14:val="tx1"/>
                  </w14:solidFill>
                </w14:textFill>
              </w:rPr>
            </w:pPr>
            <m:oMathPara>
              <m:oMath>
                <m:func>
                  <m:funcPr>
                    <m:ctrlPr>
                      <w:rPr>
                        <w:rFonts w:ascii="Cambria Math" w:hAnsi="Cambria Math" w:cs="Times New Roman"/>
                        <w:i/>
                        <w:color w:val="000000" w:themeColor="text1"/>
                        <w:sz w:val="21"/>
                        <w14:textFill>
                          <w14:solidFill>
                            <w14:schemeClr w14:val="tx1"/>
                          </w14:solidFill>
                        </w14:textFill>
                      </w:rPr>
                    </m:ctrlPr>
                  </m:funcPr>
                  <m:fName>
                    <m:r>
                      <m:rPr/>
                      <w:rPr>
                        <w:rFonts w:ascii="Cambria Math" w:hAnsi="Cambria Math" w:cs="Times New Roman"/>
                        <w:color w:val="000000" w:themeColor="text1"/>
                        <w:sz w:val="21"/>
                        <w14:textFill>
                          <w14:solidFill>
                            <w14:schemeClr w14:val="tx1"/>
                          </w14:solidFill>
                        </w14:textFill>
                      </w:rPr>
                      <m:t>sin</m:t>
                    </m:r>
                    <m:ctrlPr>
                      <w:rPr>
                        <w:rFonts w:ascii="Cambria Math" w:hAnsi="Cambria Math" w:cs="Times New Roman"/>
                        <w:i/>
                        <w:color w:val="000000" w:themeColor="text1"/>
                        <w:sz w:val="21"/>
                        <w14:textFill>
                          <w14:solidFill>
                            <w14:schemeClr w14:val="tx1"/>
                          </w14:solidFill>
                        </w14:textFill>
                      </w:rPr>
                    </m:ctrlPr>
                  </m:fName>
                  <m:e>
                    <m:f>
                      <m:fPr>
                        <m:ctrlPr>
                          <w:rPr>
                            <w:rFonts w:ascii="Cambria Math" w:hAnsi="Cambria Math" w:cs="Times New Roman"/>
                            <w:i/>
                            <w:color w:val="000000" w:themeColor="text1"/>
                            <w:sz w:val="21"/>
                            <w14:textFill>
                              <w14:solidFill>
                                <w14:schemeClr w14:val="tx1"/>
                              </w14:solidFill>
                            </w14:textFill>
                          </w:rPr>
                        </m:ctrlPr>
                      </m:fPr>
                      <m:num>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K</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1</m:t>
                            </m:r>
                            <m:ctrlPr>
                              <w:rPr>
                                <w:rFonts w:ascii="Cambria Math" w:hAnsi="Cambria Math" w:cs="Times New Roman"/>
                                <w:i/>
                                <w:color w:val="000000" w:themeColor="text1"/>
                                <w:sz w:val="21"/>
                                <w14:textFill>
                                  <w14:solidFill>
                                    <w14:schemeClr w14:val="tx1"/>
                                  </w14:solidFill>
                                </w14:textFill>
                              </w:rPr>
                            </m:ctrlPr>
                          </m:sub>
                        </m:sSub>
                        <m:r>
                          <m:rPr/>
                          <w:rPr>
                            <w:rFonts w:ascii="Cambria Math" w:hAnsi="Cambria Math" w:cs="Times New Roman"/>
                            <w:color w:val="000000" w:themeColor="text1"/>
                            <w:sz w:val="21"/>
                            <w14:textFill>
                              <w14:solidFill>
                                <w14:schemeClr w14:val="tx1"/>
                              </w14:solidFill>
                            </w14:textFill>
                          </w:rPr>
                          <m:t>φ</m:t>
                        </m:r>
                        <m:ctrlPr>
                          <w:rPr>
                            <w:rFonts w:ascii="Cambria Math" w:hAnsi="Cambria Math" w:cs="Times New Roman"/>
                            <w:i/>
                            <w:color w:val="000000" w:themeColor="text1"/>
                            <w:sz w:val="21"/>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2</m:t>
                        </m:r>
                        <m:ctrlPr>
                          <w:rPr>
                            <w:rFonts w:ascii="Cambria Math" w:hAnsi="Cambria Math" w:cs="Times New Roman"/>
                            <w:i/>
                            <w:color w:val="000000" w:themeColor="text1"/>
                            <w:sz w:val="21"/>
                            <w14:textFill>
                              <w14:solidFill>
                                <w14:schemeClr w14:val="tx1"/>
                              </w14:solidFill>
                            </w14:textFill>
                          </w:rPr>
                        </m:ctrlPr>
                      </m:den>
                    </m:f>
                    <m:func>
                      <m:funcPr>
                        <m:ctrlPr>
                          <w:rPr>
                            <w:rFonts w:ascii="Cambria Math" w:hAnsi="Cambria Math" w:cs="Times New Roman"/>
                            <w:i/>
                            <w:color w:val="000000" w:themeColor="text1"/>
                            <w:sz w:val="21"/>
                            <w14:textFill>
                              <w14:solidFill>
                                <w14:schemeClr w14:val="tx1"/>
                              </w14:solidFill>
                            </w14:textFill>
                          </w:rPr>
                        </m:ctrlPr>
                      </m:funcPr>
                      <m:fName>
                        <m:r>
                          <m:rPr/>
                          <w:rPr>
                            <w:rFonts w:ascii="Cambria Math" w:hAnsi="Cambria Math" w:cs="Times New Roman"/>
                            <w:color w:val="000000" w:themeColor="text1"/>
                            <w:sz w:val="21"/>
                            <w14:textFill>
                              <w14:solidFill>
                                <w14:schemeClr w14:val="tx1"/>
                              </w14:solidFill>
                            </w14:textFill>
                          </w:rPr>
                          <m:t>cos</m:t>
                        </m:r>
                        <m:ctrlPr>
                          <w:rPr>
                            <w:rFonts w:ascii="Cambria Math" w:hAnsi="Cambria Math" w:cs="Times New Roman"/>
                            <w:i/>
                            <w:color w:val="000000" w:themeColor="text1"/>
                            <w:sz w:val="21"/>
                            <w14:textFill>
                              <w14:solidFill>
                                <w14:schemeClr w14:val="tx1"/>
                              </w14:solidFill>
                            </w14:textFill>
                          </w:rPr>
                        </m:ctrlPr>
                      </m:fName>
                      <m:e>
                        <m:f>
                          <m:fPr>
                            <m:ctrlPr>
                              <w:rPr>
                                <w:rFonts w:ascii="Cambria Math" w:hAnsi="Cambria Math" w:cs="Times New Roman"/>
                                <w:i/>
                                <w:color w:val="000000" w:themeColor="text1"/>
                                <w:sz w:val="21"/>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φ</m:t>
                            </m:r>
                            <m:ctrlPr>
                              <w:rPr>
                                <w:rFonts w:ascii="Cambria Math" w:hAnsi="Cambria Math" w:cs="Times New Roman"/>
                                <w:i/>
                                <w:color w:val="000000" w:themeColor="text1"/>
                                <w:sz w:val="21"/>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2</m:t>
                            </m:r>
                            <m:ctrlPr>
                              <w:rPr>
                                <w:rFonts w:ascii="Cambria Math" w:hAnsi="Cambria Math" w:cs="Times New Roman"/>
                                <w:i/>
                                <w:color w:val="000000" w:themeColor="text1"/>
                                <w:sz w:val="21"/>
                                <w14:textFill>
                                  <w14:solidFill>
                                    <w14:schemeClr w14:val="tx1"/>
                                  </w14:solidFill>
                                </w14:textFill>
                              </w:rPr>
                            </m:ctrlPr>
                          </m:den>
                        </m:f>
                        <m:ctrlPr>
                          <w:rPr>
                            <w:rFonts w:ascii="Cambria Math" w:hAnsi="Cambria Math" w:cs="Times New Roman"/>
                            <w:i/>
                            <w:color w:val="000000" w:themeColor="text1"/>
                            <w:sz w:val="21"/>
                            <w14:textFill>
                              <w14:solidFill>
                                <w14:schemeClr w14:val="tx1"/>
                              </w14:solidFill>
                            </w14:textFill>
                          </w:rPr>
                        </m:ctrlPr>
                      </m:e>
                    </m:func>
                    <m:ctrlPr>
                      <w:rPr>
                        <w:rFonts w:ascii="Cambria Math" w:hAnsi="Cambria Math" w:cs="Times New Roman"/>
                        <w:i/>
                        <w:color w:val="000000" w:themeColor="text1"/>
                        <w:sz w:val="21"/>
                        <w14:textFill>
                          <w14:solidFill>
                            <w14:schemeClr w14:val="tx1"/>
                          </w14:solidFill>
                        </w14:textFill>
                      </w:rPr>
                    </m:ctrlPr>
                  </m:e>
                </m:func>
                <m:r>
                  <m:rPr/>
                  <w:rPr>
                    <w:rFonts w:ascii="Cambria Math" w:hAnsi="Cambria Math" w:cs="Times New Roman"/>
                    <w:color w:val="000000" w:themeColor="text1"/>
                    <w:sz w:val="21"/>
                    <w:lang w:eastAsia="zh-CN"/>
                    <w14:textFill>
                      <w14:solidFill>
                        <w14:schemeClr w14:val="tx1"/>
                      </w14:solidFill>
                    </w14:textFill>
                  </w:rPr>
                  <m:t>=</m:t>
                </m:r>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K</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1</m:t>
                    </m:r>
                    <m:ctrlPr>
                      <w:rPr>
                        <w:rFonts w:ascii="Cambria Math" w:hAnsi="Cambria Math" w:cs="Times New Roman"/>
                        <w:i/>
                        <w:color w:val="000000" w:themeColor="text1"/>
                        <w:sz w:val="21"/>
                        <w:lang w:eastAsia="zh-CN"/>
                        <w14:textFill>
                          <w14:solidFill>
                            <w14:schemeClr w14:val="tx1"/>
                          </w14:solidFill>
                        </w14:textFill>
                      </w:rPr>
                    </m:ctrlPr>
                  </m:sub>
                </m:sSub>
                <m:func>
                  <m:funcPr>
                    <m:ctrlPr>
                      <w:rPr>
                        <w:rFonts w:ascii="Cambria Math" w:hAnsi="Cambria Math" w:cs="Times New Roman"/>
                        <w:i/>
                        <w:color w:val="000000" w:themeColor="text1"/>
                        <w:sz w:val="21"/>
                        <w:lang w:eastAsia="zh-CN"/>
                        <w14:textFill>
                          <w14:solidFill>
                            <w14:schemeClr w14:val="tx1"/>
                          </w14:solidFill>
                        </w14:textFill>
                      </w:rPr>
                    </m:ctrlPr>
                  </m:funcPr>
                  <m:fName>
                    <m:r>
                      <m:rPr/>
                      <w:rPr>
                        <w:rFonts w:ascii="Cambria Math" w:hAnsi="Cambria Math" w:cs="Times New Roman"/>
                        <w:color w:val="000000" w:themeColor="text1"/>
                        <w:sz w:val="21"/>
                        <w14:textFill>
                          <w14:solidFill>
                            <w14:schemeClr w14:val="tx1"/>
                          </w14:solidFill>
                        </w14:textFill>
                      </w:rPr>
                      <m:t>sin</m:t>
                    </m:r>
                    <m:ctrlPr>
                      <w:rPr>
                        <w:rFonts w:ascii="Cambria Math" w:hAnsi="Cambria Math" w:cs="Times New Roman"/>
                        <w:i/>
                        <w:color w:val="000000" w:themeColor="text1"/>
                        <w:sz w:val="21"/>
                        <w:lang w:eastAsia="zh-CN"/>
                        <w14:textFill>
                          <w14:solidFill>
                            <w14:schemeClr w14:val="tx1"/>
                          </w14:solidFill>
                        </w14:textFill>
                      </w:rPr>
                    </m:ctrlPr>
                  </m:fName>
                  <m:e>
                    <m:f>
                      <m:fPr>
                        <m:ctrlPr>
                          <w:rPr>
                            <w:rFonts w:ascii="Cambria Math" w:hAnsi="Cambria Math" w:cs="Times New Roman"/>
                            <w:i/>
                            <w:color w:val="000000" w:themeColor="text1"/>
                            <w:sz w:val="21"/>
                            <w:lang w:eastAsia="zh-CN"/>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φ</m:t>
                        </m:r>
                        <m:ctrlPr>
                          <w:rPr>
                            <w:rFonts w:ascii="Cambria Math" w:hAnsi="Cambria Math" w:cs="Times New Roman"/>
                            <w:i/>
                            <w:color w:val="000000" w:themeColor="text1"/>
                            <w:sz w:val="21"/>
                            <w:lang w:eastAsia="zh-CN"/>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2</m:t>
                        </m:r>
                        <m:ctrlPr>
                          <w:rPr>
                            <w:rFonts w:ascii="Cambria Math" w:hAnsi="Cambria Math" w:cs="Times New Roman"/>
                            <w:i/>
                            <w:color w:val="000000" w:themeColor="text1"/>
                            <w:sz w:val="21"/>
                            <w:lang w:eastAsia="zh-CN"/>
                            <w14:textFill>
                              <w14:solidFill>
                                <w14:schemeClr w14:val="tx1"/>
                              </w14:solidFill>
                            </w14:textFill>
                          </w:rPr>
                        </m:ctrlPr>
                      </m:den>
                    </m:f>
                    <m:func>
                      <m:funcPr>
                        <m:ctrlPr>
                          <w:rPr>
                            <w:rFonts w:ascii="Cambria Math" w:hAnsi="Cambria Math" w:cs="Times New Roman"/>
                            <w:i/>
                            <w:color w:val="000000" w:themeColor="text1"/>
                            <w:sz w:val="21"/>
                            <w:lang w:eastAsia="zh-CN"/>
                            <w14:textFill>
                              <w14:solidFill>
                                <w14:schemeClr w14:val="tx1"/>
                              </w14:solidFill>
                            </w14:textFill>
                          </w:rPr>
                        </m:ctrlPr>
                      </m:funcPr>
                      <m:fName>
                        <m:r>
                          <m:rPr/>
                          <w:rPr>
                            <w:rFonts w:ascii="Cambria Math" w:hAnsi="Cambria Math" w:cs="Times New Roman"/>
                            <w:color w:val="000000" w:themeColor="text1"/>
                            <w:sz w:val="21"/>
                            <w14:textFill>
                              <w14:solidFill>
                                <w14:schemeClr w14:val="tx1"/>
                              </w14:solidFill>
                            </w14:textFill>
                          </w:rPr>
                          <m:t>cos</m:t>
                        </m:r>
                        <m:ctrlPr>
                          <w:rPr>
                            <w:rFonts w:ascii="Cambria Math" w:hAnsi="Cambria Math" w:cs="Times New Roman"/>
                            <w:i/>
                            <w:color w:val="000000" w:themeColor="text1"/>
                            <w:sz w:val="21"/>
                            <w:lang w:eastAsia="zh-CN"/>
                            <w14:textFill>
                              <w14:solidFill>
                                <w14:schemeClr w14:val="tx1"/>
                              </w14:solidFill>
                            </w14:textFill>
                          </w:rPr>
                        </m:ctrlPr>
                      </m:fName>
                      <m:e>
                        <m:f>
                          <m:fPr>
                            <m:ctrlPr>
                              <w:rPr>
                                <w:rFonts w:ascii="Cambria Math" w:hAnsi="Cambria Math" w:cs="Times New Roman"/>
                                <w:i/>
                                <w:color w:val="000000" w:themeColor="text1"/>
                                <w:sz w:val="21"/>
                                <w:lang w:eastAsia="zh-CN"/>
                                <w14:textFill>
                                  <w14:solidFill>
                                    <w14:schemeClr w14:val="tx1"/>
                                  </w14:solidFill>
                                </w14:textFill>
                              </w:rPr>
                            </m:ctrlPr>
                          </m:fPr>
                          <m:num>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K</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1</m:t>
                                </m:r>
                                <m:ctrlPr>
                                  <w:rPr>
                                    <w:rFonts w:ascii="Cambria Math" w:hAnsi="Cambria Math" w:cs="Times New Roman"/>
                                    <w:i/>
                                    <w:color w:val="000000" w:themeColor="text1"/>
                                    <w:sz w:val="21"/>
                                    <w:lang w:eastAsia="zh-CN"/>
                                    <w14:textFill>
                                      <w14:solidFill>
                                        <w14:schemeClr w14:val="tx1"/>
                                      </w14:solidFill>
                                    </w14:textFill>
                                  </w:rPr>
                                </m:ctrlPr>
                              </m:sub>
                            </m:sSub>
                            <m:r>
                              <m:rPr/>
                              <w:rPr>
                                <w:rFonts w:ascii="Cambria Math" w:hAnsi="Cambria Math" w:cs="Times New Roman"/>
                                <w:color w:val="000000" w:themeColor="text1"/>
                                <w:sz w:val="21"/>
                                <w14:textFill>
                                  <w14:solidFill>
                                    <w14:schemeClr w14:val="tx1"/>
                                  </w14:solidFill>
                                </w14:textFill>
                              </w:rPr>
                              <m:t>φ</m:t>
                            </m:r>
                            <m:ctrlPr>
                              <w:rPr>
                                <w:rFonts w:ascii="Cambria Math" w:hAnsi="Cambria Math" w:cs="Times New Roman"/>
                                <w:i/>
                                <w:color w:val="000000" w:themeColor="text1"/>
                                <w:sz w:val="21"/>
                                <w:lang w:eastAsia="zh-CN"/>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2</m:t>
                            </m:r>
                            <m:ctrlPr>
                              <w:rPr>
                                <w:rFonts w:ascii="Cambria Math" w:hAnsi="Cambria Math" w:cs="Times New Roman"/>
                                <w:i/>
                                <w:color w:val="000000" w:themeColor="text1"/>
                                <w:sz w:val="21"/>
                                <w:lang w:eastAsia="zh-CN"/>
                                <w14:textFill>
                                  <w14:solidFill>
                                    <w14:schemeClr w14:val="tx1"/>
                                  </w14:solidFill>
                                </w14:textFill>
                              </w:rPr>
                            </m:ctrlPr>
                          </m:den>
                        </m:f>
                        <m:ctrlPr>
                          <w:rPr>
                            <w:rFonts w:ascii="Cambria Math" w:hAnsi="Cambria Math" w:cs="Times New Roman"/>
                            <w:i/>
                            <w:color w:val="000000" w:themeColor="text1"/>
                            <w:sz w:val="21"/>
                            <w:lang w:eastAsia="zh-CN"/>
                            <w14:textFill>
                              <w14:solidFill>
                                <w14:schemeClr w14:val="tx1"/>
                              </w14:solidFill>
                            </w14:textFill>
                          </w:rPr>
                        </m:ctrlPr>
                      </m:e>
                    </m:func>
                    <m:ctrlPr>
                      <w:rPr>
                        <w:rFonts w:ascii="Cambria Math" w:hAnsi="Cambria Math" w:cs="Times New Roman"/>
                        <w:i/>
                        <w:color w:val="000000" w:themeColor="text1"/>
                        <w:sz w:val="21"/>
                        <w:lang w:eastAsia="zh-CN"/>
                        <w14:textFill>
                          <w14:solidFill>
                            <w14:schemeClr w14:val="tx1"/>
                          </w14:solidFill>
                        </w14:textFill>
                      </w:rPr>
                    </m:ctrlPr>
                  </m:e>
                </m:func>
              </m:oMath>
            </m:oMathPara>
          </w:p>
        </w:tc>
        <w:tc>
          <w:tcPr>
            <w:tcW w:w="1801" w:type="dxa"/>
            <w:vAlign w:val="center"/>
          </w:tcPr>
          <w:p>
            <w:pPr>
              <w:ind w:firstLine="422"/>
              <w:rPr>
                <w:rFonts w:cs="Times New Roman"/>
                <w:b/>
                <w:bCs/>
                <w:iCs/>
                <w:color w:val="000000" w:themeColor="text1"/>
                <w:sz w:val="21"/>
                <w:lang w:eastAsia="zh-CN"/>
                <w14:textFill>
                  <w14:solidFill>
                    <w14:schemeClr w14:val="tx1"/>
                  </w14:solidFill>
                </w14:textFill>
              </w:rPr>
            </w:pPr>
            <w:r>
              <w:rPr>
                <w:rFonts w:cs="Times New Roman"/>
                <w:b/>
                <w:bCs/>
                <w:iCs/>
                <w:color w:val="000000" w:themeColor="text1"/>
                <w:sz w:val="21"/>
                <w14:textFill>
                  <w14:solidFill>
                    <w14:schemeClr w14:val="tx1"/>
                  </w14:solidFill>
                </w14:textFill>
              </w:rPr>
              <w:t>（</w:t>
            </w:r>
            <w:r>
              <w:rPr>
                <w:rFonts w:cs="Times New Roman"/>
                <w:b/>
                <w:bCs/>
                <w:iCs/>
                <w:color w:val="000000" w:themeColor="text1"/>
                <w:sz w:val="21"/>
                <w:lang w:eastAsia="zh-CN"/>
                <w14:textFill>
                  <w14:solidFill>
                    <w14:schemeClr w14:val="tx1"/>
                  </w14:solidFill>
                </w14:textFill>
              </w:rPr>
              <w:t>3</w:t>
            </w:r>
            <w:r>
              <w:rPr>
                <w:rFonts w:cs="Times New Roman"/>
                <w:b/>
                <w:bCs/>
                <w:iCs/>
                <w:color w:val="000000" w:themeColor="text1"/>
                <w:sz w:val="21"/>
                <w14:textFill>
                  <w14:solidFill>
                    <w14:schemeClr w14:val="tx1"/>
                  </w14:solidFill>
                </w14:textFill>
              </w:rPr>
              <w:t>.3.1-</w:t>
            </w:r>
            <w:r>
              <w:rPr>
                <w:rFonts w:cs="Times New Roman"/>
                <w:b/>
                <w:bCs/>
                <w:iCs/>
                <w:color w:val="000000" w:themeColor="text1"/>
                <w:sz w:val="21"/>
                <w:lang w:eastAsia="zh-CN"/>
                <w14:textFill>
                  <w14:solidFill>
                    <w14:schemeClr w14:val="tx1"/>
                  </w14:solidFill>
                </w14:textFill>
              </w:rPr>
              <w:t>10</w:t>
            </w:r>
            <w:r>
              <w:rPr>
                <w:rFonts w:cs="Times New Roman"/>
                <w:b/>
                <w:bCs/>
                <w:iCs/>
                <w:color w:val="000000" w:themeColor="text1"/>
                <w:sz w:val="21"/>
                <w14:textFill>
                  <w14:solidFill>
                    <w14:schemeClr w14:val="tx1"/>
                  </w14:solidFill>
                </w14:textFill>
              </w:rPr>
              <w:t>）</w:t>
            </w:r>
          </w:p>
        </w:tc>
      </w:tr>
    </w:tbl>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式中：φ——未注浆角度（图3.3.1-2）；</w:t>
      </w:r>
    </w:p>
    <w:p>
      <w:pPr>
        <w:ind w:left="840" w:firstLine="210" w:firstLineChars="1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K₁——与未注浆角度φ相关的系数，K₁取值与未注浆角度的关系应符合表3.3.1的规定。</w:t>
      </w:r>
    </w:p>
    <w:p>
      <w:pPr>
        <w:ind w:firstLine="422"/>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表3.3.1 K</w:t>
      </w:r>
      <w:r>
        <w:rPr>
          <w:rFonts w:cs="Times New Roman"/>
          <w:b/>
          <w:bCs/>
          <w:color w:val="000000" w:themeColor="text1"/>
          <w:sz w:val="21"/>
          <w:vertAlign w:val="subscript"/>
          <w:lang w:eastAsia="zh-CN"/>
          <w14:textFill>
            <w14:solidFill>
              <w14:schemeClr w14:val="tx1"/>
            </w14:solidFill>
          </w14:textFill>
        </w:rPr>
        <w:t>1</w:t>
      </w:r>
      <w:r>
        <w:rPr>
          <w:rFonts w:cs="Times New Roman"/>
          <w:b/>
          <w:bCs/>
          <w:color w:val="000000" w:themeColor="text1"/>
          <w:sz w:val="21"/>
          <w:lang w:eastAsia="zh-CN"/>
          <w14:textFill>
            <w14:solidFill>
              <w14:schemeClr w14:val="tx1"/>
            </w14:solidFill>
          </w14:textFill>
        </w:rPr>
        <w:t>取值与未注浆角度的关系</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844"/>
        <w:gridCol w:w="787"/>
        <w:gridCol w:w="869"/>
        <w:gridCol w:w="869"/>
        <w:gridCol w:w="869"/>
        <w:gridCol w:w="726"/>
        <w:gridCol w:w="724"/>
        <w:gridCol w:w="854"/>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67"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φ（*）</w:t>
            </w:r>
          </w:p>
        </w:tc>
        <w:tc>
          <w:tcPr>
            <w:tcW w:w="495"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w:t>
            </w:r>
          </w:p>
        </w:tc>
        <w:tc>
          <w:tcPr>
            <w:tcW w:w="462"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20</w:t>
            </w:r>
          </w:p>
        </w:tc>
        <w:tc>
          <w:tcPr>
            <w:tcW w:w="510"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30</w:t>
            </w:r>
          </w:p>
        </w:tc>
        <w:tc>
          <w:tcPr>
            <w:tcW w:w="510"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40</w:t>
            </w:r>
          </w:p>
        </w:tc>
        <w:tc>
          <w:tcPr>
            <w:tcW w:w="510"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50</w:t>
            </w:r>
          </w:p>
        </w:tc>
        <w:tc>
          <w:tcPr>
            <w:tcW w:w="426"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60</w:t>
            </w:r>
          </w:p>
        </w:tc>
        <w:tc>
          <w:tcPr>
            <w:tcW w:w="425"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70</w:t>
            </w:r>
          </w:p>
        </w:tc>
        <w:tc>
          <w:tcPr>
            <w:tcW w:w="501"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80</w:t>
            </w:r>
          </w:p>
        </w:tc>
        <w:tc>
          <w:tcPr>
            <w:tcW w:w="395"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67"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K</w:t>
            </w:r>
            <w:r>
              <w:rPr>
                <w:rFonts w:cs="Times New Roman"/>
                <w:snapToGrid/>
                <w:color w:val="000000" w:themeColor="text1"/>
                <w:sz w:val="21"/>
                <w:vertAlign w:val="subscript"/>
                <w:lang w:eastAsia="zh-CN"/>
                <w14:textFill>
                  <w14:solidFill>
                    <w14:schemeClr w14:val="tx1"/>
                  </w14:solidFill>
                </w14:textFill>
              </w:rPr>
              <w:t>1</w:t>
            </w:r>
          </w:p>
        </w:tc>
        <w:tc>
          <w:tcPr>
            <w:tcW w:w="495"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51.5</w:t>
            </w:r>
          </w:p>
        </w:tc>
        <w:tc>
          <w:tcPr>
            <w:tcW w:w="462"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25.76</w:t>
            </w:r>
          </w:p>
        </w:tc>
        <w:tc>
          <w:tcPr>
            <w:tcW w:w="510"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17.18</w:t>
            </w:r>
          </w:p>
        </w:tc>
        <w:tc>
          <w:tcPr>
            <w:tcW w:w="510"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12.90</w:t>
            </w:r>
          </w:p>
        </w:tc>
        <w:tc>
          <w:tcPr>
            <w:tcW w:w="510"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10.33</w:t>
            </w:r>
          </w:p>
        </w:tc>
        <w:tc>
          <w:tcPr>
            <w:tcW w:w="426"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8.62</w:t>
            </w:r>
          </w:p>
        </w:tc>
        <w:tc>
          <w:tcPr>
            <w:tcW w:w="425"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7.40</w:t>
            </w:r>
          </w:p>
        </w:tc>
        <w:tc>
          <w:tcPr>
            <w:tcW w:w="501"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6.50</w:t>
            </w:r>
          </w:p>
        </w:tc>
        <w:tc>
          <w:tcPr>
            <w:tcW w:w="395"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67"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φ（*）</w:t>
            </w:r>
          </w:p>
        </w:tc>
        <w:tc>
          <w:tcPr>
            <w:tcW w:w="495"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100</w:t>
            </w:r>
          </w:p>
        </w:tc>
        <w:tc>
          <w:tcPr>
            <w:tcW w:w="462"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110</w:t>
            </w:r>
          </w:p>
        </w:tc>
        <w:tc>
          <w:tcPr>
            <w:tcW w:w="510"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120</w:t>
            </w:r>
          </w:p>
        </w:tc>
        <w:tc>
          <w:tcPr>
            <w:tcW w:w="510"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130</w:t>
            </w:r>
          </w:p>
        </w:tc>
        <w:tc>
          <w:tcPr>
            <w:tcW w:w="510"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140</w:t>
            </w:r>
          </w:p>
        </w:tc>
        <w:tc>
          <w:tcPr>
            <w:tcW w:w="426"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150</w:t>
            </w:r>
          </w:p>
        </w:tc>
        <w:tc>
          <w:tcPr>
            <w:tcW w:w="425"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160</w:t>
            </w:r>
          </w:p>
        </w:tc>
        <w:tc>
          <w:tcPr>
            <w:tcW w:w="501"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170</w:t>
            </w:r>
          </w:p>
        </w:tc>
        <w:tc>
          <w:tcPr>
            <w:tcW w:w="395"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67"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K</w:t>
            </w:r>
            <w:r>
              <w:rPr>
                <w:rFonts w:cs="Times New Roman"/>
                <w:snapToGrid/>
                <w:color w:val="000000" w:themeColor="text1"/>
                <w:sz w:val="21"/>
                <w:vertAlign w:val="subscript"/>
                <w:lang w:eastAsia="zh-CN"/>
                <w14:textFill>
                  <w14:solidFill>
                    <w14:schemeClr w14:val="tx1"/>
                  </w14:solidFill>
                </w14:textFill>
              </w:rPr>
              <w:t>1</w:t>
            </w:r>
          </w:p>
        </w:tc>
        <w:tc>
          <w:tcPr>
            <w:tcW w:w="495"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5.22</w:t>
            </w:r>
          </w:p>
        </w:tc>
        <w:tc>
          <w:tcPr>
            <w:tcW w:w="462"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4.76</w:t>
            </w:r>
          </w:p>
        </w:tc>
        <w:tc>
          <w:tcPr>
            <w:tcW w:w="510"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4.37</w:t>
            </w:r>
          </w:p>
        </w:tc>
        <w:tc>
          <w:tcPr>
            <w:tcW w:w="510"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4.05</w:t>
            </w:r>
          </w:p>
        </w:tc>
        <w:tc>
          <w:tcPr>
            <w:tcW w:w="510"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3.78</w:t>
            </w:r>
          </w:p>
        </w:tc>
        <w:tc>
          <w:tcPr>
            <w:tcW w:w="426"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3.54</w:t>
            </w:r>
          </w:p>
        </w:tc>
        <w:tc>
          <w:tcPr>
            <w:tcW w:w="425"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3.34</w:t>
            </w:r>
          </w:p>
        </w:tc>
        <w:tc>
          <w:tcPr>
            <w:tcW w:w="501"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3.16</w:t>
            </w:r>
          </w:p>
        </w:tc>
        <w:tc>
          <w:tcPr>
            <w:tcW w:w="395" w:type="pct"/>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3.00</w:t>
            </w:r>
          </w:p>
        </w:tc>
      </w:tr>
    </w:tbl>
    <w:p>
      <w:pPr>
        <w:jc w:val="center"/>
        <w:rPr>
          <w:rFonts w:cs="Times New Roman"/>
          <w:color w:val="000000" w:themeColor="text1"/>
          <w:sz w:val="21"/>
          <w:lang w:eastAsia="zh-CN"/>
          <w14:textFill>
            <w14:solidFill>
              <w14:schemeClr w14:val="tx1"/>
            </w14:solidFill>
          </w14:textFill>
        </w:rPr>
      </w:pPr>
      <w:r>
        <w:rPr>
          <w:color w:val="auto"/>
          <w:lang w:eastAsia="zh-CN"/>
        </w:rPr>
        <w:drawing>
          <wp:inline distT="0" distB="0" distL="0" distR="0">
            <wp:extent cx="2105025" cy="1957070"/>
            <wp:effectExtent l="0" t="0" r="0" b="5080"/>
            <wp:docPr id="3326837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8377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05082" cy="1957635"/>
                    </a:xfrm>
                    <a:prstGeom prst="rect">
                      <a:avLst/>
                    </a:prstGeom>
                    <a:noFill/>
                    <a:ln>
                      <a:noFill/>
                    </a:ln>
                  </pic:spPr>
                </pic:pic>
              </a:graphicData>
            </a:graphic>
          </wp:inline>
        </w:drawing>
      </w:r>
    </w:p>
    <w:p>
      <w:pPr>
        <w:ind w:firstLine="422"/>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图 3.3.1-2 未灌浆角度示意图</w:t>
      </w:r>
    </w:p>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1-原有管道；2-浆体；3-螺旋缠绕内衬管，</w:t>
      </w:r>
      <m:oMath>
        <m:r>
          <m:rPr>
            <m:sty m:val="bi"/>
          </m:rPr>
          <w:rPr>
            <w:rFonts w:ascii="Cambria Math" w:hAnsi="Cambria Math" w:cs="Times New Roman"/>
            <w:color w:val="000000" w:themeColor="text1"/>
            <w:sz w:val="21"/>
            <w:lang w:eastAsia="zh-CN"/>
            <w14:textFill>
              <w14:solidFill>
                <w14:schemeClr w14:val="tx1"/>
              </w14:solidFill>
            </w14:textFill>
          </w:rPr>
          <m:t>φ</m:t>
        </m:r>
      </m:oMath>
      <w:r>
        <w:rPr>
          <w:rFonts w:cs="Times New Roman"/>
          <w:b/>
          <w:bCs/>
          <w:color w:val="000000" w:themeColor="text1"/>
          <w:sz w:val="21"/>
          <w:lang w:eastAsia="zh-CN"/>
          <w14:textFill>
            <w14:solidFill>
              <w14:schemeClr w14:val="tx1"/>
            </w14:solidFill>
          </w14:textFill>
        </w:rPr>
        <w:t>-未注浆角度</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4 </w:t>
      </w:r>
      <w:r>
        <w:rPr>
          <w:rFonts w:cs="Times New Roman"/>
          <w:color w:val="000000" w:themeColor="text1"/>
          <w:sz w:val="21"/>
          <w:lang w:eastAsia="zh-CN"/>
          <w14:textFill>
            <w14:solidFill>
              <w14:schemeClr w14:val="tx1"/>
            </w14:solidFill>
          </w14:textFill>
        </w:rPr>
        <w:t>当内衬管椭圆度不为零时，按式（3.3.1-1）或式（3.3.1-4）计算的内衬管的壁厚的最小值不应小于下列公式计算结果：</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9"/>
        <w:gridCol w:w="1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99" w:type="dxa"/>
          </w:tcPr>
          <w:p>
            <w:pPr>
              <w:ind w:firstLine="0" w:firstLineChars="0"/>
              <w:rPr>
                <w:rFonts w:cs="Times New Roman"/>
                <w:color w:val="000000" w:themeColor="text1"/>
                <w:sz w:val="21"/>
                <w14:textFill>
                  <w14:solidFill>
                    <w14:schemeClr w14:val="tx1"/>
                  </w14:solidFill>
                </w14:textFill>
              </w:rPr>
            </w:pPr>
            <m:oMathPara>
              <m:oMath>
                <m:r>
                  <m:rPr/>
                  <w:rPr>
                    <w:rFonts w:ascii="Cambria Math" w:hAnsi="Cambria Math" w:cs="Times New Roman"/>
                    <w:color w:val="000000" w:themeColor="text1"/>
                    <w:sz w:val="21"/>
                    <w14:textFill>
                      <w14:solidFill>
                        <w14:schemeClr w14:val="tx1"/>
                      </w14:solidFill>
                    </w14:textFill>
                  </w:rPr>
                  <m:t>1.5</m:t>
                </m:r>
                <m:r>
                  <m:rPr/>
                  <w:rPr>
                    <w:rFonts w:ascii="Cambria Math" w:hAnsi="Cambria Math" w:cs="Times New Roman"/>
                    <w:color w:val="000000" w:themeColor="text1"/>
                    <w:sz w:val="21"/>
                    <w:lang w:eastAsia="zh-CN"/>
                    <w14:textFill>
                      <w14:solidFill>
                        <w14:schemeClr w14:val="tx1"/>
                      </w14:solidFill>
                    </w14:textFill>
                  </w:rPr>
                  <m:t>q</m:t>
                </m:r>
                <m:d>
                  <m:dPr>
                    <m:ctrlPr>
                      <w:rPr>
                        <w:rFonts w:ascii="Cambria Math" w:hAnsi="Cambria Math" w:cs="Times New Roman"/>
                        <w:i/>
                        <w:color w:val="000000" w:themeColor="text1"/>
                        <w:sz w:val="21"/>
                        <w14:textFill>
                          <w14:solidFill>
                            <w14:schemeClr w14:val="tx1"/>
                          </w14:solidFill>
                        </w14:textFill>
                      </w:rPr>
                    </m:ctrlPr>
                  </m:dPr>
                  <m:e>
                    <m:r>
                      <m:rPr/>
                      <w:rPr>
                        <w:rFonts w:ascii="Cambria Math" w:hAnsi="Cambria Math" w:cs="Times New Roman"/>
                        <w:color w:val="000000" w:themeColor="text1"/>
                        <w:sz w:val="21"/>
                        <w14:textFill>
                          <w14:solidFill>
                            <w14:schemeClr w14:val="tx1"/>
                          </w14:solidFill>
                        </w14:textFill>
                      </w:rPr>
                      <m:t>1+</m:t>
                    </m:r>
                    <m:r>
                      <m:rPr/>
                      <w:rPr>
                        <w:rFonts w:ascii="Cambria Math" w:hAnsi="Cambria Math" w:cs="Times New Roman"/>
                        <w:color w:val="000000" w:themeColor="text1"/>
                        <w:sz w:val="21"/>
                        <w:lang w:eastAsia="zh-CN"/>
                        <w14:textFill>
                          <w14:solidFill>
                            <w14:schemeClr w14:val="tx1"/>
                          </w14:solidFill>
                        </w14:textFill>
                      </w:rPr>
                      <m:t>q</m:t>
                    </m:r>
                    <m:ctrlPr>
                      <w:rPr>
                        <w:rFonts w:ascii="Cambria Math" w:hAnsi="Cambria Math" w:cs="Times New Roman"/>
                        <w:i/>
                        <w:color w:val="000000" w:themeColor="text1"/>
                        <w:sz w:val="21"/>
                        <w14:textFill>
                          <w14:solidFill>
                            <w14:schemeClr w14:val="tx1"/>
                          </w14:solidFill>
                        </w14:textFill>
                      </w:rPr>
                    </m:ctrlPr>
                  </m:e>
                </m:d>
                <m:r>
                  <m:rPr/>
                  <w:rPr>
                    <w:rFonts w:ascii="Cambria Math" w:hAnsi="Cambria Math" w:cs="Times New Roman"/>
                    <w:color w:val="000000" w:themeColor="text1"/>
                    <w:sz w:val="21"/>
                    <w14:textFill>
                      <w14:solidFill>
                        <w14:schemeClr w14:val="tx1"/>
                      </w14:solidFill>
                    </w14:textFill>
                  </w:rPr>
                  <m:t>SD</m:t>
                </m:r>
                <m:sSup>
                  <m:sSupPr>
                    <m:ctrlPr>
                      <w:rPr>
                        <w:rFonts w:ascii="Cambria Math" w:hAnsi="Cambria Math" w:cs="Times New Roman"/>
                        <w:i/>
                        <w:color w:val="000000" w:themeColor="text1"/>
                        <w:sz w:val="21"/>
                        <w14:textFill>
                          <w14:solidFill>
                            <w14:schemeClr w14:val="tx1"/>
                          </w14:solidFill>
                        </w14:textFill>
                      </w:rPr>
                    </m:ctrlPr>
                  </m:sSupPr>
                  <m:e>
                    <m:r>
                      <m:rPr/>
                      <w:rPr>
                        <w:rFonts w:ascii="Cambria Math" w:hAnsi="Cambria Math" w:cs="Times New Roman"/>
                        <w:color w:val="000000" w:themeColor="text1"/>
                        <w:sz w:val="21"/>
                        <w14:textFill>
                          <w14:solidFill>
                            <w14:schemeClr w14:val="tx1"/>
                          </w14:solidFill>
                        </w14:textFill>
                      </w:rPr>
                      <m:t>R</m:t>
                    </m:r>
                    <m:ctrlPr>
                      <w:rPr>
                        <w:rFonts w:ascii="Cambria Math" w:hAnsi="Cambria Math" w:cs="Times New Roman"/>
                        <w:i/>
                        <w:color w:val="000000" w:themeColor="text1"/>
                        <w:sz w:val="21"/>
                        <w14:textFill>
                          <w14:solidFill>
                            <w14:schemeClr w14:val="tx1"/>
                          </w14:solidFill>
                        </w14:textFill>
                      </w:rPr>
                    </m:ctrlPr>
                  </m:e>
                  <m:sup>
                    <m:r>
                      <m:rPr/>
                      <w:rPr>
                        <w:rFonts w:ascii="Cambria Math" w:hAnsi="Cambria Math" w:cs="Times New Roman"/>
                        <w:color w:val="000000" w:themeColor="text1"/>
                        <w:sz w:val="21"/>
                        <w14:textFill>
                          <w14:solidFill>
                            <w14:schemeClr w14:val="tx1"/>
                          </w14:solidFill>
                        </w14:textFill>
                      </w:rPr>
                      <m:t>2</m:t>
                    </m:r>
                    <m:ctrlPr>
                      <w:rPr>
                        <w:rFonts w:ascii="Cambria Math" w:hAnsi="Cambria Math" w:cs="Times New Roman"/>
                        <w:i/>
                        <w:color w:val="000000" w:themeColor="text1"/>
                        <w:sz w:val="21"/>
                        <w14:textFill>
                          <w14:solidFill>
                            <w14:schemeClr w14:val="tx1"/>
                          </w14:solidFill>
                        </w14:textFill>
                      </w:rPr>
                    </m:ctrlPr>
                  </m:sup>
                </m:sSup>
                <m:r>
                  <m:rPr/>
                  <w:rPr>
                    <w:rFonts w:ascii="Cambria Math" w:hAnsi="Cambria Math" w:cs="Times New Roman"/>
                    <w:color w:val="000000" w:themeColor="text1"/>
                    <w:sz w:val="21"/>
                    <w14:textFill>
                      <w14:solidFill>
                        <w14:schemeClr w14:val="tx1"/>
                      </w14:solidFill>
                    </w14:textFill>
                  </w:rPr>
                  <m:t>−0.5</m:t>
                </m:r>
                <m:d>
                  <m:dPr>
                    <m:ctrlPr>
                      <w:rPr>
                        <w:rFonts w:ascii="Cambria Math" w:hAnsi="Cambria Math" w:cs="Times New Roman"/>
                        <w:i/>
                        <w:color w:val="000000" w:themeColor="text1"/>
                        <w:sz w:val="21"/>
                        <w14:textFill>
                          <w14:solidFill>
                            <w14:schemeClr w14:val="tx1"/>
                          </w14:solidFill>
                        </w14:textFill>
                      </w:rPr>
                    </m:ctrlPr>
                  </m:dPr>
                  <m:e>
                    <m:r>
                      <m:rPr/>
                      <w:rPr>
                        <w:rFonts w:ascii="Cambria Math" w:hAnsi="Cambria Math" w:cs="Times New Roman"/>
                        <w:color w:val="000000" w:themeColor="text1"/>
                        <w:sz w:val="21"/>
                        <w14:textFill>
                          <w14:solidFill>
                            <w14:schemeClr w14:val="tx1"/>
                          </w14:solidFill>
                        </w14:textFill>
                      </w:rPr>
                      <m:t>1+</m:t>
                    </m:r>
                    <m:r>
                      <m:rPr/>
                      <w:rPr>
                        <w:rFonts w:ascii="Cambria Math" w:hAnsi="Cambria Math" w:cs="Times New Roman"/>
                        <w:color w:val="000000" w:themeColor="text1"/>
                        <w:sz w:val="21"/>
                        <w:lang w:eastAsia="zh-CN"/>
                        <w14:textFill>
                          <w14:solidFill>
                            <w14:schemeClr w14:val="tx1"/>
                          </w14:solidFill>
                        </w14:textFill>
                      </w:rPr>
                      <m:t>q</m:t>
                    </m:r>
                    <m:ctrlPr>
                      <w:rPr>
                        <w:rFonts w:ascii="Cambria Math" w:hAnsi="Cambria Math" w:cs="Times New Roman"/>
                        <w:i/>
                        <w:color w:val="000000" w:themeColor="text1"/>
                        <w:sz w:val="21"/>
                        <w14:textFill>
                          <w14:solidFill>
                            <w14:schemeClr w14:val="tx1"/>
                          </w14:solidFill>
                        </w14:textFill>
                      </w:rPr>
                    </m:ctrlPr>
                  </m:e>
                </m:d>
                <m:r>
                  <m:rPr/>
                  <w:rPr>
                    <w:rFonts w:ascii="Cambria Math" w:hAnsi="Cambria Math" w:cs="Times New Roman"/>
                    <w:color w:val="000000" w:themeColor="text1"/>
                    <w:sz w:val="21"/>
                    <w14:textFill>
                      <w14:solidFill>
                        <w14:schemeClr w14:val="tx1"/>
                      </w14:solidFill>
                    </w14:textFill>
                  </w:rPr>
                  <m:t>SDR=</m:t>
                </m:r>
                <m:f>
                  <m:fPr>
                    <m:ctrlPr>
                      <w:rPr>
                        <w:rFonts w:ascii="Cambria Math" w:hAnsi="Cambria Math" w:cs="Times New Roman"/>
                        <w:i/>
                        <w:color w:val="000000" w:themeColor="text1"/>
                        <w:sz w:val="21"/>
                        <w14:textFill>
                          <w14:solidFill>
                            <w14:schemeClr w14:val="tx1"/>
                          </w14:solidFill>
                        </w14:textFill>
                      </w:rPr>
                    </m:ctrlPr>
                  </m:fPr>
                  <m:num>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σ</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L</m:t>
                        </m:r>
                        <m:ctrlPr>
                          <w:rPr>
                            <w:rFonts w:ascii="Cambria Math" w:hAnsi="Cambria Math" w:cs="Times New Roman"/>
                            <w:i/>
                            <w:color w:val="000000" w:themeColor="text1"/>
                            <w:sz w:val="21"/>
                            <w14:textFill>
                              <w14:solidFill>
                                <w14:schemeClr w14:val="tx1"/>
                              </w14:solidFill>
                            </w14:textFill>
                          </w:rPr>
                        </m:ctrlPr>
                      </m:sub>
                    </m:sSub>
                    <m:ctrlPr>
                      <w:rPr>
                        <w:rFonts w:ascii="Cambria Math" w:hAnsi="Cambria Math" w:cs="Times New Roman"/>
                        <w:i/>
                        <w:color w:val="000000" w:themeColor="text1"/>
                        <w:sz w:val="21"/>
                        <w14:textFill>
                          <w14:solidFill>
                            <w14:schemeClr w14:val="tx1"/>
                          </w14:solidFill>
                        </w14:textFill>
                      </w:rPr>
                    </m:ctrlPr>
                  </m:num>
                  <m:den>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P</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0</m:t>
                        </m:r>
                        <m:ctrlPr>
                          <w:rPr>
                            <w:rFonts w:ascii="Cambria Math" w:hAnsi="Cambria Math" w:cs="Times New Roman"/>
                            <w:i/>
                            <w:color w:val="000000" w:themeColor="text1"/>
                            <w:sz w:val="21"/>
                            <w14:textFill>
                              <w14:solidFill>
                                <w14:schemeClr w14:val="tx1"/>
                              </w14:solidFill>
                            </w14:textFill>
                          </w:rPr>
                        </m:ctrlPr>
                      </m:sub>
                    </m:sSub>
                    <m:r>
                      <m:rPr/>
                      <w:rPr>
                        <w:rFonts w:ascii="Cambria Math" w:hAnsi="Cambria Math" w:cs="Times New Roman"/>
                        <w:color w:val="000000" w:themeColor="text1"/>
                        <w:sz w:val="21"/>
                        <w14:textFill>
                          <w14:solidFill>
                            <w14:schemeClr w14:val="tx1"/>
                          </w14:solidFill>
                        </w14:textFill>
                      </w:rPr>
                      <m:t>N</m:t>
                    </m:r>
                    <m:ctrlPr>
                      <w:rPr>
                        <w:rFonts w:ascii="Cambria Math" w:hAnsi="Cambria Math" w:cs="Times New Roman"/>
                        <w:i/>
                        <w:color w:val="000000" w:themeColor="text1"/>
                        <w:sz w:val="21"/>
                        <w14:textFill>
                          <w14:solidFill>
                            <w14:schemeClr w14:val="tx1"/>
                          </w14:solidFill>
                        </w14:textFill>
                      </w:rPr>
                    </m:ctrlPr>
                  </m:den>
                </m:f>
              </m:oMath>
            </m:oMathPara>
          </w:p>
        </w:tc>
        <w:tc>
          <w:tcPr>
            <w:tcW w:w="1497" w:type="dxa"/>
          </w:tcPr>
          <w:p>
            <w:pPr>
              <w:ind w:firstLine="0" w:firstLineChars="0"/>
              <w:rPr>
                <w:rFonts w:cs="Times New Roman"/>
                <w:b/>
                <w:bCs/>
                <w:color w:val="000000" w:themeColor="text1"/>
                <w:sz w:val="21"/>
                <w14:textFill>
                  <w14:solidFill>
                    <w14:schemeClr w14:val="tx1"/>
                  </w14:solidFill>
                </w14:textFill>
              </w:rPr>
            </w:pPr>
            <w:r>
              <w:rPr>
                <w:rFonts w:cs="Times New Roman"/>
                <w:b/>
                <w:bCs/>
                <w:color w:val="000000" w:themeColor="text1"/>
                <w:sz w:val="21"/>
                <w:lang w:eastAsia="zh-CN"/>
                <w14:textFill>
                  <w14:solidFill>
                    <w14:schemeClr w14:val="tx1"/>
                  </w14:solidFill>
                </w14:textFill>
              </w:rPr>
              <w:t>（3.3.1-11）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99" w:type="dxa"/>
          </w:tcPr>
          <w:p>
            <w:pPr>
              <w:ind w:firstLine="0" w:firstLineChars="0"/>
              <w:rPr>
                <w:rFonts w:cs="Times New Roman"/>
                <w:color w:val="000000" w:themeColor="text1"/>
                <w:sz w:val="21"/>
                <w14:textFill>
                  <w14:solidFill>
                    <w14:schemeClr w14:val="tx1"/>
                  </w14:solidFill>
                </w14:textFill>
              </w:rPr>
            </w:pPr>
            <m:oMathPara>
              <m:oMath>
                <m:r>
                  <m:rPr/>
                  <w:rPr>
                    <w:rFonts w:ascii="Cambria Math" w:hAnsi="Cambria Math" w:cs="Times New Roman"/>
                    <w:color w:val="000000" w:themeColor="text1"/>
                    <w:sz w:val="21"/>
                    <w14:textFill>
                      <w14:solidFill>
                        <w14:schemeClr w14:val="tx1"/>
                      </w14:solidFill>
                    </w14:textFill>
                  </w:rPr>
                  <m:t>SDR=</m:t>
                </m:r>
                <m:f>
                  <m:fPr>
                    <m:ctrlPr>
                      <w:rPr>
                        <w:rFonts w:ascii="Cambria Math" w:hAnsi="Cambria Math" w:cs="Times New Roman"/>
                        <w:i/>
                        <w:color w:val="000000" w:themeColor="text1"/>
                        <w:sz w:val="21"/>
                        <w14:textFill>
                          <w14:solidFill>
                            <w14:schemeClr w14:val="tx1"/>
                          </w14:solidFill>
                        </w14:textFill>
                      </w:rPr>
                    </m:ctrlPr>
                  </m:fPr>
                  <m:num>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D</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o</m:t>
                        </m:r>
                        <m:ctrlPr>
                          <w:rPr>
                            <w:rFonts w:ascii="Cambria Math" w:hAnsi="Cambria Math" w:cs="Times New Roman"/>
                            <w:i/>
                            <w:color w:val="000000" w:themeColor="text1"/>
                            <w:sz w:val="21"/>
                            <w14:textFill>
                              <w14:solidFill>
                                <w14:schemeClr w14:val="tx1"/>
                              </w14:solidFill>
                            </w14:textFill>
                          </w:rPr>
                        </m:ctrlPr>
                      </m:sub>
                    </m:sSub>
                    <m:ctrlPr>
                      <w:rPr>
                        <w:rFonts w:ascii="Cambria Math" w:hAnsi="Cambria Math" w:cs="Times New Roman"/>
                        <w:i/>
                        <w:color w:val="000000" w:themeColor="text1"/>
                        <w:sz w:val="21"/>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t</m:t>
                    </m:r>
                    <m:ctrlPr>
                      <w:rPr>
                        <w:rFonts w:ascii="Cambria Math" w:hAnsi="Cambria Math" w:cs="Times New Roman"/>
                        <w:i/>
                        <w:color w:val="000000" w:themeColor="text1"/>
                        <w:sz w:val="21"/>
                        <w14:textFill>
                          <w14:solidFill>
                            <w14:schemeClr w14:val="tx1"/>
                          </w14:solidFill>
                        </w14:textFill>
                      </w:rPr>
                    </m:ctrlPr>
                  </m:den>
                </m:f>
              </m:oMath>
            </m:oMathPara>
          </w:p>
        </w:tc>
        <w:tc>
          <w:tcPr>
            <w:tcW w:w="1497" w:type="dxa"/>
          </w:tcPr>
          <w:p>
            <w:pPr>
              <w:ind w:firstLine="0" w:firstLineChars="0"/>
              <w:rPr>
                <w:rFonts w:cs="Times New Roman"/>
                <w:b/>
                <w:bCs/>
                <w:color w:val="000000" w:themeColor="text1"/>
                <w:sz w:val="21"/>
                <w14:textFill>
                  <w14:solidFill>
                    <w14:schemeClr w14:val="tx1"/>
                  </w14:solidFill>
                </w14:textFill>
              </w:rPr>
            </w:pPr>
            <w:r>
              <w:rPr>
                <w:rFonts w:cs="Times New Roman"/>
                <w:b/>
                <w:bCs/>
                <w:color w:val="000000" w:themeColor="text1"/>
                <w:sz w:val="21"/>
                <w:lang w:eastAsia="zh-CN"/>
                <w14:textFill>
                  <w14:solidFill>
                    <w14:schemeClr w14:val="tx1"/>
                  </w14:solidFill>
                </w14:textFill>
              </w:rPr>
              <w:t>（3.3.1-12）</w:t>
            </w:r>
          </w:p>
        </w:tc>
      </w:tr>
    </w:tbl>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式中: L——内衬管的长期弯曲强度（MPa），宜取初始弯曲强度的 50%，初始弯曲强度由产品制造商提供；</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q——内衬管道的椭圆度，按式（3.3.1-3）计算；</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SDR——内衬管的标准尺寸比；</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o</w:t>
      </w:r>
      <w:r>
        <w:rPr>
          <w:rFonts w:cs="Times New Roman"/>
          <w:color w:val="000000" w:themeColor="text1"/>
          <w:sz w:val="21"/>
          <w:lang w:eastAsia="zh-CN"/>
          <w14:textFill>
            <w14:solidFill>
              <w14:schemeClr w14:val="tx1"/>
            </w14:solidFill>
          </w14:textFill>
        </w:rPr>
        <w:t>——内衬管外径（mm）；</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t——内衬管壁厚（mm）；</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P</w:t>
      </w:r>
      <w:r>
        <w:rPr>
          <w:rFonts w:cs="Times New Roman"/>
          <w:color w:val="000000" w:themeColor="text1"/>
          <w:sz w:val="21"/>
          <w:vertAlign w:val="subscript"/>
          <w:lang w:eastAsia="zh-CN"/>
          <w14:textFill>
            <w14:solidFill>
              <w14:schemeClr w14:val="tx1"/>
            </w14:solidFill>
          </w14:textFill>
        </w:rPr>
        <w:t>0</w:t>
      </w:r>
      <w:r>
        <w:rPr>
          <w:rFonts w:cs="Times New Roman"/>
          <w:color w:val="000000" w:themeColor="text1"/>
          <w:sz w:val="21"/>
          <w:lang w:eastAsia="zh-CN"/>
          <w14:textFill>
            <w14:solidFill>
              <w14:schemeClr w14:val="tx1"/>
            </w14:solidFill>
          </w14:textFill>
        </w:rPr>
        <w:t>——内衬管管中心地下水压力（MPa）；</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N——安全系数，推荐取 2.0。</w:t>
      </w:r>
    </w:p>
    <w:p>
      <w:pPr>
        <w:ind w:left="36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当管道位于地下水位以上时，原位固化法内衬管的标准尺寸比（SDR）不应大于100；PE内衬管的标准尺寸比（SDR）不应大于42。</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3.3.2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紫外光原位固化修复法、翻转式原位固化修复法、原位热塑修复成型法</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短管内衬修复法、螺旋缠绕修复法</w:t>
      </w:r>
      <w:r>
        <w:rPr>
          <w:rFonts w:cs="Times New Roman"/>
          <w:color w:val="000000" w:themeColor="text1"/>
          <w:sz w:val="21"/>
          <w:lang w:eastAsia="zh-CN"/>
          <w14:textFill>
            <w14:solidFill>
              <w14:schemeClr w14:val="tx1"/>
            </w14:solidFill>
          </w14:textFill>
        </w:rPr>
        <w:t>用于第 Ⅲ 类内衬进行重力流管道修复设计时，其内衬管最小壁厚应符合下列规定：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内衬管壁厚应满足下列公式要求：</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58"/>
        <w:gridCol w:w="16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58" w:type="dxa"/>
          </w:tcPr>
          <w:p>
            <w:pPr>
              <w:ind w:firstLine="0" w:firstLineChars="0"/>
              <w:rPr>
                <w:rFonts w:cs="Times New Roman"/>
                <w:i/>
                <w:color w:val="000000" w:themeColor="text1"/>
                <w:sz w:val="21"/>
                <w14:textFill>
                  <w14:solidFill>
                    <w14:schemeClr w14:val="tx1"/>
                  </w14:solidFill>
                </w14:textFill>
              </w:rPr>
            </w:pPr>
            <m:oMathPara>
              <m:oMath>
                <m:r>
                  <m:rPr/>
                  <w:rPr>
                    <w:rFonts w:hint="eastAsia" w:ascii="Cambria Math" w:hAnsi="Cambria Math" w:cs="Times New Roman"/>
                    <w:color w:val="000000" w:themeColor="text1"/>
                    <w:sz w:val="21"/>
                    <w14:textFill>
                      <w14:solidFill>
                        <w14:schemeClr w14:val="tx1"/>
                      </w14:solidFill>
                    </w14:textFill>
                  </w:rPr>
                  <m:t>t</m:t>
                </m:r>
                <m:r>
                  <m:rPr/>
                  <w:rPr>
                    <w:rFonts w:ascii="Cambria Math" w:hAnsi="Cambria Math" w:cs="Times New Roman"/>
                    <w:color w:val="000000" w:themeColor="text1"/>
                    <w:sz w:val="21"/>
                    <w14:textFill>
                      <w14:solidFill>
                        <w14:schemeClr w14:val="tx1"/>
                      </w14:solidFill>
                    </w14:textFill>
                  </w:rPr>
                  <m:t>=0.721</m:t>
                </m:r>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D</m:t>
                    </m:r>
                    <m:ctrlPr>
                      <w:rPr>
                        <w:rFonts w:ascii="Cambria Math" w:hAnsi="Cambria Math" w:cs="Times New Roman"/>
                        <w:i/>
                        <w:color w:val="000000" w:themeColor="text1"/>
                        <w:sz w:val="21"/>
                        <w14:textFill>
                          <w14:solidFill>
                            <w14:schemeClr w14:val="tx1"/>
                          </w14:solidFill>
                        </w14:textFill>
                      </w:rPr>
                    </m:ctrlPr>
                  </m:e>
                  <m:sub>
                    <m:r>
                      <m:rPr/>
                      <w:rPr>
                        <w:rFonts w:hint="eastAsia" w:ascii="Cambria Math" w:hAnsi="Cambria Math" w:cs="Times New Roman"/>
                        <w:color w:val="000000" w:themeColor="text1"/>
                        <w:sz w:val="21"/>
                        <w14:textFill>
                          <w14:solidFill>
                            <w14:schemeClr w14:val="tx1"/>
                          </w14:solidFill>
                        </w14:textFill>
                      </w:rPr>
                      <m:t>o</m:t>
                    </m:r>
                    <m:ctrlPr>
                      <w:rPr>
                        <w:rFonts w:ascii="Cambria Math" w:hAnsi="Cambria Math" w:cs="Times New Roman"/>
                        <w:i/>
                        <w:color w:val="000000" w:themeColor="text1"/>
                        <w:sz w:val="21"/>
                        <w14:textFill>
                          <w14:solidFill>
                            <w14:schemeClr w14:val="tx1"/>
                          </w14:solidFill>
                        </w14:textFill>
                      </w:rPr>
                    </m:ctrlPr>
                  </m:sub>
                </m:sSub>
                <m:sSup>
                  <m:sSupPr>
                    <m:ctrlPr>
                      <w:rPr>
                        <w:rFonts w:ascii="Cambria Math" w:hAnsi="Cambria Math" w:cs="Times New Roman"/>
                        <w:i/>
                        <w:color w:val="000000" w:themeColor="text1"/>
                        <w:sz w:val="21"/>
                        <w14:textFill>
                          <w14:solidFill>
                            <w14:schemeClr w14:val="tx1"/>
                          </w14:solidFill>
                        </w14:textFill>
                      </w:rPr>
                    </m:ctrlPr>
                  </m:sSupPr>
                  <m:e>
                    <m:d>
                      <m:dPr>
                        <m:begChr m:val="["/>
                        <m:endChr m:val="]"/>
                        <m:ctrlPr>
                          <w:rPr>
                            <w:rFonts w:ascii="Cambria Math" w:hAnsi="Cambria Math" w:cs="Times New Roman"/>
                            <w:i/>
                            <w:color w:val="000000" w:themeColor="text1"/>
                            <w:sz w:val="21"/>
                            <w14:textFill>
                              <w14:solidFill>
                                <w14:schemeClr w14:val="tx1"/>
                              </w14:solidFill>
                            </w14:textFill>
                          </w:rPr>
                        </m:ctrlPr>
                      </m:dPr>
                      <m:e>
                        <m:f>
                          <m:fPr>
                            <m:ctrlPr>
                              <w:rPr>
                                <w:rFonts w:ascii="Cambria Math" w:hAnsi="Cambria Math" w:cs="Times New Roman"/>
                                <w:i/>
                                <w:color w:val="000000" w:themeColor="text1"/>
                                <w:sz w:val="21"/>
                                <w14:textFill>
                                  <w14:solidFill>
                                    <w14:schemeClr w14:val="tx1"/>
                                  </w14:solidFill>
                                </w14:textFill>
                              </w:rPr>
                            </m:ctrlPr>
                          </m:fPr>
                          <m:num>
                            <m:sSup>
                              <m:sSupPr>
                                <m:ctrlPr>
                                  <w:rPr>
                                    <w:rFonts w:ascii="Cambria Math" w:hAnsi="Cambria Math" w:cs="Times New Roman"/>
                                    <w:i/>
                                    <w:color w:val="000000" w:themeColor="text1"/>
                                    <w:sz w:val="21"/>
                                    <w14:textFill>
                                      <w14:solidFill>
                                        <w14:schemeClr w14:val="tx1"/>
                                      </w14:solidFill>
                                    </w14:textFill>
                                  </w:rPr>
                                </m:ctrlPr>
                              </m:sSupPr>
                              <m:e>
                                <m:d>
                                  <m:dPr>
                                    <m:ctrlPr>
                                      <w:rPr>
                                        <w:rFonts w:ascii="Cambria Math" w:hAnsi="Cambria Math" w:cs="Times New Roman"/>
                                        <w:i/>
                                        <w:color w:val="000000" w:themeColor="text1"/>
                                        <w:sz w:val="21"/>
                                        <w14:textFill>
                                          <w14:solidFill>
                                            <w14:schemeClr w14:val="tx1"/>
                                          </w14:solidFill>
                                        </w14:textFill>
                                      </w:rPr>
                                    </m:ctrlPr>
                                  </m:dPr>
                                  <m:e>
                                    <m:r>
                                      <m:rPr/>
                                      <w:rPr>
                                        <w:rFonts w:ascii="Cambria Math" w:hAnsi="Cambria Math" w:cs="Times New Roman"/>
                                        <w:color w:val="000000" w:themeColor="text1"/>
                                        <w:sz w:val="21"/>
                                        <w14:textFill>
                                          <w14:solidFill>
                                            <w14:schemeClr w14:val="tx1"/>
                                          </w14:solidFill>
                                        </w14:textFill>
                                      </w:rPr>
                                      <m:t>N</m:t>
                                    </m:r>
                                    <m:r>
                                      <m:rPr/>
                                      <w:rPr>
                                        <w:rFonts w:hint="eastAsia" w:ascii="Cambria Math" w:hAnsi="Cambria Math" w:cs="Times New Roman"/>
                                        <w:color w:val="000000" w:themeColor="text1"/>
                                        <w:sz w:val="21"/>
                                        <w14:textFill>
                                          <w14:solidFill>
                                            <w14:schemeClr w14:val="tx1"/>
                                          </w14:solidFill>
                                        </w14:textFill>
                                      </w:rPr>
                                      <m:t>·</m:t>
                                    </m:r>
                                    <m:sSub>
                                      <m:sSubPr>
                                        <m:ctrlPr>
                                          <w:rPr>
                                            <w:rFonts w:ascii="Cambria Math" w:hAnsi="Cambria Math" w:cs="Times New Roman"/>
                                            <w:i/>
                                            <w:color w:val="000000" w:themeColor="text1"/>
                                            <w:sz w:val="21"/>
                                            <w14:textFill>
                                              <w14:solidFill>
                                                <w14:schemeClr w14:val="tx1"/>
                                              </w14:solidFill>
                                            </w14:textFill>
                                          </w:rPr>
                                        </m:ctrlPr>
                                      </m:sSubPr>
                                      <m:e>
                                        <m:r>
                                          <m:rPr/>
                                          <w:rPr>
                                            <w:rFonts w:hint="eastAsia" w:ascii="Cambria Math" w:hAnsi="Cambria Math" w:cs="Times New Roman"/>
                                            <w:color w:val="000000" w:themeColor="text1"/>
                                            <w:sz w:val="21"/>
                                            <w14:textFill>
                                              <w14:solidFill>
                                                <w14:schemeClr w14:val="tx1"/>
                                              </w14:solidFill>
                                            </w14:textFill>
                                          </w:rPr>
                                          <m:t>q</m:t>
                                        </m:r>
                                        <m:ctrlPr>
                                          <w:rPr>
                                            <w:rFonts w:ascii="Cambria Math" w:hAnsi="Cambria Math" w:cs="Times New Roman"/>
                                            <w:i/>
                                            <w:color w:val="000000" w:themeColor="text1"/>
                                            <w:sz w:val="21"/>
                                            <w14:textFill>
                                              <w14:solidFill>
                                                <w14:schemeClr w14:val="tx1"/>
                                              </w14:solidFill>
                                            </w14:textFill>
                                          </w:rPr>
                                        </m:ctrlPr>
                                      </m:e>
                                      <m:sub>
                                        <m:r>
                                          <m:rPr/>
                                          <w:rPr>
                                            <w:rFonts w:hint="eastAsia" w:ascii="Cambria Math" w:hAnsi="Cambria Math" w:cs="Times New Roman"/>
                                            <w:color w:val="000000" w:themeColor="text1"/>
                                            <w:sz w:val="21"/>
                                            <w14:textFill>
                                              <w14:solidFill>
                                                <w14:schemeClr w14:val="tx1"/>
                                              </w14:solidFill>
                                            </w14:textFill>
                                          </w:rPr>
                                          <m:t>t</m:t>
                                        </m:r>
                                        <m:ctrlPr>
                                          <w:rPr>
                                            <w:rFonts w:ascii="Cambria Math" w:hAnsi="Cambria Math" w:cs="Times New Roman"/>
                                            <w:i/>
                                            <w:color w:val="000000" w:themeColor="text1"/>
                                            <w:sz w:val="21"/>
                                            <w14:textFill>
                                              <w14:solidFill>
                                                <w14:schemeClr w14:val="tx1"/>
                                              </w14:solidFill>
                                            </w14:textFill>
                                          </w:rPr>
                                        </m:ctrlPr>
                                      </m:sub>
                                    </m:sSub>
                                    <m:ctrlPr>
                                      <w:rPr>
                                        <w:rFonts w:ascii="Cambria Math" w:hAnsi="Cambria Math" w:cs="Times New Roman"/>
                                        <w:i/>
                                        <w:color w:val="000000" w:themeColor="text1"/>
                                        <w:sz w:val="21"/>
                                        <w14:textFill>
                                          <w14:solidFill>
                                            <w14:schemeClr w14:val="tx1"/>
                                          </w14:solidFill>
                                        </w14:textFill>
                                      </w:rPr>
                                    </m:ctrlPr>
                                  </m:e>
                                </m:d>
                                <m:ctrlPr>
                                  <w:rPr>
                                    <w:rFonts w:ascii="Cambria Math" w:hAnsi="Cambria Math" w:cs="Times New Roman"/>
                                    <w:i/>
                                    <w:color w:val="000000" w:themeColor="text1"/>
                                    <w:sz w:val="21"/>
                                    <w14:textFill>
                                      <w14:solidFill>
                                        <w14:schemeClr w14:val="tx1"/>
                                      </w14:solidFill>
                                    </w14:textFill>
                                  </w:rPr>
                                </m:ctrlPr>
                              </m:e>
                              <m:sup>
                                <m:r>
                                  <m:rPr/>
                                  <w:rPr>
                                    <w:rFonts w:hint="eastAsia" w:ascii="Cambria Math" w:hAnsi="Cambria Math" w:cs="Times New Roman"/>
                                    <w:color w:val="000000" w:themeColor="text1"/>
                                    <w:sz w:val="21"/>
                                    <w14:textFill>
                                      <w14:solidFill>
                                        <w14:schemeClr w14:val="tx1"/>
                                      </w14:solidFill>
                                    </w14:textFill>
                                  </w:rPr>
                                  <m:t>2</m:t>
                                </m:r>
                                <m:ctrlPr>
                                  <w:rPr>
                                    <w:rFonts w:ascii="Cambria Math" w:hAnsi="Cambria Math" w:cs="Times New Roman"/>
                                    <w:i/>
                                    <w:color w:val="000000" w:themeColor="text1"/>
                                    <w:sz w:val="21"/>
                                    <w14:textFill>
                                      <w14:solidFill>
                                        <w14:schemeClr w14:val="tx1"/>
                                      </w14:solidFill>
                                    </w14:textFill>
                                  </w:rPr>
                                </m:ctrlPr>
                              </m:sup>
                            </m:sSup>
                            <m:ctrlPr>
                              <w:rPr>
                                <w:rFonts w:ascii="Cambria Math" w:hAnsi="Cambria Math" w:cs="Times New Roman"/>
                                <w:i/>
                                <w:color w:val="000000" w:themeColor="text1"/>
                                <w:sz w:val="21"/>
                                <w14:textFill>
                                  <w14:solidFill>
                                    <w14:schemeClr w14:val="tx1"/>
                                  </w14:solidFill>
                                </w14:textFill>
                              </w:rPr>
                            </m:ctrlPr>
                          </m:num>
                          <m:den>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E</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L</m:t>
                                </m:r>
                                <m:ctrlPr>
                                  <w:rPr>
                                    <w:rFonts w:ascii="Cambria Math" w:hAnsi="Cambria Math" w:cs="Times New Roman"/>
                                    <w:i/>
                                    <w:color w:val="000000" w:themeColor="text1"/>
                                    <w:sz w:val="21"/>
                                    <w14:textFill>
                                      <w14:solidFill>
                                        <w14:schemeClr w14:val="tx1"/>
                                      </w14:solidFill>
                                    </w14:textFill>
                                  </w:rPr>
                                </m:ctrlPr>
                              </m:sub>
                            </m:sSub>
                            <m:r>
                              <m:rPr/>
                              <w:rPr>
                                <w:rFonts w:hint="eastAsia" w:ascii="Cambria Math" w:hAnsi="Cambria Math" w:cs="Times New Roman"/>
                                <w:color w:val="000000" w:themeColor="text1"/>
                                <w:sz w:val="21"/>
                                <w14:textFill>
                                  <w14:solidFill>
                                    <w14:schemeClr w14:val="tx1"/>
                                  </w14:solidFill>
                                </w14:textFill>
                              </w:rPr>
                              <m:t>·</m:t>
                            </m:r>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R</m:t>
                                </m:r>
                                <m:ctrlPr>
                                  <w:rPr>
                                    <w:rFonts w:ascii="Cambria Math" w:hAnsi="Cambria Math" w:cs="Times New Roman"/>
                                    <w:i/>
                                    <w:color w:val="000000" w:themeColor="text1"/>
                                    <w:sz w:val="21"/>
                                    <w14:textFill>
                                      <w14:solidFill>
                                        <w14:schemeClr w14:val="tx1"/>
                                      </w14:solidFill>
                                    </w14:textFill>
                                  </w:rPr>
                                </m:ctrlPr>
                              </m:e>
                              <m:sub>
                                <m:r>
                                  <m:rPr/>
                                  <w:rPr>
                                    <w:rFonts w:hint="eastAsia" w:ascii="Cambria Math" w:hAnsi="Cambria Math" w:cs="Times New Roman"/>
                                    <w:color w:val="000000" w:themeColor="text1"/>
                                    <w:sz w:val="21"/>
                                    <w14:textFill>
                                      <w14:solidFill>
                                        <w14:schemeClr w14:val="tx1"/>
                                      </w14:solidFill>
                                    </w14:textFill>
                                  </w:rPr>
                                  <m:t>w</m:t>
                                </m:r>
                                <m:ctrlPr>
                                  <w:rPr>
                                    <w:rFonts w:ascii="Cambria Math" w:hAnsi="Cambria Math" w:cs="Times New Roman"/>
                                    <w:i/>
                                    <w:color w:val="000000" w:themeColor="text1"/>
                                    <w:sz w:val="21"/>
                                    <w14:textFill>
                                      <w14:solidFill>
                                        <w14:schemeClr w14:val="tx1"/>
                                      </w14:solidFill>
                                    </w14:textFill>
                                  </w:rPr>
                                </m:ctrlPr>
                              </m:sub>
                            </m:sSub>
                            <m:r>
                              <m:rPr/>
                              <w:rPr>
                                <w:rFonts w:hint="eastAsia" w:ascii="Cambria Math" w:hAnsi="Cambria Math" w:cs="Times New Roman"/>
                                <w:color w:val="000000" w:themeColor="text1"/>
                                <w:sz w:val="21"/>
                                <w14:textFill>
                                  <w14:solidFill>
                                    <w14:schemeClr w14:val="tx1"/>
                                  </w14:solidFill>
                                </w14:textFill>
                              </w:rPr>
                              <m:t>·</m:t>
                            </m:r>
                            <m:sSup>
                              <m:sSupPr>
                                <m:ctrlPr>
                                  <w:rPr>
                                    <w:rFonts w:ascii="Cambria Math" w:hAnsi="Cambria Math" w:cs="Times New Roman"/>
                                    <w:i/>
                                    <w:color w:val="000000" w:themeColor="text1"/>
                                    <w:sz w:val="21"/>
                                    <w14:textFill>
                                      <w14:solidFill>
                                        <w14:schemeClr w14:val="tx1"/>
                                      </w14:solidFill>
                                    </w14:textFill>
                                  </w:rPr>
                                </m:ctrlPr>
                              </m:sSupPr>
                              <m:e>
                                <m:r>
                                  <m:rPr/>
                                  <w:rPr>
                                    <w:rFonts w:ascii="Cambria Math" w:hAnsi="Cambria Math" w:cs="Times New Roman"/>
                                    <w:color w:val="000000" w:themeColor="text1"/>
                                    <w:sz w:val="21"/>
                                    <w14:textFill>
                                      <w14:solidFill>
                                        <w14:schemeClr w14:val="tx1"/>
                                      </w14:solidFill>
                                    </w14:textFill>
                                  </w:rPr>
                                  <m:t>B</m:t>
                                </m:r>
                                <m:ctrlPr>
                                  <w:rPr>
                                    <w:rFonts w:ascii="Cambria Math" w:hAnsi="Cambria Math" w:cs="Times New Roman"/>
                                    <w:i/>
                                    <w:color w:val="000000" w:themeColor="text1"/>
                                    <w:sz w:val="21"/>
                                    <w14:textFill>
                                      <w14:solidFill>
                                        <w14:schemeClr w14:val="tx1"/>
                                      </w14:solidFill>
                                    </w14:textFill>
                                  </w:rPr>
                                </m:ctrlPr>
                              </m:e>
                              <m:sup>
                                <m:r>
                                  <m:rPr/>
                                  <w:rPr>
                                    <w:rFonts w:ascii="Cambria Math" w:hAnsi="Cambria Math" w:cs="Times New Roman"/>
                                    <w:color w:val="000000" w:themeColor="text1"/>
                                    <w:sz w:val="21"/>
                                    <w14:textFill>
                                      <w14:solidFill>
                                        <w14:schemeClr w14:val="tx1"/>
                                      </w14:solidFill>
                                    </w14:textFill>
                                  </w:rPr>
                                  <m:t>'</m:t>
                                </m:r>
                                <m:ctrlPr>
                                  <w:rPr>
                                    <w:rFonts w:ascii="Cambria Math" w:hAnsi="Cambria Math" w:cs="Times New Roman"/>
                                    <w:i/>
                                    <w:color w:val="000000" w:themeColor="text1"/>
                                    <w:sz w:val="21"/>
                                    <w14:textFill>
                                      <w14:solidFill>
                                        <w14:schemeClr w14:val="tx1"/>
                                      </w14:solidFill>
                                    </w14:textFill>
                                  </w:rPr>
                                </m:ctrlPr>
                              </m:sup>
                            </m:sSup>
                            <m:r>
                              <m:rPr/>
                              <w:rPr>
                                <w:rFonts w:hint="eastAsia" w:ascii="Cambria Math" w:hAnsi="Cambria Math" w:cs="Times New Roman"/>
                                <w:color w:val="000000" w:themeColor="text1"/>
                                <w:sz w:val="21"/>
                                <w14:textFill>
                                  <w14:solidFill>
                                    <w14:schemeClr w14:val="tx1"/>
                                  </w14:solidFill>
                                </w14:textFill>
                              </w:rPr>
                              <m:t>·</m:t>
                            </m:r>
                            <m:sSubSup>
                              <m:sSubSupPr>
                                <m:ctrlPr>
                                  <w:rPr>
                                    <w:rFonts w:ascii="Cambria Math" w:hAnsi="Cambria Math" w:cs="Times New Roman"/>
                                    <w:i/>
                                    <w:color w:val="000000" w:themeColor="text1"/>
                                    <w:sz w:val="21"/>
                                    <w14:textFill>
                                      <w14:solidFill>
                                        <w14:schemeClr w14:val="tx1"/>
                                      </w14:solidFill>
                                    </w14:textFill>
                                  </w:rPr>
                                </m:ctrlPr>
                              </m:sSubSupPr>
                              <m:e>
                                <m:r>
                                  <m:rPr/>
                                  <w:rPr>
                                    <w:rFonts w:ascii="Cambria Math" w:hAnsi="Cambria Math" w:cs="Times New Roman"/>
                                    <w:color w:val="000000" w:themeColor="text1"/>
                                    <w:sz w:val="21"/>
                                    <w14:textFill>
                                      <w14:solidFill>
                                        <w14:schemeClr w14:val="tx1"/>
                                      </w14:solidFill>
                                    </w14:textFill>
                                  </w:rPr>
                                  <m:t>E</m:t>
                                </m:r>
                                <m:ctrlPr>
                                  <w:rPr>
                                    <w:rFonts w:ascii="Cambria Math" w:hAnsi="Cambria Math" w:cs="Times New Roman"/>
                                    <w:i/>
                                    <w:color w:val="000000" w:themeColor="text1"/>
                                    <w:sz w:val="21"/>
                                    <w14:textFill>
                                      <w14:solidFill>
                                        <w14:schemeClr w14:val="tx1"/>
                                      </w14:solidFill>
                                    </w14:textFill>
                                  </w:rPr>
                                </m:ctrlPr>
                              </m:e>
                              <m:sub>
                                <m:r>
                                  <m:rPr/>
                                  <w:rPr>
                                    <w:rFonts w:hint="eastAsia" w:ascii="Cambria Math" w:hAnsi="Cambria Math" w:cs="Times New Roman"/>
                                    <w:color w:val="000000" w:themeColor="text1"/>
                                    <w:sz w:val="21"/>
                                    <w14:textFill>
                                      <w14:solidFill>
                                        <w14:schemeClr w14:val="tx1"/>
                                      </w14:solidFill>
                                    </w14:textFill>
                                  </w:rPr>
                                  <m:t>s</m:t>
                                </m:r>
                                <m:ctrlPr>
                                  <w:rPr>
                                    <w:rFonts w:ascii="Cambria Math" w:hAnsi="Cambria Math" w:cs="Times New Roman"/>
                                    <w:i/>
                                    <w:color w:val="000000" w:themeColor="text1"/>
                                    <w:sz w:val="21"/>
                                    <w14:textFill>
                                      <w14:solidFill>
                                        <w14:schemeClr w14:val="tx1"/>
                                      </w14:solidFill>
                                    </w14:textFill>
                                  </w:rPr>
                                </m:ctrlPr>
                              </m:sub>
                              <m:sup>
                                <m:r>
                                  <m:rPr/>
                                  <w:rPr>
                                    <w:rFonts w:ascii="Cambria Math" w:hAnsi="Cambria Math" w:cs="Times New Roman"/>
                                    <w:color w:val="000000" w:themeColor="text1"/>
                                    <w:sz w:val="21"/>
                                    <w14:textFill>
                                      <w14:solidFill>
                                        <w14:schemeClr w14:val="tx1"/>
                                      </w14:solidFill>
                                    </w14:textFill>
                                  </w:rPr>
                                  <m:t>'</m:t>
                                </m:r>
                                <m:ctrlPr>
                                  <w:rPr>
                                    <w:rFonts w:ascii="Cambria Math" w:hAnsi="Cambria Math" w:cs="Times New Roman"/>
                                    <w:i/>
                                    <w:color w:val="000000" w:themeColor="text1"/>
                                    <w:sz w:val="21"/>
                                    <w14:textFill>
                                      <w14:solidFill>
                                        <w14:schemeClr w14:val="tx1"/>
                                      </w14:solidFill>
                                    </w14:textFill>
                                  </w:rPr>
                                </m:ctrlPr>
                              </m:sup>
                            </m:sSubSup>
                            <m:r>
                              <m:rPr/>
                              <w:rPr>
                                <w:rFonts w:hint="eastAsia" w:ascii="Cambria Math" w:hAnsi="Cambria Math" w:cs="Times New Roman"/>
                                <w:color w:val="000000" w:themeColor="text1"/>
                                <w:sz w:val="21"/>
                                <w14:textFill>
                                  <w14:solidFill>
                                    <w14:schemeClr w14:val="tx1"/>
                                  </w14:solidFill>
                                </w14:textFill>
                              </w:rPr>
                              <m:t>×</m:t>
                            </m:r>
                            <m:r>
                              <m:rPr/>
                              <w:rPr>
                                <w:rFonts w:ascii="Cambria Math" w:hAnsi="Cambria Math" w:cs="Times New Roman"/>
                                <w:color w:val="000000" w:themeColor="text1"/>
                                <w:sz w:val="21"/>
                                <w14:textFill>
                                  <w14:solidFill>
                                    <w14:schemeClr w14:val="tx1"/>
                                  </w14:solidFill>
                                </w14:textFill>
                              </w:rPr>
                              <m:t>C</m:t>
                            </m:r>
                            <m:ctrlPr>
                              <w:rPr>
                                <w:rFonts w:ascii="Cambria Math" w:hAnsi="Cambria Math" w:cs="Times New Roman"/>
                                <w:i/>
                                <w:color w:val="000000" w:themeColor="text1"/>
                                <w:sz w:val="21"/>
                                <w14:textFill>
                                  <w14:solidFill>
                                    <w14:schemeClr w14:val="tx1"/>
                                  </w14:solidFill>
                                </w14:textFill>
                              </w:rPr>
                            </m:ctrlPr>
                          </m:den>
                        </m:f>
                        <m:ctrlPr>
                          <w:rPr>
                            <w:rFonts w:ascii="Cambria Math" w:hAnsi="Cambria Math" w:cs="Times New Roman"/>
                            <w:i/>
                            <w:color w:val="000000" w:themeColor="text1"/>
                            <w:sz w:val="21"/>
                            <w14:textFill>
                              <w14:solidFill>
                                <w14:schemeClr w14:val="tx1"/>
                              </w14:solidFill>
                            </w14:textFill>
                          </w:rPr>
                        </m:ctrlPr>
                      </m:e>
                    </m:d>
                    <m:ctrlPr>
                      <w:rPr>
                        <w:rFonts w:ascii="Cambria Math" w:hAnsi="Cambria Math" w:cs="Times New Roman"/>
                        <w:i/>
                        <w:color w:val="000000" w:themeColor="text1"/>
                        <w:sz w:val="21"/>
                        <w14:textFill>
                          <w14:solidFill>
                            <w14:schemeClr w14:val="tx1"/>
                          </w14:solidFill>
                        </w14:textFill>
                      </w:rPr>
                    </m:ctrlPr>
                  </m:e>
                  <m:sup>
                    <m:f>
                      <m:fPr>
                        <m:ctrlPr>
                          <w:rPr>
                            <w:rFonts w:ascii="Cambria Math" w:hAnsi="Cambria Math" w:cs="Times New Roman"/>
                            <w:i/>
                            <w:color w:val="000000" w:themeColor="text1"/>
                            <w:sz w:val="21"/>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1</m:t>
                        </m:r>
                        <m:ctrlPr>
                          <w:rPr>
                            <w:rFonts w:ascii="Cambria Math" w:hAnsi="Cambria Math" w:cs="Times New Roman"/>
                            <w:i/>
                            <w:color w:val="000000" w:themeColor="text1"/>
                            <w:sz w:val="21"/>
                            <w14:textFill>
                              <w14:solidFill>
                                <w14:schemeClr w14:val="tx1"/>
                              </w14:solidFill>
                            </w14:textFill>
                          </w:rPr>
                        </m:ctrlPr>
                      </m:num>
                      <m:den>
                        <m:r>
                          <m:rPr/>
                          <w:rPr>
                            <w:rFonts w:ascii="Cambria Math" w:hAnsi="Cambria Math" w:cs="Times New Roman"/>
                            <w:color w:val="000000" w:themeColor="text1"/>
                            <w:sz w:val="21"/>
                            <w14:textFill>
                              <w14:solidFill>
                                <w14:schemeClr w14:val="tx1"/>
                              </w14:solidFill>
                            </w14:textFill>
                          </w:rPr>
                          <m:t>3</m:t>
                        </m:r>
                        <m:ctrlPr>
                          <w:rPr>
                            <w:rFonts w:ascii="Cambria Math" w:hAnsi="Cambria Math" w:cs="Times New Roman"/>
                            <w:i/>
                            <w:color w:val="000000" w:themeColor="text1"/>
                            <w:sz w:val="21"/>
                            <w14:textFill>
                              <w14:solidFill>
                                <w14:schemeClr w14:val="tx1"/>
                              </w14:solidFill>
                            </w14:textFill>
                          </w:rPr>
                        </m:ctrlPr>
                      </m:den>
                    </m:f>
                    <m:ctrlPr>
                      <w:rPr>
                        <w:rFonts w:ascii="Cambria Math" w:hAnsi="Cambria Math" w:cs="Times New Roman"/>
                        <w:i/>
                        <w:color w:val="000000" w:themeColor="text1"/>
                        <w:sz w:val="21"/>
                        <w14:textFill>
                          <w14:solidFill>
                            <w14:schemeClr w14:val="tx1"/>
                          </w14:solidFill>
                        </w14:textFill>
                      </w:rPr>
                    </m:ctrlPr>
                  </m:sup>
                </m:sSup>
              </m:oMath>
            </m:oMathPara>
          </w:p>
        </w:tc>
        <w:tc>
          <w:tcPr>
            <w:tcW w:w="1638" w:type="dxa"/>
          </w:tcPr>
          <w:p>
            <w:pPr>
              <w:ind w:firstLine="0" w:firstLineChars="0"/>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58" w:type="dxa"/>
          </w:tcPr>
          <w:p>
            <w:pPr>
              <w:ind w:firstLine="0" w:firstLineChars="0"/>
              <w:rPr>
                <w:rFonts w:cs="Times New Roman"/>
                <w:i/>
                <w:color w:val="000000" w:themeColor="text1"/>
                <w:sz w:val="21"/>
                <w:lang w:eastAsia="zh-CN"/>
                <w14:textFill>
                  <w14:solidFill>
                    <w14:schemeClr w14:val="tx1"/>
                  </w14:solidFill>
                </w14:textFill>
              </w:rPr>
            </w:pPr>
            <m:oMathPara>
              <m:oMath>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q</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t</m:t>
                    </m:r>
                    <m:ctrlPr>
                      <w:rPr>
                        <w:rFonts w:ascii="Cambria Math" w:hAnsi="Cambria Math" w:cs="Times New Roman"/>
                        <w:i/>
                        <w:color w:val="000000" w:themeColor="text1"/>
                        <w:sz w:val="21"/>
                        <w:lang w:eastAsia="zh-CN"/>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=0.00981</m:t>
                </m:r>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H</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w</m:t>
                    </m:r>
                    <m:ctrlPr>
                      <w:rPr>
                        <w:rFonts w:ascii="Cambria Math" w:hAnsi="Cambria Math" w:cs="Times New Roman"/>
                        <w:i/>
                        <w:color w:val="000000" w:themeColor="text1"/>
                        <w:sz w:val="21"/>
                        <w:lang w:eastAsia="zh-CN"/>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m:t>
                </m:r>
                <m:f>
                  <m:fPr>
                    <m:ctrlPr>
                      <w:rPr>
                        <w:rFonts w:ascii="Cambria Math" w:hAnsi="Cambria Math" w:cs="Times New Roman"/>
                        <w:i/>
                        <w:color w:val="000000" w:themeColor="text1"/>
                        <w:sz w:val="21"/>
                        <w:lang w:eastAsia="zh-CN"/>
                        <w14:textFill>
                          <w14:solidFill>
                            <w14:schemeClr w14:val="tx1"/>
                          </w14:solidFill>
                        </w14:textFill>
                      </w:rPr>
                    </m:ctrlPr>
                  </m:fPr>
                  <m:num>
                    <m:r>
                      <m:rPr/>
                      <w:rPr>
                        <w:rFonts w:ascii="Cambria Math" w:hAnsi="Cambria Math" w:cs="Times New Roman"/>
                        <w:color w:val="000000" w:themeColor="text1"/>
                        <w:sz w:val="21"/>
                        <w:lang w:eastAsia="zh-CN"/>
                        <w14:textFill>
                          <w14:solidFill>
                            <w14:schemeClr w14:val="tx1"/>
                          </w14:solidFill>
                        </w14:textFill>
                      </w:rPr>
                      <m:t>γ</m:t>
                    </m:r>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H</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s</m:t>
                        </m:r>
                        <m:ctrlPr>
                          <w:rPr>
                            <w:rFonts w:ascii="Cambria Math" w:hAnsi="Cambria Math" w:cs="Times New Roman"/>
                            <w:i/>
                            <w:color w:val="000000" w:themeColor="text1"/>
                            <w:sz w:val="21"/>
                            <w:lang w:eastAsia="zh-CN"/>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m:t>
                    </m:r>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R</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w</m:t>
                        </m:r>
                        <m:ctrlPr>
                          <w:rPr>
                            <w:rFonts w:ascii="Cambria Math" w:hAnsi="Cambria Math" w:cs="Times New Roman"/>
                            <w:i/>
                            <w:color w:val="000000" w:themeColor="text1"/>
                            <w:sz w:val="21"/>
                            <w:lang w:eastAsia="zh-CN"/>
                            <w14:textFill>
                              <w14:solidFill>
                                <w14:schemeClr w14:val="tx1"/>
                              </w14:solidFill>
                            </w14:textFill>
                          </w:rPr>
                        </m:ctrlPr>
                      </m:sub>
                    </m:sSub>
                    <m:ctrlPr>
                      <w:rPr>
                        <w:rFonts w:ascii="Cambria Math" w:hAnsi="Cambria Math" w:cs="Times New Roman"/>
                        <w:i/>
                        <w:color w:val="000000" w:themeColor="text1"/>
                        <w:sz w:val="21"/>
                        <w:lang w:eastAsia="zh-CN"/>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1000</m:t>
                    </m:r>
                    <m:ctrlPr>
                      <w:rPr>
                        <w:rFonts w:ascii="Cambria Math" w:hAnsi="Cambria Math" w:cs="Times New Roman"/>
                        <w:i/>
                        <w:color w:val="000000" w:themeColor="text1"/>
                        <w:sz w:val="21"/>
                        <w:lang w:eastAsia="zh-CN"/>
                        <w14:textFill>
                          <w14:solidFill>
                            <w14:schemeClr w14:val="tx1"/>
                          </w14:solidFill>
                        </w14:textFill>
                      </w:rPr>
                    </m:ctrlPr>
                  </m:den>
                </m:f>
                <m:r>
                  <m:rPr/>
                  <w:rPr>
                    <w:rFonts w:ascii="Cambria Math" w:hAnsi="Cambria Math" w:cs="Times New Roman"/>
                    <w:color w:val="000000" w:themeColor="text1"/>
                    <w:sz w:val="21"/>
                    <w:lang w:eastAsia="zh-CN"/>
                    <w14:textFill>
                      <w14:solidFill>
                        <w14:schemeClr w14:val="tx1"/>
                      </w14:solidFill>
                    </w14:textFill>
                  </w:rPr>
                  <m:t>+</m:t>
                </m:r>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W</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s</m:t>
                    </m:r>
                    <m:ctrlPr>
                      <w:rPr>
                        <w:rFonts w:ascii="Cambria Math" w:hAnsi="Cambria Math" w:cs="Times New Roman"/>
                        <w:i/>
                        <w:color w:val="000000" w:themeColor="text1"/>
                        <w:sz w:val="21"/>
                        <w:lang w:eastAsia="zh-CN"/>
                        <w14:textFill>
                          <w14:solidFill>
                            <w14:schemeClr w14:val="tx1"/>
                          </w14:solidFill>
                        </w14:textFill>
                      </w:rPr>
                    </m:ctrlPr>
                  </m:sub>
                </m:sSub>
              </m:oMath>
            </m:oMathPara>
          </w:p>
        </w:tc>
        <w:tc>
          <w:tcPr>
            <w:tcW w:w="1638" w:type="dxa"/>
          </w:tcPr>
          <w:p>
            <w:pPr>
              <w:ind w:firstLine="0" w:firstLineChars="0"/>
              <w:rPr>
                <w:rFonts w:cs="Times New Roman"/>
                <w:b/>
                <w:bCs/>
                <w:color w:val="000000" w:themeColor="text1"/>
                <w:sz w:val="21"/>
                <w14:textFill>
                  <w14:solidFill>
                    <w14:schemeClr w14:val="tx1"/>
                  </w14:solidFill>
                </w14:textFill>
              </w:rPr>
            </w:pPr>
            <w:r>
              <w:rPr>
                <w:rFonts w:cs="Times New Roman"/>
                <w:b/>
                <w:bCs/>
                <w:color w:val="000000" w:themeColor="text1"/>
                <w:sz w:val="21"/>
                <w:lang w:eastAsia="zh-CN"/>
                <w14:textFill>
                  <w14:solidFill>
                    <w14:schemeClr w14:val="tx1"/>
                  </w14:solidFill>
                </w14:textFill>
              </w:rPr>
              <w:t>（3.3.2-2）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58" w:type="dxa"/>
          </w:tcPr>
          <w:p>
            <w:pPr>
              <w:ind w:firstLine="0" w:firstLineChars="0"/>
              <w:rPr>
                <w:rFonts w:cs="Times New Roman"/>
                <w:i/>
                <w:color w:val="000000" w:themeColor="text1"/>
                <w:sz w:val="21"/>
                <w14:textFill>
                  <w14:solidFill>
                    <w14:schemeClr w14:val="tx1"/>
                  </w14:solidFill>
                </w14:textFill>
              </w:rPr>
            </w:pPr>
            <m:oMathPara>
              <m:oMath>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R</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w</m:t>
                    </m:r>
                    <m:ctrlPr>
                      <w:rPr>
                        <w:rFonts w:ascii="Cambria Math" w:hAnsi="Cambria Math" w:cs="Times New Roman"/>
                        <w:i/>
                        <w:color w:val="000000" w:themeColor="text1"/>
                        <w:sz w:val="21"/>
                        <w14:textFill>
                          <w14:solidFill>
                            <w14:schemeClr w14:val="tx1"/>
                          </w14:solidFill>
                        </w14:textFill>
                      </w:rPr>
                    </m:ctrlPr>
                  </m:sub>
                </m:sSub>
                <m:r>
                  <m:rPr/>
                  <w:rPr>
                    <w:rFonts w:ascii="Cambria Math" w:hAnsi="Cambria Math" w:cs="Times New Roman"/>
                    <w:color w:val="000000" w:themeColor="text1"/>
                    <w:sz w:val="21"/>
                    <w14:textFill>
                      <w14:solidFill>
                        <w14:schemeClr w14:val="tx1"/>
                      </w14:solidFill>
                    </w14:textFill>
                  </w:rPr>
                  <m:t>=1−0.33</m:t>
                </m:r>
                <m:f>
                  <m:fPr>
                    <m:ctrlPr>
                      <w:rPr>
                        <w:rFonts w:ascii="Cambria Math" w:hAnsi="Cambria Math" w:cs="Times New Roman"/>
                        <w:i/>
                        <w:color w:val="000000" w:themeColor="text1"/>
                        <w:sz w:val="21"/>
                        <w14:textFill>
                          <w14:solidFill>
                            <w14:schemeClr w14:val="tx1"/>
                          </w14:solidFill>
                        </w14:textFill>
                      </w:rPr>
                    </m:ctrlPr>
                  </m:fPr>
                  <m:num>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H</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w</m:t>
                        </m:r>
                        <m:ctrlPr>
                          <w:rPr>
                            <w:rFonts w:ascii="Cambria Math" w:hAnsi="Cambria Math" w:cs="Times New Roman"/>
                            <w:i/>
                            <w:color w:val="000000" w:themeColor="text1"/>
                            <w:sz w:val="21"/>
                            <w14:textFill>
                              <w14:solidFill>
                                <w14:schemeClr w14:val="tx1"/>
                              </w14:solidFill>
                            </w14:textFill>
                          </w:rPr>
                        </m:ctrlPr>
                      </m:sub>
                    </m:sSub>
                    <m:ctrlPr>
                      <w:rPr>
                        <w:rFonts w:ascii="Cambria Math" w:hAnsi="Cambria Math" w:cs="Times New Roman"/>
                        <w:i/>
                        <w:color w:val="000000" w:themeColor="text1"/>
                        <w:sz w:val="21"/>
                        <w14:textFill>
                          <w14:solidFill>
                            <w14:schemeClr w14:val="tx1"/>
                          </w14:solidFill>
                        </w14:textFill>
                      </w:rPr>
                    </m:ctrlPr>
                  </m:num>
                  <m:den>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H</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s</m:t>
                        </m:r>
                        <m:ctrlPr>
                          <w:rPr>
                            <w:rFonts w:ascii="Cambria Math" w:hAnsi="Cambria Math" w:cs="Times New Roman"/>
                            <w:i/>
                            <w:color w:val="000000" w:themeColor="text1"/>
                            <w:sz w:val="21"/>
                            <w14:textFill>
                              <w14:solidFill>
                                <w14:schemeClr w14:val="tx1"/>
                              </w14:solidFill>
                            </w14:textFill>
                          </w:rPr>
                        </m:ctrlPr>
                      </m:sub>
                    </m:sSub>
                    <m:ctrlPr>
                      <w:rPr>
                        <w:rFonts w:ascii="Cambria Math" w:hAnsi="Cambria Math" w:cs="Times New Roman"/>
                        <w:i/>
                        <w:color w:val="000000" w:themeColor="text1"/>
                        <w:sz w:val="21"/>
                        <w14:textFill>
                          <w14:solidFill>
                            <w14:schemeClr w14:val="tx1"/>
                          </w14:solidFill>
                        </w14:textFill>
                      </w:rPr>
                    </m:ctrlPr>
                  </m:den>
                </m:f>
              </m:oMath>
            </m:oMathPara>
          </w:p>
        </w:tc>
        <w:tc>
          <w:tcPr>
            <w:tcW w:w="1638" w:type="dxa"/>
          </w:tcPr>
          <w:p>
            <w:pPr>
              <w:ind w:firstLine="0" w:firstLineChars="0"/>
              <w:rPr>
                <w:rFonts w:cs="Times New Roman"/>
                <w:b/>
                <w:bCs/>
                <w:color w:val="000000" w:themeColor="text1"/>
                <w:sz w:val="21"/>
                <w14:textFill>
                  <w14:solidFill>
                    <w14:schemeClr w14:val="tx1"/>
                  </w14:solidFill>
                </w14:textFill>
              </w:rPr>
            </w:pPr>
            <w:r>
              <w:rPr>
                <w:rFonts w:cs="Times New Roman"/>
                <w:b/>
                <w:bCs/>
                <w:color w:val="000000" w:themeColor="text1"/>
                <w:sz w:val="21"/>
                <w:lang w:eastAsia="zh-CN"/>
                <w14:textFill>
                  <w14:solidFill>
                    <w14:schemeClr w14:val="tx1"/>
                  </w14:solidFill>
                </w14:textFill>
              </w:rPr>
              <w:t>（3.3.2-3）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58" w:type="dxa"/>
          </w:tcPr>
          <w:p>
            <w:pPr>
              <w:ind w:firstLine="0" w:firstLineChars="0"/>
              <w:rPr>
                <w:rFonts w:cs="Times New Roman"/>
                <w:i/>
                <w:color w:val="000000" w:themeColor="text1"/>
                <w:sz w:val="21"/>
                <w14:textFill>
                  <w14:solidFill>
                    <w14:schemeClr w14:val="tx1"/>
                  </w14:solidFill>
                </w14:textFill>
              </w:rPr>
            </w:pPr>
            <m:oMathPara>
              <m:oMath>
                <m:sSup>
                  <m:sSupPr>
                    <m:ctrlPr>
                      <w:rPr>
                        <w:rFonts w:ascii="Cambria Math" w:hAnsi="Cambria Math" w:cs="Times New Roman"/>
                        <w:i/>
                        <w:color w:val="000000" w:themeColor="text1"/>
                        <w:sz w:val="21"/>
                        <w14:textFill>
                          <w14:solidFill>
                            <w14:schemeClr w14:val="tx1"/>
                          </w14:solidFill>
                        </w14:textFill>
                      </w:rPr>
                    </m:ctrlPr>
                  </m:sSupPr>
                  <m:e>
                    <m:r>
                      <m:rPr/>
                      <w:rPr>
                        <w:rFonts w:ascii="Cambria Math" w:hAnsi="Cambria Math" w:cs="Times New Roman"/>
                        <w:color w:val="000000" w:themeColor="text1"/>
                        <w:sz w:val="21"/>
                        <w14:textFill>
                          <w14:solidFill>
                            <w14:schemeClr w14:val="tx1"/>
                          </w14:solidFill>
                        </w14:textFill>
                      </w:rPr>
                      <m:t>B</m:t>
                    </m:r>
                    <m:ctrlPr>
                      <w:rPr>
                        <w:rFonts w:ascii="Cambria Math" w:hAnsi="Cambria Math" w:cs="Times New Roman"/>
                        <w:i/>
                        <w:color w:val="000000" w:themeColor="text1"/>
                        <w:sz w:val="21"/>
                        <w14:textFill>
                          <w14:solidFill>
                            <w14:schemeClr w14:val="tx1"/>
                          </w14:solidFill>
                        </w14:textFill>
                      </w:rPr>
                    </m:ctrlPr>
                  </m:e>
                  <m:sup>
                    <m:r>
                      <m:rPr/>
                      <w:rPr>
                        <w:rFonts w:ascii="Cambria Math" w:hAnsi="Cambria Math" w:cs="Times New Roman"/>
                        <w:color w:val="000000" w:themeColor="text1"/>
                        <w:sz w:val="21"/>
                        <w14:textFill>
                          <w14:solidFill>
                            <w14:schemeClr w14:val="tx1"/>
                          </w14:solidFill>
                        </w14:textFill>
                      </w:rPr>
                      <m:t>'</m:t>
                    </m:r>
                    <m:ctrlPr>
                      <w:rPr>
                        <w:rFonts w:ascii="Cambria Math" w:hAnsi="Cambria Math" w:cs="Times New Roman"/>
                        <w:i/>
                        <w:color w:val="000000" w:themeColor="text1"/>
                        <w:sz w:val="21"/>
                        <w14:textFill>
                          <w14:solidFill>
                            <w14:schemeClr w14:val="tx1"/>
                          </w14:solidFill>
                        </w14:textFill>
                      </w:rPr>
                    </m:ctrlPr>
                  </m:sup>
                </m:sSup>
                <m:r>
                  <m:rPr/>
                  <w:rPr>
                    <w:rFonts w:ascii="Cambria Math" w:hAnsi="Cambria Math" w:cs="Times New Roman"/>
                    <w:color w:val="000000" w:themeColor="text1"/>
                    <w:sz w:val="21"/>
                    <w14:textFill>
                      <w14:solidFill>
                        <w14:schemeClr w14:val="tx1"/>
                      </w14:solidFill>
                    </w14:textFill>
                  </w:rPr>
                  <m:t>=</m:t>
                </m:r>
                <m:f>
                  <m:fPr>
                    <m:ctrlPr>
                      <w:rPr>
                        <w:rFonts w:ascii="Cambria Math" w:hAnsi="Cambria Math" w:cs="Times New Roman"/>
                        <w:i/>
                        <w:color w:val="000000" w:themeColor="text1"/>
                        <w:sz w:val="21"/>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1</m:t>
                    </m:r>
                    <m:ctrlPr>
                      <w:rPr>
                        <w:rFonts w:ascii="Cambria Math" w:hAnsi="Cambria Math" w:cs="Times New Roman"/>
                        <w:i/>
                        <w:color w:val="000000" w:themeColor="text1"/>
                        <w:sz w:val="21"/>
                        <w14:textFill>
                          <w14:solidFill>
                            <w14:schemeClr w14:val="tx1"/>
                          </w14:solidFill>
                        </w14:textFill>
                      </w:rPr>
                    </m:ctrlPr>
                  </m:num>
                  <m:den>
                    <m:r>
                      <m:rPr/>
                      <w:rPr>
                        <w:rFonts w:ascii="Cambria Math" w:hAnsi="Cambria Math" w:cs="Times New Roman"/>
                        <w:color w:val="000000" w:themeColor="text1"/>
                        <w:sz w:val="21"/>
                        <w14:textFill>
                          <w14:solidFill>
                            <w14:schemeClr w14:val="tx1"/>
                          </w14:solidFill>
                        </w14:textFill>
                      </w:rPr>
                      <m:t>1+4</m:t>
                    </m:r>
                    <m:sSup>
                      <m:sSupPr>
                        <m:ctrlPr>
                          <w:rPr>
                            <w:rFonts w:ascii="Cambria Math" w:hAnsi="Cambria Math" w:cs="Times New Roman"/>
                            <w:i/>
                            <w:color w:val="000000" w:themeColor="text1"/>
                            <w:sz w:val="21"/>
                            <w14:textFill>
                              <w14:solidFill>
                                <w14:schemeClr w14:val="tx1"/>
                              </w14:solidFill>
                            </w14:textFill>
                          </w:rPr>
                        </m:ctrlPr>
                      </m:sSupPr>
                      <m:e>
                        <m:r>
                          <m:rPr/>
                          <w:rPr>
                            <w:rFonts w:ascii="Cambria Math" w:hAnsi="Cambria Math" w:cs="Times New Roman"/>
                            <w:color w:val="000000" w:themeColor="text1"/>
                            <w:sz w:val="21"/>
                            <w14:textFill>
                              <w14:solidFill>
                                <w14:schemeClr w14:val="tx1"/>
                              </w14:solidFill>
                            </w14:textFill>
                          </w:rPr>
                          <m:t>e</m:t>
                        </m:r>
                        <m:ctrlPr>
                          <w:rPr>
                            <w:rFonts w:ascii="Cambria Math" w:hAnsi="Cambria Math" w:cs="Times New Roman"/>
                            <w:i/>
                            <w:color w:val="000000" w:themeColor="text1"/>
                            <w:sz w:val="21"/>
                            <w14:textFill>
                              <w14:solidFill>
                                <w14:schemeClr w14:val="tx1"/>
                              </w14:solidFill>
                            </w14:textFill>
                          </w:rPr>
                        </m:ctrlPr>
                      </m:e>
                      <m:sup>
                        <m:r>
                          <m:rPr/>
                          <w:rPr>
                            <w:rFonts w:ascii="Cambria Math" w:hAnsi="Cambria Math" w:cs="Times New Roman"/>
                            <w:color w:val="000000" w:themeColor="text1"/>
                            <w:sz w:val="21"/>
                            <w14:textFill>
                              <w14:solidFill>
                                <w14:schemeClr w14:val="tx1"/>
                              </w14:solidFill>
                            </w14:textFill>
                          </w:rPr>
                          <m:t>−0.213H</m:t>
                        </m:r>
                        <m:ctrlPr>
                          <w:rPr>
                            <w:rFonts w:ascii="Cambria Math" w:hAnsi="Cambria Math" w:cs="Times New Roman"/>
                            <w:i/>
                            <w:color w:val="000000" w:themeColor="text1"/>
                            <w:sz w:val="21"/>
                            <w14:textFill>
                              <w14:solidFill>
                                <w14:schemeClr w14:val="tx1"/>
                              </w14:solidFill>
                            </w14:textFill>
                          </w:rPr>
                        </m:ctrlPr>
                      </m:sup>
                    </m:sSup>
                    <m:ctrlPr>
                      <w:rPr>
                        <w:rFonts w:ascii="Cambria Math" w:hAnsi="Cambria Math" w:cs="Times New Roman"/>
                        <w:i/>
                        <w:color w:val="000000" w:themeColor="text1"/>
                        <w:sz w:val="21"/>
                        <w14:textFill>
                          <w14:solidFill>
                            <w14:schemeClr w14:val="tx1"/>
                          </w14:solidFill>
                        </w14:textFill>
                      </w:rPr>
                    </m:ctrlPr>
                  </m:den>
                </m:f>
              </m:oMath>
            </m:oMathPara>
          </w:p>
        </w:tc>
        <w:tc>
          <w:tcPr>
            <w:tcW w:w="1638" w:type="dxa"/>
          </w:tcPr>
          <w:p>
            <w:pPr>
              <w:ind w:firstLine="0" w:firstLineChars="0"/>
              <w:rPr>
                <w:rFonts w:cs="Times New Roman"/>
                <w:b/>
                <w:bCs/>
                <w:color w:val="000000" w:themeColor="text1"/>
                <w:sz w:val="21"/>
                <w14:textFill>
                  <w14:solidFill>
                    <w14:schemeClr w14:val="tx1"/>
                  </w14:solidFill>
                </w14:textFill>
              </w:rPr>
            </w:pPr>
            <w:r>
              <w:rPr>
                <w:rFonts w:cs="Times New Roman"/>
                <w:b/>
                <w:bCs/>
                <w:color w:val="000000" w:themeColor="text1"/>
                <w:sz w:val="21"/>
                <w:lang w:eastAsia="zh-CN"/>
                <w14:textFill>
                  <w14:solidFill>
                    <w14:schemeClr w14:val="tx1"/>
                  </w14:solidFill>
                </w14:textFill>
              </w:rPr>
              <w:t>（3.3.2-4）</w:t>
            </w:r>
          </w:p>
        </w:tc>
      </w:tr>
    </w:tbl>
    <w:p>
      <w:pPr>
        <w:ind w:firstLine="361"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式中：t——内衬管壁厚（mm）；</w:t>
      </w:r>
    </w:p>
    <w:p>
      <w:pPr>
        <w:ind w:left="57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o</w:t>
      </w:r>
      <w:r>
        <w:rPr>
          <w:rFonts w:cs="Times New Roman"/>
          <w:color w:val="000000" w:themeColor="text1"/>
          <w:sz w:val="21"/>
          <w:lang w:eastAsia="zh-CN"/>
          <w14:textFill>
            <w14:solidFill>
              <w14:schemeClr w14:val="tx1"/>
            </w14:solidFill>
          </w14:textFill>
        </w:rPr>
        <w:t>——内衬管外径（mm）；</w:t>
      </w:r>
    </w:p>
    <w:p>
      <w:pPr>
        <w:ind w:left="511" w:firstLine="478" w:firstLineChars="228"/>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q</w:t>
      </w:r>
      <w:r>
        <w:rPr>
          <w:rFonts w:cs="Times New Roman"/>
          <w:color w:val="000000" w:themeColor="text1"/>
          <w:sz w:val="21"/>
          <w:vertAlign w:val="subscript"/>
          <w:lang w:eastAsia="zh-CN"/>
          <w14:textFill>
            <w14:solidFill>
              <w14:schemeClr w14:val="tx1"/>
            </w14:solidFill>
          </w14:textFill>
        </w:rPr>
        <w:t>t</w:t>
      </w:r>
      <w:r>
        <w:rPr>
          <w:rFonts w:cs="Times New Roman"/>
          <w:color w:val="000000" w:themeColor="text1"/>
          <w:sz w:val="21"/>
          <w:lang w:eastAsia="zh-CN"/>
          <w14:textFill>
            <w14:solidFill>
              <w14:schemeClr w14:val="tx1"/>
            </w14:solidFill>
          </w14:textFill>
        </w:rPr>
        <w:t>——内衬管承担的土体,地下水自重及地面活荷载之和（MPa）；</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H</w:t>
      </w:r>
      <w:r>
        <w:rPr>
          <w:rFonts w:cs="Times New Roman"/>
          <w:color w:val="000000" w:themeColor="text1"/>
          <w:sz w:val="21"/>
          <w:vertAlign w:val="subscript"/>
          <w:lang w:eastAsia="zh-CN"/>
          <w14:textFill>
            <w14:solidFill>
              <w14:schemeClr w14:val="tx1"/>
            </w14:solidFill>
          </w14:textFill>
        </w:rPr>
        <w:t>w</w:t>
      </w:r>
      <w:r>
        <w:rPr>
          <w:rFonts w:cs="Times New Roman"/>
          <w:color w:val="000000" w:themeColor="text1"/>
          <w:sz w:val="21"/>
          <w:lang w:eastAsia="zh-CN"/>
          <w14:textFill>
            <w14:solidFill>
              <w14:schemeClr w14:val="tx1"/>
            </w14:solidFill>
          </w14:textFill>
        </w:rPr>
        <w:t>——管顶以上地下水位高（m）；</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H</w:t>
      </w:r>
      <w:r>
        <w:rPr>
          <w:rFonts w:cs="Times New Roman"/>
          <w:color w:val="000000" w:themeColor="text1"/>
          <w:sz w:val="21"/>
          <w:vertAlign w:val="subscript"/>
          <w:lang w:eastAsia="zh-CN"/>
          <w14:textFill>
            <w14:solidFill>
              <w14:schemeClr w14:val="tx1"/>
            </w14:solidFill>
          </w14:textFill>
        </w:rPr>
        <w:t>s</w:t>
      </w:r>
      <w:r>
        <w:rPr>
          <w:rFonts w:cs="Times New Roman"/>
          <w:color w:val="000000" w:themeColor="text1"/>
          <w:sz w:val="21"/>
          <w:lang w:eastAsia="zh-CN"/>
          <w14:textFill>
            <w14:solidFill>
              <w14:schemeClr w14:val="tx1"/>
            </w14:solidFill>
          </w14:textFill>
        </w:rPr>
        <w:t>——管顶覆土厚度（m）；</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H——管道埋深（m）；</w:t>
      </w:r>
    </w:p>
    <w:p>
      <w:pPr>
        <w:ind w:left="360" w:firstLine="630" w:firstLineChars="30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R</w:t>
      </w:r>
      <w:r>
        <w:rPr>
          <w:rFonts w:cs="Times New Roman"/>
          <w:color w:val="000000" w:themeColor="text1"/>
          <w:sz w:val="21"/>
          <w:vertAlign w:val="subscript"/>
          <w:lang w:eastAsia="zh-CN"/>
          <w14:textFill>
            <w14:solidFill>
              <w14:schemeClr w14:val="tx1"/>
            </w14:solidFill>
          </w14:textFill>
        </w:rPr>
        <w:t>w</w:t>
      </w:r>
      <w:r>
        <w:rPr>
          <w:rFonts w:cs="Times New Roman"/>
          <w:color w:val="000000" w:themeColor="text1"/>
          <w:sz w:val="21"/>
          <w:lang w:eastAsia="zh-CN"/>
          <w14:textFill>
            <w14:solidFill>
              <w14:schemeClr w14:val="tx1"/>
            </w14:solidFill>
          </w14:textFill>
        </w:rPr>
        <w:t>——</w:t>
      </w:r>
      <w:r>
        <w:rPr>
          <w:rFonts w:cs="Times New Roman"/>
          <w:color w:val="000000" w:themeColor="text1"/>
          <w:sz w:val="21"/>
          <w14:textFill>
            <w14:solidFill>
              <w14:schemeClr w14:val="tx1"/>
            </w14:solidFill>
          </w14:textFill>
        </w:rPr>
        <w:t>水浮力因子</w:t>
      </w:r>
      <w:r>
        <w:rPr>
          <w:rFonts w:cs="Times New Roman"/>
          <w:color w:val="000000" w:themeColor="text1"/>
          <w:sz w:val="21"/>
          <w:lang w:eastAsia="zh-CN"/>
          <w14:textFill>
            <w14:solidFill>
              <w14:schemeClr w14:val="tx1"/>
            </w14:solidFill>
          </w14:textFill>
        </w:rPr>
        <w:t>；</w:t>
      </w:r>
    </w:p>
    <w:p>
      <w:pPr>
        <w:ind w:left="360" w:firstLine="630" w:firstLineChars="300"/>
        <w:rPr>
          <w:rFonts w:cs="Times New Roman"/>
          <w:color w:val="000000" w:themeColor="text1"/>
          <w:sz w:val="21"/>
          <w14:textFill>
            <w14:solidFill>
              <w14:schemeClr w14:val="tx1"/>
            </w14:solidFill>
          </w14:textFill>
        </w:rPr>
      </w:pPr>
      <w:r>
        <w:rPr>
          <w:rFonts w:cs="Times New Roman"/>
          <w:color w:val="000000" w:themeColor="text1"/>
          <w:sz w:val="21"/>
          <w:lang w:eastAsia="zh-CN"/>
          <w14:textFill>
            <w14:solidFill>
              <w14:schemeClr w14:val="tx1"/>
            </w14:solidFill>
          </w14:textFill>
        </w:rPr>
        <w:t>γ——</w:t>
      </w:r>
      <w:r>
        <w:rPr>
          <w:rFonts w:cs="Times New Roman"/>
          <w:color w:val="000000" w:themeColor="text1"/>
          <w:sz w:val="21"/>
          <w14:textFill>
            <w14:solidFill>
              <w14:schemeClr w14:val="tx1"/>
            </w14:solidFill>
          </w14:textFill>
        </w:rPr>
        <w:t>土体容重</w:t>
      </w:r>
      <w:r>
        <w:rPr>
          <w:rFonts w:cs="Times New Roman"/>
          <w:color w:val="000000" w:themeColor="text1"/>
          <w:sz w:val="21"/>
          <w:lang w:eastAsia="zh-CN"/>
          <w14:textFill>
            <w14:solidFill>
              <w14:schemeClr w14:val="tx1"/>
            </w14:solidFill>
          </w14:textFill>
        </w:rPr>
        <w:t>（</w:t>
      </w:r>
      <w:r>
        <w:rPr>
          <w:rFonts w:cs="Times New Roman"/>
          <w:color w:val="000000" w:themeColor="text1"/>
          <w:sz w:val="21"/>
          <w14:textFill>
            <w14:solidFill>
              <w14:schemeClr w14:val="tx1"/>
            </w14:solidFill>
          </w14:textFill>
        </w:rPr>
        <w:t>kN/m</w:t>
      </w:r>
      <w:r>
        <w:rPr>
          <w:rFonts w:cs="Times New Roman"/>
          <w:color w:val="000000" w:themeColor="text1"/>
          <w:sz w:val="21"/>
          <w:vertAlign w:val="superscript"/>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W</w:t>
      </w:r>
      <w:r>
        <w:rPr>
          <w:rFonts w:cs="Times New Roman"/>
          <w:color w:val="000000" w:themeColor="text1"/>
          <w:sz w:val="21"/>
          <w:vertAlign w:val="subscript"/>
          <w:lang w:eastAsia="zh-CN"/>
          <w14:textFill>
            <w14:solidFill>
              <w14:schemeClr w14:val="tx1"/>
            </w14:solidFill>
          </w14:textFill>
        </w:rPr>
        <w:t>s</w:t>
      </w:r>
      <w:r>
        <w:rPr>
          <w:rFonts w:cs="Times New Roman"/>
          <w:color w:val="000000" w:themeColor="text1"/>
          <w:sz w:val="21"/>
          <w:lang w:eastAsia="zh-CN"/>
          <w14:textFill>
            <w14:solidFill>
              <w14:schemeClr w14:val="tx1"/>
            </w14:solidFill>
          </w14:textFill>
        </w:rPr>
        <w:t>——地面活荷载（MPa）；</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N——安全系数，推荐取 2.0；</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C——椭圆度折减因子；</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q——内衬管道的椭圆度，按式（3.3.1-3）计算；</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E</w:t>
      </w:r>
      <w:r>
        <w:rPr>
          <w:rFonts w:cs="Times New Roman"/>
          <w:color w:val="000000" w:themeColor="text1"/>
          <w:sz w:val="21"/>
          <w:vertAlign w:val="subscript"/>
          <w:lang w:eastAsia="zh-CN"/>
          <w14:textFill>
            <w14:solidFill>
              <w14:schemeClr w14:val="tx1"/>
            </w14:solidFill>
          </w14:textFill>
        </w:rPr>
        <w:t>L</w:t>
      </w:r>
      <w:r>
        <w:rPr>
          <w:rFonts w:cs="Times New Roman"/>
          <w:color w:val="000000" w:themeColor="text1"/>
          <w:sz w:val="21"/>
          <w:lang w:eastAsia="zh-CN"/>
          <w14:textFill>
            <w14:solidFill>
              <w14:schemeClr w14:val="tx1"/>
            </w14:solidFill>
          </w14:textFill>
        </w:rPr>
        <w:t>——内衬管的长期弹性模量（MPa），宜取初始弹性模量的 50%；</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B’ ——弹性支承系数；</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E</w:t>
      </w:r>
      <w:r>
        <w:rPr>
          <w:rFonts w:cs="Times New Roman"/>
          <w:color w:val="000000" w:themeColor="text1"/>
          <w:sz w:val="21"/>
          <w:vertAlign w:val="subscript"/>
          <w:lang w:eastAsia="zh-CN"/>
          <w14:textFill>
            <w14:solidFill>
              <w14:schemeClr w14:val="tx1"/>
            </w14:solidFill>
          </w14:textFill>
        </w:rPr>
        <w:t>s</w:t>
      </w:r>
      <w:r>
        <w:rPr>
          <w:rFonts w:cs="Times New Roman"/>
          <w:color w:val="000000" w:themeColor="text1"/>
          <w:sz w:val="21"/>
          <w:lang w:eastAsia="zh-CN"/>
          <w14:textFill>
            <w14:solidFill>
              <w14:schemeClr w14:val="tx1"/>
            </w14:solidFill>
          </w14:textFill>
        </w:rPr>
        <w:t>’——管侧土的综合变形模量（MPa），应按现行国家标准《给水排水工程管道结构设计规范》GB 50332的规定确定。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内衬管的最小壁厚还应满足下式要求:</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41"/>
        <w:gridCol w:w="13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6941" w:type="dxa"/>
          </w:tcPr>
          <w:p>
            <w:pPr>
              <w:ind w:firstLine="0" w:firstLineChars="0"/>
              <w:rPr>
                <w:rFonts w:cs="Times New Roman"/>
                <w:color w:val="000000" w:themeColor="text1"/>
                <w:sz w:val="21"/>
                <w14:textFill>
                  <w14:solidFill>
                    <w14:schemeClr w14:val="tx1"/>
                  </w14:solidFill>
                </w14:textFill>
              </w:rPr>
            </w:pPr>
            <m:oMathPara>
              <m:oMath>
                <m:r>
                  <m:rPr/>
                  <w:rPr>
                    <w:rFonts w:ascii="Cambria Math" w:hAnsi="Cambria Math" w:cs="Times New Roman"/>
                    <w:color w:val="000000" w:themeColor="text1"/>
                    <w:sz w:val="21"/>
                    <w:lang w:eastAsia="zh-CN"/>
                    <w14:textFill>
                      <w14:solidFill>
                        <w14:schemeClr w14:val="tx1"/>
                      </w14:solidFill>
                    </w14:textFill>
                  </w:rPr>
                  <m:t>t≥</m:t>
                </m:r>
                <m:f>
                  <m:fPr>
                    <m:ctrlPr>
                      <w:rPr>
                        <w:rFonts w:ascii="Cambria Math" w:hAnsi="Cambria Math" w:cs="Times New Roman"/>
                        <w:i/>
                        <w:color w:val="000000" w:themeColor="text1"/>
                        <w:sz w:val="21"/>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0.1973</m:t>
                    </m:r>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D</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o</m:t>
                        </m:r>
                        <m:ctrlPr>
                          <w:rPr>
                            <w:rFonts w:ascii="Cambria Math" w:hAnsi="Cambria Math" w:cs="Times New Roman"/>
                            <w:i/>
                            <w:color w:val="000000" w:themeColor="text1"/>
                            <w:sz w:val="21"/>
                            <w14:textFill>
                              <w14:solidFill>
                                <w14:schemeClr w14:val="tx1"/>
                              </w14:solidFill>
                            </w14:textFill>
                          </w:rPr>
                        </m:ctrlPr>
                      </m:sub>
                    </m:sSub>
                    <m:ctrlPr>
                      <w:rPr>
                        <w:rFonts w:ascii="Cambria Math" w:hAnsi="Cambria Math" w:cs="Times New Roman"/>
                        <w:i/>
                        <w:color w:val="000000" w:themeColor="text1"/>
                        <w:sz w:val="21"/>
                        <w14:textFill>
                          <w14:solidFill>
                            <w14:schemeClr w14:val="tx1"/>
                          </w14:solidFill>
                        </w14:textFill>
                      </w:rPr>
                    </m:ctrlPr>
                  </m:num>
                  <m:den>
                    <m:sSup>
                      <m:sSupPr>
                        <m:ctrlPr>
                          <w:rPr>
                            <w:rFonts w:ascii="Cambria Math" w:hAnsi="Cambria Math" w:cs="Times New Roman"/>
                            <w:i/>
                            <w:color w:val="000000" w:themeColor="text1"/>
                            <w:sz w:val="21"/>
                            <w14:textFill>
                              <w14:solidFill>
                                <w14:schemeClr w14:val="tx1"/>
                              </w14:solidFill>
                            </w14:textFill>
                          </w:rPr>
                        </m:ctrlPr>
                      </m:sSupPr>
                      <m:e>
                        <m:r>
                          <m:rPr/>
                          <w:rPr>
                            <w:rFonts w:ascii="Cambria Math" w:hAnsi="Cambria Math" w:cs="Times New Roman"/>
                            <w:color w:val="000000" w:themeColor="text1"/>
                            <w:sz w:val="21"/>
                            <w14:textFill>
                              <w14:solidFill>
                                <w14:schemeClr w14:val="tx1"/>
                              </w14:solidFill>
                            </w14:textFill>
                          </w:rPr>
                          <m:t>E</m:t>
                        </m:r>
                        <m:ctrlPr>
                          <w:rPr>
                            <w:rFonts w:ascii="Cambria Math" w:hAnsi="Cambria Math" w:cs="Times New Roman"/>
                            <w:i/>
                            <w:color w:val="000000" w:themeColor="text1"/>
                            <w:sz w:val="21"/>
                            <w14:textFill>
                              <w14:solidFill>
                                <w14:schemeClr w14:val="tx1"/>
                              </w14:solidFill>
                            </w14:textFill>
                          </w:rPr>
                        </m:ctrlPr>
                      </m:e>
                      <m:sup>
                        <m:f>
                          <m:fPr>
                            <m:ctrlPr>
                              <w:rPr>
                                <w:rFonts w:ascii="Cambria Math" w:hAnsi="Cambria Math" w:cs="Times New Roman"/>
                                <w:i/>
                                <w:color w:val="000000" w:themeColor="text1"/>
                                <w:sz w:val="21"/>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1</m:t>
                            </m:r>
                            <m:ctrlPr>
                              <w:rPr>
                                <w:rFonts w:ascii="Cambria Math" w:hAnsi="Cambria Math" w:cs="Times New Roman"/>
                                <w:i/>
                                <w:color w:val="000000" w:themeColor="text1"/>
                                <w:sz w:val="21"/>
                                <w14:textFill>
                                  <w14:solidFill>
                                    <w14:schemeClr w14:val="tx1"/>
                                  </w14:solidFill>
                                </w14:textFill>
                              </w:rPr>
                            </m:ctrlPr>
                          </m:num>
                          <m:den>
                            <m:r>
                              <m:rPr/>
                              <w:rPr>
                                <w:rFonts w:ascii="Cambria Math" w:hAnsi="Cambria Math" w:cs="Times New Roman"/>
                                <w:color w:val="000000" w:themeColor="text1"/>
                                <w:sz w:val="21"/>
                                <w14:textFill>
                                  <w14:solidFill>
                                    <w14:schemeClr w14:val="tx1"/>
                                  </w14:solidFill>
                                </w14:textFill>
                              </w:rPr>
                              <m:t>3</m:t>
                            </m:r>
                            <m:ctrlPr>
                              <w:rPr>
                                <w:rFonts w:ascii="Cambria Math" w:hAnsi="Cambria Math" w:cs="Times New Roman"/>
                                <w:i/>
                                <w:color w:val="000000" w:themeColor="text1"/>
                                <w:sz w:val="21"/>
                                <w14:textFill>
                                  <w14:solidFill>
                                    <w14:schemeClr w14:val="tx1"/>
                                  </w14:solidFill>
                                </w14:textFill>
                              </w:rPr>
                            </m:ctrlPr>
                          </m:den>
                        </m:f>
                        <m:ctrlPr>
                          <w:rPr>
                            <w:rFonts w:ascii="Cambria Math" w:hAnsi="Cambria Math" w:cs="Times New Roman"/>
                            <w:i/>
                            <w:color w:val="000000" w:themeColor="text1"/>
                            <w:sz w:val="21"/>
                            <w14:textFill>
                              <w14:solidFill>
                                <w14:schemeClr w14:val="tx1"/>
                              </w14:solidFill>
                            </w14:textFill>
                          </w:rPr>
                        </m:ctrlPr>
                      </m:sup>
                    </m:sSup>
                    <m:ctrlPr>
                      <w:rPr>
                        <w:rFonts w:ascii="Cambria Math" w:hAnsi="Cambria Math" w:cs="Times New Roman"/>
                        <w:i/>
                        <w:color w:val="000000" w:themeColor="text1"/>
                        <w:sz w:val="21"/>
                        <w14:textFill>
                          <w14:solidFill>
                            <w14:schemeClr w14:val="tx1"/>
                          </w14:solidFill>
                        </w14:textFill>
                      </w:rPr>
                    </m:ctrlPr>
                  </m:den>
                </m:f>
              </m:oMath>
            </m:oMathPara>
          </w:p>
        </w:tc>
        <w:tc>
          <w:tcPr>
            <w:tcW w:w="1355" w:type="dxa"/>
          </w:tcPr>
          <w:p>
            <w:pPr>
              <w:ind w:firstLine="0" w:firstLineChars="0"/>
              <w:rPr>
                <w:rFonts w:cs="Times New Roman"/>
                <w:b/>
                <w:bCs/>
                <w:color w:val="000000" w:themeColor="text1"/>
                <w:sz w:val="21"/>
                <w14:textFill>
                  <w14:solidFill>
                    <w14:schemeClr w14:val="tx1"/>
                  </w14:solidFill>
                </w14:textFill>
              </w:rPr>
            </w:pPr>
            <w:r>
              <w:rPr>
                <w:rFonts w:cs="Times New Roman"/>
                <w:b/>
                <w:bCs/>
                <w:color w:val="000000" w:themeColor="text1"/>
                <w:sz w:val="21"/>
                <w:lang w:eastAsia="zh-CN"/>
                <w14:textFill>
                  <w14:solidFill>
                    <w14:schemeClr w14:val="tx1"/>
                  </w14:solidFill>
                </w14:textFill>
              </w:rPr>
              <w:t>（3.3.2-5）</w:t>
            </w:r>
          </w:p>
        </w:tc>
      </w:tr>
    </w:tbl>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式中: t——内衬管壁厚（mm）；</w:t>
      </w:r>
    </w:p>
    <w:p>
      <w:pPr>
        <w:ind w:left="780" w:firstLine="262" w:firstLineChars="125"/>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o</w:t>
      </w:r>
      <w:r>
        <w:rPr>
          <w:rFonts w:cs="Times New Roman"/>
          <w:color w:val="000000" w:themeColor="text1"/>
          <w:sz w:val="21"/>
          <w:lang w:eastAsia="zh-CN"/>
          <w14:textFill>
            <w14:solidFill>
              <w14:schemeClr w14:val="tx1"/>
            </w14:solidFill>
          </w14:textFill>
        </w:rPr>
        <w:t>——内衬管外径（mm）；</w:t>
      </w:r>
    </w:p>
    <w:p>
      <w:pPr>
        <w:ind w:left="36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E——内衬管的初始弹性模量（MPa）。</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内衬管的最小壁厚还应大于式（3.3.1-1）、式（3.3.1-4）和式(3.3.1-11)的计算结果。</w:t>
      </w:r>
    </w:p>
    <w:p>
      <w:pPr>
        <w:ind w:left="420" w:firstLine="422"/>
        <w:rPr>
          <w:rFonts w:cs="Times New Roman"/>
          <w:color w:val="000000" w:themeColor="text1"/>
          <w:sz w:val="21"/>
          <w:lang w:eastAsia="zh-CN"/>
          <w14:textFill>
            <w14:solidFill>
              <w14:schemeClr w14:val="tx1"/>
            </w14:solidFill>
          </w14:textFill>
        </w:rPr>
      </w:pPr>
      <w:bookmarkStart w:id="31" w:name="_Toc5484"/>
      <w:bookmarkStart w:id="32" w:name="_Toc542"/>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当采用螺旋缠绕内衬法时，内衬管刚度应按下式计算：</w:t>
      </w:r>
      <w:bookmarkEnd w:id="31"/>
      <w:bookmarkEnd w:id="32"/>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46"/>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46" w:type="dxa"/>
          </w:tcPr>
          <w:p>
            <w:pPr>
              <w:ind w:firstLine="0" w:firstLineChars="0"/>
              <w:rPr>
                <w:rFonts w:cs="Times New Roman"/>
                <w:iCs/>
                <w:color w:val="000000" w:themeColor="text1"/>
                <w:sz w:val="21"/>
                <w:lang w:eastAsia="zh-CN"/>
                <w14:textFill>
                  <w14:solidFill>
                    <w14:schemeClr w14:val="tx1"/>
                  </w14:solidFill>
                </w14:textFill>
              </w:rPr>
            </w:pPr>
            <m:oMathPara>
              <m:oMath>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E</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L</m:t>
                    </m:r>
                    <m:ctrlPr>
                      <w:rPr>
                        <w:rFonts w:ascii="Cambria Math" w:hAnsi="Cambria Math" w:cs="Times New Roman"/>
                        <w:i/>
                        <w:color w:val="000000" w:themeColor="text1"/>
                        <w:sz w:val="21"/>
                        <w:lang w:eastAsia="zh-CN"/>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I=</m:t>
                </m:r>
                <m:f>
                  <m:fPr>
                    <m:ctrlPr>
                      <w:rPr>
                        <w:rFonts w:ascii="Cambria Math" w:hAnsi="Cambria Math" w:cs="Times New Roman"/>
                        <w:i/>
                        <w:color w:val="000000" w:themeColor="text1"/>
                        <w:sz w:val="21"/>
                        <w:lang w:eastAsia="zh-CN"/>
                        <w14:textFill>
                          <w14:solidFill>
                            <w14:schemeClr w14:val="tx1"/>
                          </w14:solidFill>
                        </w14:textFill>
                      </w:rPr>
                    </m:ctrlPr>
                  </m:fPr>
                  <m:num>
                    <m:sSup>
                      <m:sSupPr>
                        <m:ctrlPr>
                          <w:rPr>
                            <w:rFonts w:ascii="Cambria Math" w:hAnsi="Cambria Math" w:cs="Times New Roman"/>
                            <w:i/>
                            <w:color w:val="000000" w:themeColor="text1"/>
                            <w:sz w:val="21"/>
                            <w:lang w:eastAsia="zh-CN"/>
                            <w14:textFill>
                              <w14:solidFill>
                                <w14:schemeClr w14:val="tx1"/>
                              </w14:solidFill>
                            </w14:textFill>
                          </w:rPr>
                        </m:ctrlPr>
                      </m:sSupPr>
                      <m:e>
                        <m:d>
                          <m:dPr>
                            <m:ctrlPr>
                              <w:rPr>
                                <w:rFonts w:ascii="Cambria Math" w:hAnsi="Cambria Math" w:cs="Times New Roman"/>
                                <w:i/>
                                <w:color w:val="000000" w:themeColor="text1"/>
                                <w:sz w:val="21"/>
                                <w:lang w:eastAsia="zh-CN"/>
                                <w14:textFill>
                                  <w14:solidFill>
                                    <w14:schemeClr w14:val="tx1"/>
                                  </w14:solidFill>
                                </w14:textFill>
                              </w:rPr>
                            </m:ctrlPr>
                          </m:dPr>
                          <m:e>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hint="eastAsia" w:ascii="Cambria Math" w:hAnsi="Cambria Math" w:cs="Times New Roman"/>
                                    <w:color w:val="000000" w:themeColor="text1"/>
                                    <w:sz w:val="21"/>
                                    <w:lang w:eastAsia="zh-CN"/>
                                    <w14:textFill>
                                      <w14:solidFill>
                                        <w14:schemeClr w14:val="tx1"/>
                                      </w14:solidFill>
                                    </w14:textFill>
                                  </w:rPr>
                                  <m:t>q</m:t>
                                </m:r>
                                <m:ctrlPr>
                                  <w:rPr>
                                    <w:rFonts w:ascii="Cambria Math" w:hAnsi="Cambria Math" w:cs="Times New Roman"/>
                                    <w:i/>
                                    <w:color w:val="000000" w:themeColor="text1"/>
                                    <w:sz w:val="21"/>
                                    <w:lang w:eastAsia="zh-CN"/>
                                    <w14:textFill>
                                      <w14:solidFill>
                                        <w14:schemeClr w14:val="tx1"/>
                                      </w14:solidFill>
                                    </w14:textFill>
                                  </w:rPr>
                                </m:ctrlPr>
                              </m:e>
                              <m:sub>
                                <m:r>
                                  <m:rPr/>
                                  <w:rPr>
                                    <w:rFonts w:hint="eastAsia" w:ascii="Cambria Math" w:hAnsi="Cambria Math" w:cs="Times New Roman"/>
                                    <w:color w:val="000000" w:themeColor="text1"/>
                                    <w:sz w:val="21"/>
                                    <w:lang w:eastAsia="zh-CN"/>
                                    <w14:textFill>
                                      <w14:solidFill>
                                        <w14:schemeClr w14:val="tx1"/>
                                      </w14:solidFill>
                                    </w14:textFill>
                                  </w:rPr>
                                  <m:t>t</m:t>
                                </m:r>
                                <m:ctrlPr>
                                  <w:rPr>
                                    <w:rFonts w:ascii="Cambria Math" w:hAnsi="Cambria Math" w:cs="Times New Roman"/>
                                    <w:i/>
                                    <w:color w:val="000000" w:themeColor="text1"/>
                                    <w:sz w:val="21"/>
                                    <w:lang w:eastAsia="zh-CN"/>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N</m:t>
                            </m:r>
                            <m:ctrlPr>
                              <w:rPr>
                                <w:rFonts w:ascii="Cambria Math" w:hAnsi="Cambria Math" w:cs="Times New Roman"/>
                                <w:i/>
                                <w:color w:val="000000" w:themeColor="text1"/>
                                <w:sz w:val="21"/>
                                <w:lang w:eastAsia="zh-CN"/>
                                <w14:textFill>
                                  <w14:solidFill>
                                    <w14:schemeClr w14:val="tx1"/>
                                  </w14:solidFill>
                                </w14:textFill>
                              </w:rPr>
                            </m:ctrlPr>
                          </m:e>
                        </m:d>
                        <m:ctrlPr>
                          <w:rPr>
                            <w:rFonts w:ascii="Cambria Math" w:hAnsi="Cambria Math" w:cs="Times New Roman"/>
                            <w:i/>
                            <w:color w:val="000000" w:themeColor="text1"/>
                            <w:sz w:val="21"/>
                            <w:lang w:eastAsia="zh-CN"/>
                            <w14:textFill>
                              <w14:solidFill>
                                <w14:schemeClr w14:val="tx1"/>
                              </w14:solidFill>
                            </w14:textFill>
                          </w:rPr>
                        </m:ctrlPr>
                      </m:e>
                      <m:sup>
                        <m:r>
                          <m:rPr/>
                          <w:rPr>
                            <w:rFonts w:ascii="Cambria Math" w:hAnsi="Cambria Math" w:cs="Times New Roman"/>
                            <w:color w:val="000000" w:themeColor="text1"/>
                            <w:sz w:val="21"/>
                            <w:lang w:eastAsia="zh-CN"/>
                            <w14:textFill>
                              <w14:solidFill>
                                <w14:schemeClr w14:val="tx1"/>
                              </w14:solidFill>
                            </w14:textFill>
                          </w:rPr>
                          <m:t>2</m:t>
                        </m:r>
                        <m:ctrlPr>
                          <w:rPr>
                            <w:rFonts w:ascii="Cambria Math" w:hAnsi="Cambria Math" w:cs="Times New Roman"/>
                            <w:i/>
                            <w:color w:val="000000" w:themeColor="text1"/>
                            <w:sz w:val="21"/>
                            <w:lang w:eastAsia="zh-CN"/>
                            <w14:textFill>
                              <w14:solidFill>
                                <w14:schemeClr w14:val="tx1"/>
                              </w14:solidFill>
                            </w14:textFill>
                          </w:rPr>
                        </m:ctrlPr>
                      </m:sup>
                    </m:sSup>
                    <m:sSup>
                      <m:sSupPr>
                        <m:ctrlPr>
                          <w:rPr>
                            <w:rFonts w:ascii="Cambria Math" w:hAnsi="Cambria Math" w:cs="Times New Roman"/>
                            <w:i/>
                            <w:color w:val="000000" w:themeColor="text1"/>
                            <w:sz w:val="21"/>
                            <w:lang w:eastAsia="zh-CN"/>
                            <w14:textFill>
                              <w14:solidFill>
                                <w14:schemeClr w14:val="tx1"/>
                              </w14:solidFill>
                            </w14:textFill>
                          </w:rPr>
                        </m:ctrlPr>
                      </m:sSupPr>
                      <m:e>
                        <m:r>
                          <m:rPr/>
                          <w:rPr>
                            <w:rFonts w:ascii="Cambria Math" w:hAnsi="Cambria Math" w:cs="Times New Roman"/>
                            <w:color w:val="000000" w:themeColor="text1"/>
                            <w:sz w:val="21"/>
                            <w:lang w:eastAsia="zh-CN"/>
                            <w14:textFill>
                              <w14:solidFill>
                                <w14:schemeClr w14:val="tx1"/>
                              </w14:solidFill>
                            </w14:textFill>
                          </w:rPr>
                          <m:t>D</m:t>
                        </m:r>
                        <m:ctrlPr>
                          <w:rPr>
                            <w:rFonts w:ascii="Cambria Math" w:hAnsi="Cambria Math" w:cs="Times New Roman"/>
                            <w:i/>
                            <w:color w:val="000000" w:themeColor="text1"/>
                            <w:sz w:val="21"/>
                            <w:lang w:eastAsia="zh-CN"/>
                            <w14:textFill>
                              <w14:solidFill>
                                <w14:schemeClr w14:val="tx1"/>
                              </w14:solidFill>
                            </w14:textFill>
                          </w:rPr>
                        </m:ctrlPr>
                      </m:e>
                      <m:sup>
                        <m:r>
                          <m:rPr/>
                          <w:rPr>
                            <w:rFonts w:ascii="Cambria Math" w:hAnsi="Cambria Math" w:cs="Times New Roman"/>
                            <w:color w:val="000000" w:themeColor="text1"/>
                            <w:sz w:val="21"/>
                            <w:lang w:eastAsia="zh-CN"/>
                            <w14:textFill>
                              <w14:solidFill>
                                <w14:schemeClr w14:val="tx1"/>
                              </w14:solidFill>
                            </w14:textFill>
                          </w:rPr>
                          <m:t>3</m:t>
                        </m:r>
                        <m:ctrlPr>
                          <w:rPr>
                            <w:rFonts w:ascii="Cambria Math" w:hAnsi="Cambria Math" w:cs="Times New Roman"/>
                            <w:i/>
                            <w:color w:val="000000" w:themeColor="text1"/>
                            <w:sz w:val="21"/>
                            <w:lang w:eastAsia="zh-CN"/>
                            <w14:textFill>
                              <w14:solidFill>
                                <w14:schemeClr w14:val="tx1"/>
                              </w14:solidFill>
                            </w14:textFill>
                          </w:rPr>
                        </m:ctrlPr>
                      </m:sup>
                    </m:sSup>
                    <m:ctrlPr>
                      <w:rPr>
                        <w:rFonts w:ascii="Cambria Math" w:hAnsi="Cambria Math" w:cs="Times New Roman"/>
                        <w:i/>
                        <w:color w:val="000000" w:themeColor="text1"/>
                        <w:sz w:val="21"/>
                        <w:lang w:eastAsia="zh-CN"/>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32</m:t>
                    </m:r>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R</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w</m:t>
                        </m:r>
                        <m:ctrlPr>
                          <w:rPr>
                            <w:rFonts w:ascii="Cambria Math" w:hAnsi="Cambria Math" w:cs="Times New Roman"/>
                            <w:i/>
                            <w:color w:val="000000" w:themeColor="text1"/>
                            <w:sz w:val="21"/>
                            <w:lang w:eastAsia="zh-CN"/>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B'</m:t>
                    </m:r>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E</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s</m:t>
                        </m:r>
                        <m:ctrlPr>
                          <w:rPr>
                            <w:rFonts w:ascii="Cambria Math" w:hAnsi="Cambria Math" w:cs="Times New Roman"/>
                            <w:i/>
                            <w:color w:val="000000" w:themeColor="text1"/>
                            <w:sz w:val="21"/>
                            <w:lang w:eastAsia="zh-CN"/>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'C</m:t>
                    </m:r>
                    <m:ctrlPr>
                      <w:rPr>
                        <w:rFonts w:ascii="Cambria Math" w:hAnsi="Cambria Math" w:cs="Times New Roman"/>
                        <w:i/>
                        <w:color w:val="000000" w:themeColor="text1"/>
                        <w:sz w:val="21"/>
                        <w:lang w:eastAsia="zh-CN"/>
                        <w14:textFill>
                          <w14:solidFill>
                            <w14:schemeClr w14:val="tx1"/>
                          </w14:solidFill>
                        </w14:textFill>
                      </w:rPr>
                    </m:ctrlPr>
                  </m:den>
                </m:f>
              </m:oMath>
            </m:oMathPara>
          </w:p>
        </w:tc>
        <w:tc>
          <w:tcPr>
            <w:tcW w:w="1350" w:type="dxa"/>
          </w:tcPr>
          <w:p>
            <w:pPr>
              <w:ind w:firstLine="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（3.3.2-6）</w:t>
            </w:r>
          </w:p>
        </w:tc>
      </w:tr>
    </w:tbl>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5 </w:t>
      </w:r>
      <w:r>
        <w:rPr>
          <w:rFonts w:cs="Times New Roman"/>
          <w:color w:val="000000" w:themeColor="text1"/>
          <w:sz w:val="21"/>
          <w:lang w:eastAsia="zh-CN"/>
          <w14:textFill>
            <w14:solidFill>
              <w14:schemeClr w14:val="tx1"/>
            </w14:solidFill>
          </w14:textFill>
        </w:rPr>
        <w:t>当采用螺旋缠绕内衬法时，应对环向空隙内进行注浆，并应确认内衬管、注浆体和原有管道组成的复合结构能承受作用在管道上的总荷载。</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3.3.</w:t>
      </w:r>
      <w:r>
        <w:rPr>
          <w:rFonts w:hint="eastAsia"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采用碎裂管法更新旧管道时，应按照新建管道的要求设计管道壁厚。</w:t>
      </w:r>
    </w:p>
    <w:p>
      <w:pPr>
        <w:pStyle w:val="3"/>
        <w:ind w:firstLine="560"/>
      </w:pPr>
      <w:bookmarkStart w:id="33" w:name="_Toc196915200"/>
      <w:r>
        <w:t>3.4 喷涂厚度设计</w:t>
      </w:r>
      <w:bookmarkEnd w:id="33"/>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3.4.1</w:t>
      </w:r>
      <w:r>
        <w:rPr>
          <w:rFonts w:cs="Times New Roman"/>
          <w:color w:val="000000" w:themeColor="text1"/>
          <w:sz w:val="21"/>
          <w:lang w:eastAsia="zh-CN"/>
          <w14:textFill>
            <w14:solidFill>
              <w14:schemeClr w14:val="tx1"/>
            </w14:solidFill>
          </w14:textFill>
        </w:rPr>
        <w:t xml:space="preserve"> 喷涂法用于第 Ⅱ 类、第 Ⅲ 类内衬进行重力流管道修复设计时，须满足本标准第3.1.6和第3.1.7条的要求，最小喷涂厚度应满足表3.</w:t>
      </w:r>
      <w:r>
        <w:rPr>
          <w:rFonts w:hint="eastAsia" w:cs="Times New Roman"/>
          <w:color w:val="000000" w:themeColor="text1"/>
          <w:sz w:val="21"/>
          <w:lang w:eastAsia="zh-CN"/>
          <w14:textFill>
            <w14:solidFill>
              <w14:schemeClr w14:val="tx1"/>
            </w14:solidFill>
          </w14:textFill>
        </w:rPr>
        <w:t>4.2</w:t>
      </w:r>
      <w:r>
        <w:rPr>
          <w:rFonts w:cs="Times New Roman"/>
          <w:color w:val="000000" w:themeColor="text1"/>
          <w:sz w:val="21"/>
          <w:lang w:eastAsia="zh-CN"/>
          <w14:textFill>
            <w14:solidFill>
              <w14:schemeClr w14:val="tx1"/>
            </w14:solidFill>
          </w14:textFill>
        </w:rPr>
        <w:t>的规定。</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hint="eastAsia" w:cs="Times New Roman"/>
          <w:b/>
          <w:bCs/>
          <w:color w:val="000000" w:themeColor="text1"/>
          <w:sz w:val="21"/>
          <w:lang w:eastAsia="zh-CN"/>
          <w14:textFill>
            <w14:solidFill>
              <w14:schemeClr w14:val="tx1"/>
            </w14:solidFill>
          </w14:textFill>
        </w:rPr>
        <w:t>4.2</w:t>
      </w:r>
      <w:r>
        <w:rPr>
          <w:rFonts w:cs="Times New Roman"/>
          <w:color w:val="000000" w:themeColor="text1"/>
          <w:sz w:val="21"/>
          <w:lang w:eastAsia="zh-CN"/>
          <w14:textFill>
            <w14:solidFill>
              <w14:schemeClr w14:val="tx1"/>
            </w14:solidFill>
          </w14:textFill>
        </w:rPr>
        <w:t xml:space="preserve"> 采用水泥基材料进行排水管道修复时，最小喷涂厚度宜按表3.</w:t>
      </w:r>
      <w:r>
        <w:rPr>
          <w:rFonts w:hint="eastAsia" w:cs="Times New Roman"/>
          <w:color w:val="000000" w:themeColor="text1"/>
          <w:sz w:val="21"/>
          <w:lang w:eastAsia="zh-CN"/>
          <w14:textFill>
            <w14:solidFill>
              <w14:schemeClr w14:val="tx1"/>
            </w14:solidFill>
          </w14:textFill>
        </w:rPr>
        <w:t>4.22</w:t>
      </w:r>
      <w:r>
        <w:rPr>
          <w:rFonts w:cs="Times New Roman"/>
          <w:color w:val="000000" w:themeColor="text1"/>
          <w:sz w:val="21"/>
          <w:lang w:eastAsia="zh-CN"/>
          <w14:textFill>
            <w14:solidFill>
              <w14:schemeClr w14:val="tx1"/>
            </w14:solidFill>
          </w14:textFill>
        </w:rPr>
        <w:t>的规定选取，并满足设计要求。</w:t>
      </w:r>
    </w:p>
    <w:p>
      <w:pPr>
        <w:ind w:firstLine="420" w:firstLineChars="0"/>
        <w:jc w:val="center"/>
        <w:rPr>
          <w:rFonts w:cs="Times New Roman"/>
          <w:b/>
          <w:bCs/>
          <w:snapToGrid/>
          <w:color w:val="000000" w:themeColor="text1"/>
          <w:sz w:val="21"/>
          <w:lang w:eastAsia="zh-CN"/>
          <w14:textFill>
            <w14:solidFill>
              <w14:schemeClr w14:val="tx1"/>
            </w14:solidFill>
          </w14:textFill>
        </w:rPr>
      </w:pPr>
      <w:r>
        <w:rPr>
          <w:rFonts w:cs="Times New Roman"/>
          <w:b/>
          <w:bCs/>
          <w:snapToGrid/>
          <w:color w:val="000000" w:themeColor="text1"/>
          <w:sz w:val="21"/>
          <w:lang w:eastAsia="zh-CN"/>
          <w14:textFill>
            <w14:solidFill>
              <w14:schemeClr w14:val="tx1"/>
            </w14:solidFill>
          </w14:textFill>
        </w:rPr>
        <w:t>表3.</w:t>
      </w:r>
      <w:r>
        <w:rPr>
          <w:rFonts w:hint="eastAsia" w:cs="Times New Roman"/>
          <w:b/>
          <w:bCs/>
          <w:snapToGrid/>
          <w:color w:val="000000" w:themeColor="text1"/>
          <w:sz w:val="21"/>
          <w:lang w:eastAsia="zh-CN"/>
          <w14:textFill>
            <w14:solidFill>
              <w14:schemeClr w14:val="tx1"/>
            </w14:solidFill>
          </w14:textFill>
        </w:rPr>
        <w:t>4.2</w:t>
      </w:r>
      <w:r>
        <w:rPr>
          <w:rFonts w:cs="Times New Roman"/>
          <w:b/>
          <w:bCs/>
          <w:snapToGrid/>
          <w:color w:val="000000" w:themeColor="text1"/>
          <w:sz w:val="21"/>
          <w:lang w:eastAsia="zh-CN"/>
          <w14:textFill>
            <w14:solidFill>
              <w14:schemeClr w14:val="tx1"/>
            </w14:solidFill>
          </w14:textFill>
        </w:rPr>
        <w:t xml:space="preserve"> 水泥基材料最小喷涂厚度</w:t>
      </w:r>
    </w:p>
    <w:tbl>
      <w:tblPr>
        <w:tblStyle w:val="16"/>
        <w:tblW w:w="5000" w:type="pct"/>
        <w:jc w:val="center"/>
        <w:tblLayout w:type="fixed"/>
        <w:tblCellMar>
          <w:top w:w="0" w:type="dxa"/>
          <w:left w:w="108" w:type="dxa"/>
          <w:bottom w:w="0" w:type="dxa"/>
          <w:right w:w="108" w:type="dxa"/>
        </w:tblCellMar>
      </w:tblPr>
      <w:tblGrid>
        <w:gridCol w:w="1534"/>
        <w:gridCol w:w="3197"/>
        <w:gridCol w:w="2258"/>
        <w:gridCol w:w="1533"/>
      </w:tblGrid>
      <w:tr>
        <w:tblPrEx>
          <w:tblCellMar>
            <w:top w:w="0" w:type="dxa"/>
            <w:left w:w="108" w:type="dxa"/>
            <w:bottom w:w="0" w:type="dxa"/>
            <w:right w:w="108" w:type="dxa"/>
          </w:tblCellMar>
        </w:tblPrEx>
        <w:trPr>
          <w:trHeight w:val="271" w:hRule="atLeast"/>
          <w:jc w:val="center"/>
        </w:trPr>
        <w:tc>
          <w:tcPr>
            <w:tcW w:w="2776" w:type="pct"/>
            <w:gridSpan w:val="2"/>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管道公称直径d（mm）</w:t>
            </w:r>
          </w:p>
        </w:tc>
        <w:tc>
          <w:tcPr>
            <w:tcW w:w="2224" w:type="pct"/>
            <w:gridSpan w:val="2"/>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涂层厚度（mm）</w:t>
            </w:r>
          </w:p>
        </w:tc>
      </w:tr>
      <w:tr>
        <w:tblPrEx>
          <w:tblCellMar>
            <w:top w:w="0" w:type="dxa"/>
            <w:left w:w="108" w:type="dxa"/>
            <w:bottom w:w="0" w:type="dxa"/>
            <w:right w:w="108" w:type="dxa"/>
          </w:tblCellMar>
        </w:tblPrEx>
        <w:trPr>
          <w:trHeight w:val="271" w:hRule="atLeast"/>
          <w:jc w:val="center"/>
        </w:trPr>
        <w:tc>
          <w:tcPr>
            <w:tcW w:w="900" w:type="pct"/>
            <w:vMerge w:val="restart"/>
            <w:tcBorders>
              <w:top w:val="single" w:color="auto" w:sz="6" w:space="0"/>
              <w:left w:val="single" w:color="auto" w:sz="6" w:space="0"/>
              <w:right w:val="single" w:color="auto" w:sz="6" w:space="0"/>
            </w:tcBorders>
            <w:vAlign w:val="center"/>
          </w:tcPr>
          <w:p>
            <w:pPr>
              <w:widowControl w:val="0"/>
              <w:spacing w:line="240" w:lineRule="auto"/>
              <w:ind w:firstLine="0" w:firstLineChars="0"/>
              <w:jc w:val="center"/>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管道</w:t>
            </w:r>
          </w:p>
        </w:tc>
        <w:tc>
          <w:tcPr>
            <w:tcW w:w="1876"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p>
        </w:tc>
        <w:tc>
          <w:tcPr>
            <w:tcW w:w="1325"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人工喷涂</w:t>
            </w:r>
          </w:p>
        </w:tc>
        <w:tc>
          <w:tcPr>
            <w:tcW w:w="899"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离心喷涂</w:t>
            </w:r>
          </w:p>
        </w:tc>
      </w:tr>
      <w:tr>
        <w:tblPrEx>
          <w:tblCellMar>
            <w:top w:w="0" w:type="dxa"/>
            <w:left w:w="108" w:type="dxa"/>
            <w:bottom w:w="0" w:type="dxa"/>
            <w:right w:w="108" w:type="dxa"/>
          </w:tblCellMar>
        </w:tblPrEx>
        <w:trPr>
          <w:trHeight w:val="271" w:hRule="atLeast"/>
          <w:jc w:val="center"/>
        </w:trPr>
        <w:tc>
          <w:tcPr>
            <w:tcW w:w="900" w:type="pct"/>
            <w:vMerge w:val="continue"/>
            <w:tcBorders>
              <w:left w:val="single" w:color="auto" w:sz="6" w:space="0"/>
              <w:right w:val="single" w:color="auto" w:sz="6" w:space="0"/>
            </w:tcBorders>
            <w:vAlign w:val="center"/>
          </w:tcPr>
          <w:p>
            <w:pPr>
              <w:widowControl w:val="0"/>
              <w:spacing w:line="240" w:lineRule="auto"/>
              <w:ind w:firstLine="440"/>
              <w:jc w:val="center"/>
              <w:rPr>
                <w:rFonts w:cs="Times New Roman"/>
                <w:snapToGrid/>
                <w:color w:val="000000" w:themeColor="text1"/>
                <w:sz w:val="22"/>
                <w:szCs w:val="22"/>
                <w:lang w:eastAsia="zh-CN"/>
                <w14:textFill>
                  <w14:solidFill>
                    <w14:schemeClr w14:val="tx1"/>
                  </w14:solidFill>
                </w14:textFill>
              </w:rPr>
            </w:pPr>
          </w:p>
        </w:tc>
        <w:tc>
          <w:tcPr>
            <w:tcW w:w="1876"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300</w:t>
            </w:r>
            <w:r>
              <w:rPr>
                <w:rFonts w:hint="eastAsia" w:cs="Times New Roman"/>
                <w:snapToGrid/>
                <w:color w:val="000000" w:themeColor="text1"/>
                <w:sz w:val="22"/>
                <w:szCs w:val="22"/>
                <w:lang w:eastAsia="zh-CN"/>
                <w14:textFill>
                  <w14:solidFill>
                    <w14:schemeClr w14:val="tx1"/>
                  </w14:solidFill>
                </w14:textFill>
              </w:rPr>
              <w:t>≤</w:t>
            </w:r>
            <w:r>
              <w:rPr>
                <w:rFonts w:cs="Times New Roman"/>
                <w:snapToGrid/>
                <w:color w:val="000000" w:themeColor="text1"/>
                <w:sz w:val="22"/>
                <w:szCs w:val="22"/>
                <w:lang w:eastAsia="zh-CN"/>
                <w14:textFill>
                  <w14:solidFill>
                    <w14:schemeClr w14:val="tx1"/>
                  </w14:solidFill>
                </w14:textFill>
              </w:rPr>
              <w:t>d</w:t>
            </w:r>
            <w:r>
              <w:rPr>
                <w:rFonts w:hint="eastAsia" w:cs="Times New Roman"/>
                <w:snapToGrid/>
                <w:color w:val="000000" w:themeColor="text1"/>
                <w:sz w:val="22"/>
                <w:szCs w:val="22"/>
                <w:lang w:eastAsia="zh-CN"/>
                <w14:textFill>
                  <w14:solidFill>
                    <w14:schemeClr w14:val="tx1"/>
                  </w14:solidFill>
                </w14:textFill>
              </w:rPr>
              <w:t>≤</w:t>
            </w:r>
            <w:r>
              <w:rPr>
                <w:rFonts w:cs="Times New Roman"/>
                <w:snapToGrid/>
                <w:color w:val="000000" w:themeColor="text1"/>
                <w:sz w:val="22"/>
                <w:szCs w:val="22"/>
                <w:lang w:eastAsia="zh-CN"/>
                <w14:textFill>
                  <w14:solidFill>
                    <w14:schemeClr w14:val="tx1"/>
                  </w14:solidFill>
                </w14:textFill>
              </w:rPr>
              <w:t>800</w:t>
            </w:r>
          </w:p>
        </w:tc>
        <w:tc>
          <w:tcPr>
            <w:tcW w:w="1325"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w:t>
            </w:r>
          </w:p>
        </w:tc>
        <w:tc>
          <w:tcPr>
            <w:tcW w:w="899"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8</w:t>
            </w:r>
          </w:p>
        </w:tc>
      </w:tr>
      <w:tr>
        <w:tblPrEx>
          <w:tblCellMar>
            <w:top w:w="0" w:type="dxa"/>
            <w:left w:w="108" w:type="dxa"/>
            <w:bottom w:w="0" w:type="dxa"/>
            <w:right w:w="108" w:type="dxa"/>
          </w:tblCellMar>
        </w:tblPrEx>
        <w:trPr>
          <w:trHeight w:val="271" w:hRule="atLeast"/>
          <w:jc w:val="center"/>
        </w:trPr>
        <w:tc>
          <w:tcPr>
            <w:tcW w:w="900" w:type="pct"/>
            <w:vMerge w:val="continue"/>
            <w:tcBorders>
              <w:left w:val="single" w:color="auto" w:sz="6" w:space="0"/>
              <w:right w:val="single" w:color="auto" w:sz="6" w:space="0"/>
            </w:tcBorders>
            <w:vAlign w:val="center"/>
          </w:tcPr>
          <w:p>
            <w:pPr>
              <w:widowControl w:val="0"/>
              <w:spacing w:line="240" w:lineRule="auto"/>
              <w:ind w:firstLine="440"/>
              <w:jc w:val="center"/>
              <w:rPr>
                <w:rFonts w:cs="Times New Roman"/>
                <w:snapToGrid/>
                <w:color w:val="000000" w:themeColor="text1"/>
                <w:sz w:val="22"/>
                <w:szCs w:val="22"/>
                <w:lang w:eastAsia="zh-CN"/>
                <w14:textFill>
                  <w14:solidFill>
                    <w14:schemeClr w14:val="tx1"/>
                  </w14:solidFill>
                </w14:textFill>
              </w:rPr>
            </w:pPr>
          </w:p>
        </w:tc>
        <w:tc>
          <w:tcPr>
            <w:tcW w:w="1876"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800</w:t>
            </w:r>
            <w:bookmarkStart w:id="34" w:name="OLE_LINK60"/>
            <w:r>
              <w:rPr>
                <w:rFonts w:hint="eastAsia" w:cs="Times New Roman"/>
                <w:snapToGrid/>
                <w:color w:val="000000" w:themeColor="text1"/>
                <w:sz w:val="22"/>
                <w:szCs w:val="22"/>
                <w:lang w:eastAsia="zh-CN"/>
                <w14:textFill>
                  <w14:solidFill>
                    <w14:schemeClr w14:val="tx1"/>
                  </w14:solidFill>
                </w14:textFill>
              </w:rPr>
              <w:t>＜</w:t>
            </w:r>
            <w:bookmarkEnd w:id="34"/>
            <w:r>
              <w:rPr>
                <w:rFonts w:cs="Times New Roman"/>
                <w:snapToGrid/>
                <w:color w:val="000000" w:themeColor="text1"/>
                <w:sz w:val="22"/>
                <w:szCs w:val="22"/>
                <w:lang w:eastAsia="zh-CN"/>
                <w14:textFill>
                  <w14:solidFill>
                    <w14:schemeClr w14:val="tx1"/>
                  </w14:solidFill>
                </w14:textFill>
              </w:rPr>
              <w:t>d</w:t>
            </w:r>
            <w:r>
              <w:rPr>
                <w:rFonts w:hint="eastAsia" w:cs="Times New Roman"/>
                <w:snapToGrid/>
                <w:color w:val="000000" w:themeColor="text1"/>
                <w:sz w:val="22"/>
                <w:szCs w:val="22"/>
                <w:lang w:eastAsia="zh-CN"/>
                <w14:textFill>
                  <w14:solidFill>
                    <w14:schemeClr w14:val="tx1"/>
                  </w14:solidFill>
                </w14:textFill>
              </w:rPr>
              <w:t>≤</w:t>
            </w:r>
            <w:r>
              <w:rPr>
                <w:rFonts w:cs="Times New Roman"/>
                <w:snapToGrid/>
                <w:color w:val="000000" w:themeColor="text1"/>
                <w:sz w:val="22"/>
                <w:szCs w:val="22"/>
                <w:lang w:eastAsia="zh-CN"/>
                <w14:textFill>
                  <w14:solidFill>
                    <w14:schemeClr w14:val="tx1"/>
                  </w14:solidFill>
                </w14:textFill>
              </w:rPr>
              <w:t>1000</w:t>
            </w:r>
          </w:p>
        </w:tc>
        <w:tc>
          <w:tcPr>
            <w:tcW w:w="1325"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12</w:t>
            </w:r>
          </w:p>
        </w:tc>
        <w:tc>
          <w:tcPr>
            <w:tcW w:w="899"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10</w:t>
            </w:r>
          </w:p>
        </w:tc>
      </w:tr>
      <w:tr>
        <w:tblPrEx>
          <w:tblCellMar>
            <w:top w:w="0" w:type="dxa"/>
            <w:left w:w="108" w:type="dxa"/>
            <w:bottom w:w="0" w:type="dxa"/>
            <w:right w:w="108" w:type="dxa"/>
          </w:tblCellMar>
        </w:tblPrEx>
        <w:trPr>
          <w:trHeight w:val="271" w:hRule="atLeast"/>
          <w:jc w:val="center"/>
        </w:trPr>
        <w:tc>
          <w:tcPr>
            <w:tcW w:w="900" w:type="pct"/>
            <w:vMerge w:val="continue"/>
            <w:tcBorders>
              <w:left w:val="single" w:color="auto" w:sz="6" w:space="0"/>
              <w:right w:val="single" w:color="auto" w:sz="6" w:space="0"/>
            </w:tcBorders>
            <w:vAlign w:val="center"/>
          </w:tcPr>
          <w:p>
            <w:pPr>
              <w:widowControl w:val="0"/>
              <w:spacing w:line="240" w:lineRule="auto"/>
              <w:ind w:firstLine="440"/>
              <w:jc w:val="center"/>
              <w:rPr>
                <w:rFonts w:cs="Times New Roman"/>
                <w:snapToGrid/>
                <w:color w:val="000000" w:themeColor="text1"/>
                <w:sz w:val="22"/>
                <w:szCs w:val="22"/>
                <w:lang w:eastAsia="zh-CN"/>
                <w14:textFill>
                  <w14:solidFill>
                    <w14:schemeClr w14:val="tx1"/>
                  </w14:solidFill>
                </w14:textFill>
              </w:rPr>
            </w:pPr>
          </w:p>
        </w:tc>
        <w:tc>
          <w:tcPr>
            <w:tcW w:w="1876"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1000</w:t>
            </w:r>
            <w:r>
              <w:rPr>
                <w:rFonts w:hint="eastAsia" w:cs="Times New Roman"/>
                <w:snapToGrid/>
                <w:color w:val="000000" w:themeColor="text1"/>
                <w:sz w:val="22"/>
                <w:szCs w:val="22"/>
                <w:lang w:eastAsia="zh-CN"/>
                <w14:textFill>
                  <w14:solidFill>
                    <w14:schemeClr w14:val="tx1"/>
                  </w14:solidFill>
                </w14:textFill>
              </w:rPr>
              <w:t>＜</w:t>
            </w:r>
            <w:r>
              <w:rPr>
                <w:rFonts w:cs="Times New Roman"/>
                <w:snapToGrid/>
                <w:color w:val="000000" w:themeColor="text1"/>
                <w:sz w:val="22"/>
                <w:szCs w:val="22"/>
                <w:lang w:eastAsia="zh-CN"/>
                <w14:textFill>
                  <w14:solidFill>
                    <w14:schemeClr w14:val="tx1"/>
                  </w14:solidFill>
                </w14:textFill>
              </w:rPr>
              <w:t>d</w:t>
            </w:r>
            <w:r>
              <w:rPr>
                <w:rFonts w:hint="eastAsia" w:cs="Times New Roman"/>
                <w:snapToGrid/>
                <w:color w:val="000000" w:themeColor="text1"/>
                <w:sz w:val="22"/>
                <w:szCs w:val="22"/>
                <w:lang w:eastAsia="zh-CN"/>
                <w14:textFill>
                  <w14:solidFill>
                    <w14:schemeClr w14:val="tx1"/>
                  </w14:solidFill>
                </w14:textFill>
              </w:rPr>
              <w:t>≤</w:t>
            </w:r>
            <w:r>
              <w:rPr>
                <w:rFonts w:cs="Times New Roman"/>
                <w:snapToGrid/>
                <w:color w:val="000000" w:themeColor="text1"/>
                <w:sz w:val="22"/>
                <w:szCs w:val="22"/>
                <w:lang w:eastAsia="zh-CN"/>
                <w14:textFill>
                  <w14:solidFill>
                    <w14:schemeClr w14:val="tx1"/>
                  </w14:solidFill>
                </w14:textFill>
              </w:rPr>
              <w:t>1500</w:t>
            </w:r>
          </w:p>
        </w:tc>
        <w:tc>
          <w:tcPr>
            <w:tcW w:w="1325"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14</w:t>
            </w:r>
          </w:p>
        </w:tc>
        <w:tc>
          <w:tcPr>
            <w:tcW w:w="899"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12</w:t>
            </w:r>
          </w:p>
        </w:tc>
      </w:tr>
      <w:tr>
        <w:tblPrEx>
          <w:tblCellMar>
            <w:top w:w="0" w:type="dxa"/>
            <w:left w:w="108" w:type="dxa"/>
            <w:bottom w:w="0" w:type="dxa"/>
            <w:right w:w="108" w:type="dxa"/>
          </w:tblCellMar>
        </w:tblPrEx>
        <w:trPr>
          <w:trHeight w:val="271" w:hRule="atLeast"/>
          <w:jc w:val="center"/>
        </w:trPr>
        <w:tc>
          <w:tcPr>
            <w:tcW w:w="900" w:type="pct"/>
            <w:vMerge w:val="continue"/>
            <w:tcBorders>
              <w:left w:val="single" w:color="auto" w:sz="6" w:space="0"/>
              <w:right w:val="single" w:color="auto" w:sz="6" w:space="0"/>
            </w:tcBorders>
            <w:vAlign w:val="center"/>
          </w:tcPr>
          <w:p>
            <w:pPr>
              <w:widowControl w:val="0"/>
              <w:spacing w:line="240" w:lineRule="auto"/>
              <w:ind w:firstLine="440"/>
              <w:jc w:val="center"/>
              <w:rPr>
                <w:rFonts w:cs="Times New Roman"/>
                <w:snapToGrid/>
                <w:color w:val="000000" w:themeColor="text1"/>
                <w:sz w:val="22"/>
                <w:szCs w:val="22"/>
                <w:lang w:eastAsia="zh-CN"/>
                <w14:textFill>
                  <w14:solidFill>
                    <w14:schemeClr w14:val="tx1"/>
                  </w14:solidFill>
                </w14:textFill>
              </w:rPr>
            </w:pPr>
          </w:p>
        </w:tc>
        <w:tc>
          <w:tcPr>
            <w:tcW w:w="1876"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1500</w:t>
            </w:r>
            <w:r>
              <w:rPr>
                <w:rFonts w:hint="eastAsia" w:cs="Times New Roman"/>
                <w:snapToGrid/>
                <w:color w:val="000000" w:themeColor="text1"/>
                <w:sz w:val="22"/>
                <w:szCs w:val="22"/>
                <w:lang w:eastAsia="zh-CN"/>
                <w14:textFill>
                  <w14:solidFill>
                    <w14:schemeClr w14:val="tx1"/>
                  </w14:solidFill>
                </w14:textFill>
              </w:rPr>
              <w:t>＜</w:t>
            </w:r>
            <w:r>
              <w:rPr>
                <w:rFonts w:cs="Times New Roman"/>
                <w:snapToGrid/>
                <w:color w:val="000000" w:themeColor="text1"/>
                <w:sz w:val="22"/>
                <w:szCs w:val="22"/>
                <w:lang w:eastAsia="zh-CN"/>
                <w14:textFill>
                  <w14:solidFill>
                    <w14:schemeClr w14:val="tx1"/>
                  </w14:solidFill>
                </w14:textFill>
              </w:rPr>
              <w:t>d</w:t>
            </w:r>
            <w:r>
              <w:rPr>
                <w:rFonts w:hint="eastAsia" w:cs="Times New Roman"/>
                <w:snapToGrid/>
                <w:color w:val="000000" w:themeColor="text1"/>
                <w:sz w:val="22"/>
                <w:szCs w:val="22"/>
                <w:lang w:eastAsia="zh-CN"/>
                <w14:textFill>
                  <w14:solidFill>
                    <w14:schemeClr w14:val="tx1"/>
                  </w14:solidFill>
                </w14:textFill>
              </w:rPr>
              <w:t>≤</w:t>
            </w:r>
            <w:r>
              <w:rPr>
                <w:rFonts w:cs="Times New Roman"/>
                <w:snapToGrid/>
                <w:color w:val="000000" w:themeColor="text1"/>
                <w:sz w:val="22"/>
                <w:szCs w:val="22"/>
                <w:lang w:eastAsia="zh-CN"/>
                <w14:textFill>
                  <w14:solidFill>
                    <w14:schemeClr w14:val="tx1"/>
                  </w14:solidFill>
                </w14:textFill>
              </w:rPr>
              <w:t>1800</w:t>
            </w:r>
          </w:p>
        </w:tc>
        <w:tc>
          <w:tcPr>
            <w:tcW w:w="1325"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16</w:t>
            </w:r>
          </w:p>
        </w:tc>
        <w:tc>
          <w:tcPr>
            <w:tcW w:w="899"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w:t>
            </w:r>
          </w:p>
        </w:tc>
      </w:tr>
      <w:tr>
        <w:tblPrEx>
          <w:tblCellMar>
            <w:top w:w="0" w:type="dxa"/>
            <w:left w:w="108" w:type="dxa"/>
            <w:bottom w:w="0" w:type="dxa"/>
            <w:right w:w="108" w:type="dxa"/>
          </w:tblCellMar>
        </w:tblPrEx>
        <w:trPr>
          <w:trHeight w:val="271" w:hRule="atLeast"/>
          <w:jc w:val="center"/>
        </w:trPr>
        <w:tc>
          <w:tcPr>
            <w:tcW w:w="900" w:type="pct"/>
            <w:vMerge w:val="continue"/>
            <w:tcBorders>
              <w:left w:val="single" w:color="auto" w:sz="6" w:space="0"/>
              <w:right w:val="single" w:color="auto" w:sz="6" w:space="0"/>
            </w:tcBorders>
            <w:vAlign w:val="center"/>
          </w:tcPr>
          <w:p>
            <w:pPr>
              <w:widowControl w:val="0"/>
              <w:spacing w:line="240" w:lineRule="auto"/>
              <w:ind w:firstLine="440"/>
              <w:jc w:val="center"/>
              <w:rPr>
                <w:rFonts w:cs="Times New Roman"/>
                <w:snapToGrid/>
                <w:color w:val="000000" w:themeColor="text1"/>
                <w:sz w:val="22"/>
                <w:szCs w:val="22"/>
                <w:lang w:eastAsia="zh-CN"/>
                <w14:textFill>
                  <w14:solidFill>
                    <w14:schemeClr w14:val="tx1"/>
                  </w14:solidFill>
                </w14:textFill>
              </w:rPr>
            </w:pPr>
          </w:p>
        </w:tc>
        <w:tc>
          <w:tcPr>
            <w:tcW w:w="1876"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1800</w:t>
            </w:r>
            <w:r>
              <w:rPr>
                <w:rFonts w:hint="eastAsia" w:cs="Times New Roman"/>
                <w:snapToGrid/>
                <w:color w:val="000000" w:themeColor="text1"/>
                <w:sz w:val="22"/>
                <w:szCs w:val="22"/>
                <w:lang w:eastAsia="zh-CN"/>
                <w14:textFill>
                  <w14:solidFill>
                    <w14:schemeClr w14:val="tx1"/>
                  </w14:solidFill>
                </w14:textFill>
              </w:rPr>
              <w:t>＜</w:t>
            </w:r>
            <w:r>
              <w:rPr>
                <w:rFonts w:cs="Times New Roman"/>
                <w:snapToGrid/>
                <w:color w:val="000000" w:themeColor="text1"/>
                <w:sz w:val="22"/>
                <w:szCs w:val="22"/>
                <w:lang w:eastAsia="zh-CN"/>
                <w14:textFill>
                  <w14:solidFill>
                    <w14:schemeClr w14:val="tx1"/>
                  </w14:solidFill>
                </w14:textFill>
              </w:rPr>
              <w:t>d</w:t>
            </w:r>
            <w:r>
              <w:rPr>
                <w:rFonts w:hint="eastAsia" w:cs="Times New Roman"/>
                <w:snapToGrid/>
                <w:color w:val="000000" w:themeColor="text1"/>
                <w:sz w:val="22"/>
                <w:szCs w:val="22"/>
                <w:lang w:eastAsia="zh-CN"/>
                <w14:textFill>
                  <w14:solidFill>
                    <w14:schemeClr w14:val="tx1"/>
                  </w14:solidFill>
                </w14:textFill>
              </w:rPr>
              <w:t>≤</w:t>
            </w:r>
            <w:r>
              <w:rPr>
                <w:rFonts w:cs="Times New Roman"/>
                <w:snapToGrid/>
                <w:color w:val="000000" w:themeColor="text1"/>
                <w:sz w:val="22"/>
                <w:szCs w:val="22"/>
                <w:lang w:eastAsia="zh-CN"/>
                <w14:textFill>
                  <w14:solidFill>
                    <w14:schemeClr w14:val="tx1"/>
                  </w14:solidFill>
                </w14:textFill>
              </w:rPr>
              <w:t>2200</w:t>
            </w:r>
          </w:p>
        </w:tc>
        <w:tc>
          <w:tcPr>
            <w:tcW w:w="1325"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17</w:t>
            </w:r>
          </w:p>
        </w:tc>
        <w:tc>
          <w:tcPr>
            <w:tcW w:w="899"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w:t>
            </w:r>
          </w:p>
        </w:tc>
      </w:tr>
      <w:tr>
        <w:tblPrEx>
          <w:tblCellMar>
            <w:top w:w="0" w:type="dxa"/>
            <w:left w:w="108" w:type="dxa"/>
            <w:bottom w:w="0" w:type="dxa"/>
            <w:right w:w="108" w:type="dxa"/>
          </w:tblCellMar>
        </w:tblPrEx>
        <w:trPr>
          <w:trHeight w:val="271" w:hRule="atLeast"/>
          <w:jc w:val="center"/>
        </w:trPr>
        <w:tc>
          <w:tcPr>
            <w:tcW w:w="900" w:type="pct"/>
            <w:vMerge w:val="continue"/>
            <w:tcBorders>
              <w:left w:val="single" w:color="auto" w:sz="6" w:space="0"/>
              <w:right w:val="single" w:color="auto" w:sz="6" w:space="0"/>
            </w:tcBorders>
            <w:vAlign w:val="center"/>
          </w:tcPr>
          <w:p>
            <w:pPr>
              <w:widowControl w:val="0"/>
              <w:spacing w:line="240" w:lineRule="auto"/>
              <w:ind w:firstLine="440"/>
              <w:jc w:val="center"/>
              <w:rPr>
                <w:rFonts w:cs="Times New Roman"/>
                <w:snapToGrid/>
                <w:color w:val="000000" w:themeColor="text1"/>
                <w:sz w:val="22"/>
                <w:szCs w:val="22"/>
                <w:lang w:eastAsia="zh-CN"/>
                <w14:textFill>
                  <w14:solidFill>
                    <w14:schemeClr w14:val="tx1"/>
                  </w14:solidFill>
                </w14:textFill>
              </w:rPr>
            </w:pPr>
          </w:p>
        </w:tc>
        <w:tc>
          <w:tcPr>
            <w:tcW w:w="1876"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2200</w:t>
            </w:r>
            <w:r>
              <w:rPr>
                <w:rFonts w:hint="eastAsia" w:cs="Times New Roman"/>
                <w:snapToGrid/>
                <w:color w:val="000000" w:themeColor="text1"/>
                <w:sz w:val="22"/>
                <w:szCs w:val="22"/>
                <w:lang w:eastAsia="zh-CN"/>
                <w14:textFill>
                  <w14:solidFill>
                    <w14:schemeClr w14:val="tx1"/>
                  </w14:solidFill>
                </w14:textFill>
              </w:rPr>
              <w:t>＜</w:t>
            </w:r>
            <w:r>
              <w:rPr>
                <w:rFonts w:cs="Times New Roman"/>
                <w:snapToGrid/>
                <w:color w:val="000000" w:themeColor="text1"/>
                <w:sz w:val="22"/>
                <w:szCs w:val="22"/>
                <w:lang w:eastAsia="zh-CN"/>
                <w14:textFill>
                  <w14:solidFill>
                    <w14:schemeClr w14:val="tx1"/>
                  </w14:solidFill>
                </w14:textFill>
              </w:rPr>
              <w:t>d</w:t>
            </w:r>
            <w:r>
              <w:rPr>
                <w:rFonts w:hint="eastAsia" w:cs="Times New Roman"/>
                <w:snapToGrid/>
                <w:color w:val="000000" w:themeColor="text1"/>
                <w:sz w:val="22"/>
                <w:szCs w:val="22"/>
                <w:lang w:eastAsia="zh-CN"/>
                <w14:textFill>
                  <w14:solidFill>
                    <w14:schemeClr w14:val="tx1"/>
                  </w14:solidFill>
                </w14:textFill>
              </w:rPr>
              <w:t>≤</w:t>
            </w:r>
            <w:r>
              <w:rPr>
                <w:rFonts w:cs="Times New Roman"/>
                <w:snapToGrid/>
                <w:color w:val="000000" w:themeColor="text1"/>
                <w:sz w:val="22"/>
                <w:szCs w:val="22"/>
                <w:lang w:eastAsia="zh-CN"/>
                <w14:textFill>
                  <w14:solidFill>
                    <w14:schemeClr w14:val="tx1"/>
                  </w14:solidFill>
                </w14:textFill>
              </w:rPr>
              <w:t>2600</w:t>
            </w:r>
          </w:p>
        </w:tc>
        <w:tc>
          <w:tcPr>
            <w:tcW w:w="1325"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18</w:t>
            </w:r>
          </w:p>
        </w:tc>
        <w:tc>
          <w:tcPr>
            <w:tcW w:w="899"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w:t>
            </w:r>
          </w:p>
        </w:tc>
      </w:tr>
      <w:tr>
        <w:tblPrEx>
          <w:tblCellMar>
            <w:top w:w="0" w:type="dxa"/>
            <w:left w:w="108" w:type="dxa"/>
            <w:bottom w:w="0" w:type="dxa"/>
            <w:right w:w="108" w:type="dxa"/>
          </w:tblCellMar>
        </w:tblPrEx>
        <w:trPr>
          <w:trHeight w:val="271" w:hRule="atLeast"/>
          <w:jc w:val="center"/>
        </w:trPr>
        <w:tc>
          <w:tcPr>
            <w:tcW w:w="900" w:type="pct"/>
            <w:vMerge w:val="continue"/>
            <w:tcBorders>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p>
        </w:tc>
        <w:tc>
          <w:tcPr>
            <w:tcW w:w="1876"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D</w:t>
            </w:r>
            <w:r>
              <w:rPr>
                <w:rFonts w:hint="eastAsia" w:cs="Times New Roman"/>
                <w:snapToGrid/>
                <w:color w:val="000000" w:themeColor="text1"/>
                <w:sz w:val="22"/>
                <w:szCs w:val="22"/>
                <w:lang w:eastAsia="zh-CN"/>
                <w14:textFill>
                  <w14:solidFill>
                    <w14:schemeClr w14:val="tx1"/>
                  </w14:solidFill>
                </w14:textFill>
              </w:rPr>
              <w:t>＞</w:t>
            </w:r>
            <w:r>
              <w:rPr>
                <w:rFonts w:cs="Times New Roman"/>
                <w:snapToGrid/>
                <w:color w:val="000000" w:themeColor="text1"/>
                <w:sz w:val="22"/>
                <w:szCs w:val="22"/>
                <w:lang w:eastAsia="zh-CN"/>
                <w14:textFill>
                  <w14:solidFill>
                    <w14:schemeClr w14:val="tx1"/>
                  </w14:solidFill>
                </w14:textFill>
              </w:rPr>
              <w:t>2600</w:t>
            </w:r>
          </w:p>
        </w:tc>
        <w:tc>
          <w:tcPr>
            <w:tcW w:w="1325"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20</w:t>
            </w:r>
          </w:p>
        </w:tc>
        <w:tc>
          <w:tcPr>
            <w:tcW w:w="899"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w:t>
            </w:r>
          </w:p>
        </w:tc>
      </w:tr>
      <w:tr>
        <w:tblPrEx>
          <w:tblCellMar>
            <w:top w:w="0" w:type="dxa"/>
            <w:left w:w="108" w:type="dxa"/>
            <w:bottom w:w="0" w:type="dxa"/>
            <w:right w:w="108" w:type="dxa"/>
          </w:tblCellMar>
        </w:tblPrEx>
        <w:trPr>
          <w:trHeight w:val="271" w:hRule="atLeast"/>
          <w:jc w:val="center"/>
        </w:trPr>
        <w:tc>
          <w:tcPr>
            <w:tcW w:w="900" w:type="pct"/>
            <w:vMerge w:val="restart"/>
            <w:tcBorders>
              <w:top w:val="single" w:color="auto" w:sz="6" w:space="0"/>
              <w:left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2"/>
                <w:szCs w:val="22"/>
                <w:lang w:eastAsia="zh-CN"/>
                <w14:textFill>
                  <w14:solidFill>
                    <w14:schemeClr w14:val="tx1"/>
                  </w14:solidFill>
                </w14:textFill>
              </w:rPr>
              <w:t>检查井</w:t>
            </w:r>
          </w:p>
        </w:tc>
        <w:tc>
          <w:tcPr>
            <w:tcW w:w="1876"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井壁</w:t>
            </w:r>
          </w:p>
        </w:tc>
        <w:tc>
          <w:tcPr>
            <w:tcW w:w="2224" w:type="pct"/>
            <w:gridSpan w:val="2"/>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w:t>
            </w:r>
          </w:p>
        </w:tc>
      </w:tr>
      <w:tr>
        <w:tblPrEx>
          <w:tblCellMar>
            <w:top w:w="0" w:type="dxa"/>
            <w:left w:w="108" w:type="dxa"/>
            <w:bottom w:w="0" w:type="dxa"/>
            <w:right w:w="108" w:type="dxa"/>
          </w:tblCellMar>
        </w:tblPrEx>
        <w:trPr>
          <w:trHeight w:val="271" w:hRule="atLeast"/>
          <w:jc w:val="center"/>
        </w:trPr>
        <w:tc>
          <w:tcPr>
            <w:tcW w:w="900" w:type="pct"/>
            <w:vMerge w:val="continue"/>
            <w:tcBorders>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p>
        </w:tc>
        <w:tc>
          <w:tcPr>
            <w:tcW w:w="1876" w:type="pct"/>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井底</w:t>
            </w:r>
          </w:p>
        </w:tc>
        <w:tc>
          <w:tcPr>
            <w:tcW w:w="2224" w:type="pct"/>
            <w:gridSpan w:val="2"/>
            <w:tcBorders>
              <w:top w:val="single" w:color="auto" w:sz="6" w:space="0"/>
              <w:left w:val="single" w:color="auto" w:sz="6" w:space="0"/>
              <w:bottom w:val="single" w:color="auto" w:sz="6" w:space="0"/>
              <w:right w:val="single" w:color="auto" w:sz="6" w:space="0"/>
            </w:tcBorders>
            <w:vAlign w:val="center"/>
          </w:tcPr>
          <w:p>
            <w:pPr>
              <w:widowControl w:val="0"/>
              <w:kinsoku/>
              <w:snapToGrid/>
              <w:spacing w:line="240" w:lineRule="auto"/>
              <w:ind w:firstLine="0" w:firstLineChars="0"/>
              <w:jc w:val="center"/>
              <w:textAlignment w:val="auto"/>
              <w:rPr>
                <w:rFonts w:cs="Times New Roman"/>
                <w:snapToGrid/>
                <w:color w:val="000000" w:themeColor="text1"/>
                <w:sz w:val="22"/>
                <w:szCs w:val="22"/>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20</w:t>
            </w:r>
          </w:p>
        </w:tc>
      </w:tr>
    </w:tbl>
    <w:p>
      <w:pPr>
        <w:ind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注：养护时间1d，抗压强度</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25.0MPa。</w:t>
      </w:r>
    </w:p>
    <w:p>
      <w:pPr>
        <w:pStyle w:val="3"/>
        <w:ind w:firstLine="560"/>
      </w:pPr>
      <w:bookmarkStart w:id="35" w:name="_Toc196915201"/>
      <w:r>
        <w:t>3.5 水力设计</w:t>
      </w:r>
      <w:bookmarkEnd w:id="35"/>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3.5.1</w:t>
      </w:r>
      <w:r>
        <w:rPr>
          <w:rFonts w:cs="Times New Roman"/>
          <w:color w:val="000000" w:themeColor="text1"/>
          <w:sz w:val="21"/>
          <w:lang w:eastAsia="zh-CN"/>
          <w14:textFill>
            <w14:solidFill>
              <w14:schemeClr w14:val="tx1"/>
            </w14:solidFill>
          </w14:textFill>
        </w:rPr>
        <w:t xml:space="preserve"> 修复后排水管渠的流量应按下式计算：</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88"/>
        <w:gridCol w:w="1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88" w:type="dxa"/>
          </w:tcPr>
          <w:p>
            <w:pPr>
              <w:ind w:firstLine="0" w:firstLineChars="0"/>
            </w:pPr>
            <m:oMathPara>
              <m:oMath>
                <m:r>
                  <m:rPr/>
                  <w:rPr>
                    <w:rFonts w:ascii="Cambria Math" w:hAnsi="Cambria Math" w:cs="Times New Roman"/>
                    <w:color w:val="000000" w:themeColor="text1"/>
                    <w:sz w:val="21"/>
                    <w:lang w:eastAsia="zh-CN"/>
                    <w14:textFill>
                      <w14:solidFill>
                        <w14:schemeClr w14:val="tx1"/>
                      </w14:solidFill>
                    </w14:textFill>
                  </w:rPr>
                  <m:t>Q=Av</m:t>
                </m:r>
              </m:oMath>
            </m:oMathPara>
          </w:p>
        </w:tc>
        <w:tc>
          <w:tcPr>
            <w:tcW w:w="1208" w:type="dxa"/>
          </w:tcPr>
          <w:p>
            <w:pPr>
              <w:pStyle w:val="14"/>
            </w:pPr>
            <w:r>
              <w:t>（3.5.1）</w:t>
            </w:r>
          </w:p>
        </w:tc>
      </w:tr>
    </w:tbl>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式中： Q——设计流量（m</w:t>
      </w:r>
      <w:r>
        <w:rPr>
          <w:rFonts w:cs="Times New Roman"/>
          <w:color w:val="000000" w:themeColor="text1"/>
          <w:sz w:val="21"/>
          <w:vertAlign w:val="superscript"/>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/s）；</w:t>
      </w:r>
    </w:p>
    <w:p>
      <w:pPr>
        <w:ind w:left="78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v——流速（m/s）；</w:t>
      </w:r>
    </w:p>
    <w:p>
      <w:pPr>
        <w:ind w:left="78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A——水流有效断面面积（m</w:t>
      </w:r>
      <w:r>
        <w:rPr>
          <w:rFonts w:cs="Times New Roman"/>
          <w:color w:val="000000" w:themeColor="text1"/>
          <w:sz w:val="21"/>
          <w:vertAlign w:val="superscript"/>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3.5.2</w:t>
      </w:r>
      <w:r>
        <w:rPr>
          <w:rFonts w:cs="Times New Roman"/>
          <w:color w:val="000000" w:themeColor="text1"/>
          <w:sz w:val="21"/>
          <w:lang w:eastAsia="zh-CN"/>
          <w14:textFill>
            <w14:solidFill>
              <w14:schemeClr w14:val="tx1"/>
            </w14:solidFill>
          </w14:textFill>
        </w:rPr>
        <w:t xml:space="preserve"> 修复后恒定流条件下排水管渠的流速应按下式计算：</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83"/>
        <w:gridCol w:w="12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83" w:type="dxa"/>
          </w:tcPr>
          <w:p>
            <w:pPr>
              <w:ind w:firstLine="0" w:firstLineChars="0"/>
              <w:rPr>
                <w:rFonts w:cs="Times New Roman"/>
                <w:color w:val="000000" w:themeColor="text1"/>
                <w:sz w:val="21"/>
                <w14:textFill>
                  <w14:solidFill>
                    <w14:schemeClr w14:val="tx1"/>
                  </w14:solidFill>
                </w14:textFill>
              </w:rPr>
            </w:pPr>
            <m:oMathPara>
              <m:oMath>
                <m:r>
                  <m:rPr/>
                  <w:rPr>
                    <w:rFonts w:ascii="Cambria Math" w:hAnsi="Cambria Math" w:cs="Times New Roman"/>
                    <w:color w:val="000000" w:themeColor="text1"/>
                    <w:sz w:val="21"/>
                    <w:lang w:eastAsia="zh-CN"/>
                    <w14:textFill>
                      <w14:solidFill>
                        <w14:schemeClr w14:val="tx1"/>
                      </w14:solidFill>
                    </w14:textFill>
                  </w:rPr>
                  <m:t>v</m:t>
                </m:r>
                <m:r>
                  <m:rPr/>
                  <w:rPr>
                    <w:rFonts w:ascii="Cambria Math" w:hAnsi="Cambria Math" w:cs="Times New Roman"/>
                    <w:color w:val="000000" w:themeColor="text1"/>
                    <w:sz w:val="21"/>
                    <w14:textFill>
                      <w14:solidFill>
                        <w14:schemeClr w14:val="tx1"/>
                      </w14:solidFill>
                    </w14:textFill>
                  </w:rPr>
                  <m:t>=</m:t>
                </m:r>
                <m:f>
                  <m:fPr>
                    <m:ctrlPr>
                      <w:rPr>
                        <w:rFonts w:ascii="Cambria Math" w:hAnsi="Cambria Math" w:cs="Times New Roman"/>
                        <w:i/>
                        <w:color w:val="000000" w:themeColor="text1"/>
                        <w:sz w:val="21"/>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1</m:t>
                    </m:r>
                    <m:ctrlPr>
                      <w:rPr>
                        <w:rFonts w:ascii="Cambria Math" w:hAnsi="Cambria Math" w:cs="Times New Roman"/>
                        <w:i/>
                        <w:color w:val="000000" w:themeColor="text1"/>
                        <w:sz w:val="21"/>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n</m:t>
                    </m:r>
                    <m:ctrlPr>
                      <w:rPr>
                        <w:rFonts w:ascii="Cambria Math" w:hAnsi="Cambria Math" w:cs="Times New Roman"/>
                        <w:i/>
                        <w:color w:val="000000" w:themeColor="text1"/>
                        <w:sz w:val="21"/>
                        <w14:textFill>
                          <w14:solidFill>
                            <w14:schemeClr w14:val="tx1"/>
                          </w14:solidFill>
                        </w14:textFill>
                      </w:rPr>
                    </m:ctrlPr>
                  </m:den>
                </m:f>
                <m:sSup>
                  <m:sSupPr>
                    <m:ctrlPr>
                      <w:rPr>
                        <w:rFonts w:ascii="Cambria Math" w:hAnsi="Cambria Math" w:cs="Times New Roman"/>
                        <w:i/>
                        <w:color w:val="000000" w:themeColor="text1"/>
                        <w:sz w:val="21"/>
                        <w14:textFill>
                          <w14:solidFill>
                            <w14:schemeClr w14:val="tx1"/>
                          </w14:solidFill>
                        </w14:textFill>
                      </w:rPr>
                    </m:ctrlPr>
                  </m:sSupPr>
                  <m:e>
                    <m:r>
                      <m:rPr/>
                      <w:rPr>
                        <w:rFonts w:ascii="Cambria Math" w:hAnsi="Cambria Math" w:cs="Times New Roman"/>
                        <w:color w:val="000000" w:themeColor="text1"/>
                        <w:sz w:val="21"/>
                        <w14:textFill>
                          <w14:solidFill>
                            <w14:schemeClr w14:val="tx1"/>
                          </w14:solidFill>
                        </w14:textFill>
                      </w:rPr>
                      <m:t>R</m:t>
                    </m:r>
                    <m:ctrlPr>
                      <w:rPr>
                        <w:rFonts w:ascii="Cambria Math" w:hAnsi="Cambria Math" w:cs="Times New Roman"/>
                        <w:i/>
                        <w:color w:val="000000" w:themeColor="text1"/>
                        <w:sz w:val="21"/>
                        <w14:textFill>
                          <w14:solidFill>
                            <w14:schemeClr w14:val="tx1"/>
                          </w14:solidFill>
                        </w14:textFill>
                      </w:rPr>
                    </m:ctrlPr>
                  </m:e>
                  <m:sup>
                    <m:f>
                      <m:fPr>
                        <m:ctrlPr>
                          <w:rPr>
                            <w:rFonts w:ascii="Cambria Math" w:hAnsi="Cambria Math" w:cs="Times New Roman"/>
                            <w:i/>
                            <w:color w:val="000000" w:themeColor="text1"/>
                            <w:sz w:val="21"/>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2</m:t>
                        </m:r>
                        <m:ctrlPr>
                          <w:rPr>
                            <w:rFonts w:ascii="Cambria Math" w:hAnsi="Cambria Math" w:cs="Times New Roman"/>
                            <w:i/>
                            <w:color w:val="000000" w:themeColor="text1"/>
                            <w:sz w:val="21"/>
                            <w14:textFill>
                              <w14:solidFill>
                                <w14:schemeClr w14:val="tx1"/>
                              </w14:solidFill>
                            </w14:textFill>
                          </w:rPr>
                        </m:ctrlPr>
                      </m:num>
                      <m:den>
                        <m:r>
                          <m:rPr/>
                          <w:rPr>
                            <w:rFonts w:ascii="Cambria Math" w:hAnsi="Cambria Math" w:cs="Times New Roman"/>
                            <w:color w:val="000000" w:themeColor="text1"/>
                            <w:sz w:val="21"/>
                            <w14:textFill>
                              <w14:solidFill>
                                <w14:schemeClr w14:val="tx1"/>
                              </w14:solidFill>
                            </w14:textFill>
                          </w:rPr>
                          <m:t>3</m:t>
                        </m:r>
                        <m:ctrlPr>
                          <w:rPr>
                            <w:rFonts w:ascii="Cambria Math" w:hAnsi="Cambria Math" w:cs="Times New Roman"/>
                            <w:i/>
                            <w:color w:val="000000" w:themeColor="text1"/>
                            <w:sz w:val="21"/>
                            <w14:textFill>
                              <w14:solidFill>
                                <w14:schemeClr w14:val="tx1"/>
                              </w14:solidFill>
                            </w14:textFill>
                          </w:rPr>
                        </m:ctrlPr>
                      </m:den>
                    </m:f>
                    <m:ctrlPr>
                      <w:rPr>
                        <w:rFonts w:ascii="Cambria Math" w:hAnsi="Cambria Math" w:cs="Times New Roman"/>
                        <w:i/>
                        <w:color w:val="000000" w:themeColor="text1"/>
                        <w:sz w:val="21"/>
                        <w14:textFill>
                          <w14:solidFill>
                            <w14:schemeClr w14:val="tx1"/>
                          </w14:solidFill>
                        </w14:textFill>
                      </w:rPr>
                    </m:ctrlPr>
                  </m:sup>
                </m:sSup>
                <m:sSup>
                  <m:sSupPr>
                    <m:ctrlPr>
                      <w:rPr>
                        <w:rFonts w:ascii="Cambria Math" w:hAnsi="Cambria Math" w:cs="Times New Roman"/>
                        <w:i/>
                        <w:color w:val="000000" w:themeColor="text1"/>
                        <w:sz w:val="21"/>
                        <w14:textFill>
                          <w14:solidFill>
                            <w14:schemeClr w14:val="tx1"/>
                          </w14:solidFill>
                        </w14:textFill>
                      </w:rPr>
                    </m:ctrlPr>
                  </m:sSupPr>
                  <m:e>
                    <m:r>
                      <m:rPr/>
                      <w:rPr>
                        <w:rFonts w:ascii="Cambria Math" w:hAnsi="Cambria Math" w:cs="Times New Roman"/>
                        <w:color w:val="000000" w:themeColor="text1"/>
                        <w:sz w:val="21"/>
                        <w14:textFill>
                          <w14:solidFill>
                            <w14:schemeClr w14:val="tx1"/>
                          </w14:solidFill>
                        </w14:textFill>
                      </w:rPr>
                      <m:t>I</m:t>
                    </m:r>
                    <m:ctrlPr>
                      <w:rPr>
                        <w:rFonts w:ascii="Cambria Math" w:hAnsi="Cambria Math" w:cs="Times New Roman"/>
                        <w:i/>
                        <w:color w:val="000000" w:themeColor="text1"/>
                        <w:sz w:val="21"/>
                        <w14:textFill>
                          <w14:solidFill>
                            <w14:schemeClr w14:val="tx1"/>
                          </w14:solidFill>
                        </w14:textFill>
                      </w:rPr>
                    </m:ctrlPr>
                  </m:e>
                  <m:sup>
                    <m:f>
                      <m:fPr>
                        <m:ctrlPr>
                          <w:rPr>
                            <w:rFonts w:ascii="Cambria Math" w:hAnsi="Cambria Math" w:cs="Times New Roman"/>
                            <w:i/>
                            <w:color w:val="000000" w:themeColor="text1"/>
                            <w:sz w:val="21"/>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1</m:t>
                        </m:r>
                        <m:ctrlPr>
                          <w:rPr>
                            <w:rFonts w:ascii="Cambria Math" w:hAnsi="Cambria Math" w:cs="Times New Roman"/>
                            <w:i/>
                            <w:color w:val="000000" w:themeColor="text1"/>
                            <w:sz w:val="21"/>
                            <w14:textFill>
                              <w14:solidFill>
                                <w14:schemeClr w14:val="tx1"/>
                              </w14:solidFill>
                            </w14:textFill>
                          </w:rPr>
                        </m:ctrlPr>
                      </m:num>
                      <m:den>
                        <m:r>
                          <m:rPr/>
                          <w:rPr>
                            <w:rFonts w:ascii="Cambria Math" w:hAnsi="Cambria Math" w:cs="Times New Roman"/>
                            <w:color w:val="000000" w:themeColor="text1"/>
                            <w:sz w:val="21"/>
                            <w14:textFill>
                              <w14:solidFill>
                                <w14:schemeClr w14:val="tx1"/>
                              </w14:solidFill>
                            </w14:textFill>
                          </w:rPr>
                          <m:t>2</m:t>
                        </m:r>
                        <m:ctrlPr>
                          <w:rPr>
                            <w:rFonts w:ascii="Cambria Math" w:hAnsi="Cambria Math" w:cs="Times New Roman"/>
                            <w:i/>
                            <w:color w:val="000000" w:themeColor="text1"/>
                            <w:sz w:val="21"/>
                            <w14:textFill>
                              <w14:solidFill>
                                <w14:schemeClr w14:val="tx1"/>
                              </w14:solidFill>
                            </w14:textFill>
                          </w:rPr>
                        </m:ctrlPr>
                      </m:den>
                    </m:f>
                    <m:ctrlPr>
                      <w:rPr>
                        <w:rFonts w:ascii="Cambria Math" w:hAnsi="Cambria Math" w:cs="Times New Roman"/>
                        <w:i/>
                        <w:color w:val="000000" w:themeColor="text1"/>
                        <w:sz w:val="21"/>
                        <w14:textFill>
                          <w14:solidFill>
                            <w14:schemeClr w14:val="tx1"/>
                          </w14:solidFill>
                        </w14:textFill>
                      </w:rPr>
                    </m:ctrlPr>
                  </m:sup>
                </m:sSup>
              </m:oMath>
            </m:oMathPara>
          </w:p>
        </w:tc>
        <w:tc>
          <w:tcPr>
            <w:tcW w:w="1213" w:type="dxa"/>
          </w:tcPr>
          <w:p>
            <w:pPr>
              <w:ind w:firstLine="0" w:firstLineChars="0"/>
              <w:rPr>
                <w:rFonts w:cs="Times New Roman"/>
                <w:color w:val="000000" w:themeColor="text1"/>
                <w:sz w:val="21"/>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b/>
                <w:bCs/>
                <w:color w:val="000000" w:themeColor="text1"/>
                <w:sz w:val="21"/>
                <w14:textFill>
                  <w14:solidFill>
                    <w14:schemeClr w14:val="tx1"/>
                  </w14:solidFill>
                </w14:textFill>
              </w:rPr>
              <w:t>5.</w:t>
            </w:r>
            <w:r>
              <w:rPr>
                <w:rFonts w:cs="Times New Roman"/>
                <w:b/>
                <w:bCs/>
                <w:color w:val="000000" w:themeColor="text1"/>
                <w:sz w:val="21"/>
                <w:lang w:eastAsia="zh-CN"/>
                <w14:textFill>
                  <w14:solidFill>
                    <w14:schemeClr w14:val="tx1"/>
                  </w14:solidFill>
                </w14:textFill>
              </w:rPr>
              <w:t>2）</w:t>
            </w:r>
          </w:p>
        </w:tc>
      </w:tr>
    </w:tbl>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式中：v ——流速（m/s）；</w:t>
      </w:r>
    </w:p>
    <w:p>
      <w:pPr>
        <w:ind w:left="78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R——水力半径（m）；</w:t>
      </w:r>
    </w:p>
    <w:p>
      <w:pPr>
        <w:ind w:left="78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n——粗糙系数；</w:t>
      </w:r>
    </w:p>
    <w:p>
      <w:pPr>
        <w:ind w:left="78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I——水力坡降。</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3.5.3</w:t>
      </w:r>
      <w:r>
        <w:rPr>
          <w:rFonts w:cs="Times New Roman"/>
          <w:color w:val="000000" w:themeColor="text1"/>
          <w:sz w:val="21"/>
          <w:lang w:eastAsia="zh-CN"/>
          <w14:textFill>
            <w14:solidFill>
              <w14:schemeClr w14:val="tx1"/>
            </w14:solidFill>
          </w14:textFill>
        </w:rPr>
        <w:t xml:space="preserve"> 修复后与修复前管道过流能力的比值应按下式计算：</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41"/>
        <w:gridCol w:w="10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41" w:type="dxa"/>
          </w:tcPr>
          <w:p>
            <w:pPr>
              <w:ind w:firstLine="0" w:firstLineChars="0"/>
              <w:rPr>
                <w:rFonts w:cs="Times New Roman"/>
                <w:color w:val="000000" w:themeColor="text1"/>
                <w:sz w:val="21"/>
                <w14:textFill>
                  <w14:solidFill>
                    <w14:schemeClr w14:val="tx1"/>
                  </w14:solidFill>
                </w14:textFill>
              </w:rPr>
            </w:pPr>
            <m:oMathPara>
              <m:oMath>
                <m:r>
                  <m:rPr/>
                  <w:rPr>
                    <w:rFonts w:ascii="Cambria Math" w:hAnsi="Cambria Math" w:cs="Times New Roman"/>
                    <w:color w:val="000000" w:themeColor="text1"/>
                    <w:sz w:val="21"/>
                    <w14:textFill>
                      <w14:solidFill>
                        <w14:schemeClr w14:val="tx1"/>
                      </w14:solidFill>
                    </w14:textFill>
                  </w:rPr>
                  <m:t>B=100</m:t>
                </m:r>
                <m:f>
                  <m:fPr>
                    <m:ctrlPr>
                      <w:rPr>
                        <w:rFonts w:ascii="Cambria Math" w:hAnsi="Cambria Math" w:cs="Times New Roman"/>
                        <w:i/>
                        <w:color w:val="000000" w:themeColor="text1"/>
                        <w:sz w:val="21"/>
                        <w14:textFill>
                          <w14:solidFill>
                            <w14:schemeClr w14:val="tx1"/>
                          </w14:solidFill>
                        </w14:textFill>
                      </w:rPr>
                    </m:ctrlPr>
                  </m:fPr>
                  <m:num>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n</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e</m:t>
                        </m:r>
                        <m:ctrlPr>
                          <w:rPr>
                            <w:rFonts w:ascii="Cambria Math" w:hAnsi="Cambria Math" w:cs="Times New Roman"/>
                            <w:i/>
                            <w:color w:val="000000" w:themeColor="text1"/>
                            <w:sz w:val="21"/>
                            <w14:textFill>
                              <w14:solidFill>
                                <w14:schemeClr w14:val="tx1"/>
                              </w14:solidFill>
                            </w14:textFill>
                          </w:rPr>
                        </m:ctrlPr>
                      </m:sub>
                    </m:sSub>
                    <m:ctrlPr>
                      <w:rPr>
                        <w:rFonts w:ascii="Cambria Math" w:hAnsi="Cambria Math" w:cs="Times New Roman"/>
                        <w:i/>
                        <w:color w:val="000000" w:themeColor="text1"/>
                        <w:sz w:val="21"/>
                        <w14:textFill>
                          <w14:solidFill>
                            <w14:schemeClr w14:val="tx1"/>
                          </w14:solidFill>
                        </w14:textFill>
                      </w:rPr>
                    </m:ctrlPr>
                  </m:num>
                  <m:den>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n</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1</m:t>
                        </m:r>
                        <m:ctrlPr>
                          <w:rPr>
                            <w:rFonts w:ascii="Cambria Math" w:hAnsi="Cambria Math" w:cs="Times New Roman"/>
                            <w:i/>
                            <w:color w:val="000000" w:themeColor="text1"/>
                            <w:sz w:val="21"/>
                            <w14:textFill>
                              <w14:solidFill>
                                <w14:schemeClr w14:val="tx1"/>
                              </w14:solidFill>
                            </w14:textFill>
                          </w:rPr>
                        </m:ctrlPr>
                      </m:sub>
                    </m:sSub>
                    <m:ctrlPr>
                      <w:rPr>
                        <w:rFonts w:ascii="Cambria Math" w:hAnsi="Cambria Math" w:cs="Times New Roman"/>
                        <w:i/>
                        <w:color w:val="000000" w:themeColor="text1"/>
                        <w:sz w:val="21"/>
                        <w14:textFill>
                          <w14:solidFill>
                            <w14:schemeClr w14:val="tx1"/>
                          </w14:solidFill>
                        </w14:textFill>
                      </w:rPr>
                    </m:ctrlPr>
                  </m:den>
                </m:f>
                <m:sSup>
                  <m:sSupPr>
                    <m:ctrlPr>
                      <w:rPr>
                        <w:rFonts w:ascii="Cambria Math" w:hAnsi="Cambria Math" w:cs="Times New Roman"/>
                        <w:i/>
                        <w:color w:val="000000" w:themeColor="text1"/>
                        <w:sz w:val="21"/>
                        <w14:textFill>
                          <w14:solidFill>
                            <w14:schemeClr w14:val="tx1"/>
                          </w14:solidFill>
                        </w14:textFill>
                      </w:rPr>
                    </m:ctrlPr>
                  </m:sSupPr>
                  <m:e>
                    <m:d>
                      <m:dPr>
                        <m:ctrlPr>
                          <w:rPr>
                            <w:rFonts w:ascii="Cambria Math" w:hAnsi="Cambria Math" w:cs="Times New Roman"/>
                            <w:i/>
                            <w:color w:val="000000" w:themeColor="text1"/>
                            <w:sz w:val="21"/>
                            <w14:textFill>
                              <w14:solidFill>
                                <w14:schemeClr w14:val="tx1"/>
                              </w14:solidFill>
                            </w14:textFill>
                          </w:rPr>
                        </m:ctrlPr>
                      </m:dPr>
                      <m:e>
                        <m:f>
                          <m:fPr>
                            <m:ctrlPr>
                              <w:rPr>
                                <w:rFonts w:ascii="Cambria Math" w:hAnsi="Cambria Math" w:cs="Times New Roman"/>
                                <w:i/>
                                <w:color w:val="000000" w:themeColor="text1"/>
                                <w:sz w:val="21"/>
                                <w14:textFill>
                                  <w14:solidFill>
                                    <w14:schemeClr w14:val="tx1"/>
                                  </w14:solidFill>
                                </w14:textFill>
                              </w:rPr>
                            </m:ctrlPr>
                          </m:fPr>
                          <m:num>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D</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i</m:t>
                                </m:r>
                                <m:ctrlPr>
                                  <w:rPr>
                                    <w:rFonts w:ascii="Cambria Math" w:hAnsi="Cambria Math" w:cs="Times New Roman"/>
                                    <w:i/>
                                    <w:color w:val="000000" w:themeColor="text1"/>
                                    <w:sz w:val="21"/>
                                    <w14:textFill>
                                      <w14:solidFill>
                                        <w14:schemeClr w14:val="tx1"/>
                                      </w14:solidFill>
                                    </w14:textFill>
                                  </w:rPr>
                                </m:ctrlPr>
                              </m:sub>
                            </m:sSub>
                            <m:ctrlPr>
                              <w:rPr>
                                <w:rFonts w:ascii="Cambria Math" w:hAnsi="Cambria Math" w:cs="Times New Roman"/>
                                <w:i/>
                                <w:color w:val="000000" w:themeColor="text1"/>
                                <w:sz w:val="21"/>
                                <w14:textFill>
                                  <w14:solidFill>
                                    <w14:schemeClr w14:val="tx1"/>
                                  </w14:solidFill>
                                </w14:textFill>
                              </w:rPr>
                            </m:ctrlPr>
                          </m:num>
                          <m:den>
                            <m:sSub>
                              <m:sSubPr>
                                <m:ctrlPr>
                                  <w:rPr>
                                    <w:rFonts w:ascii="Cambria Math" w:hAnsi="Cambria Math" w:cs="Times New Roman"/>
                                    <w:i/>
                                    <w:color w:val="000000" w:themeColor="text1"/>
                                    <w:sz w:val="21"/>
                                    <w14:textFill>
                                      <w14:solidFill>
                                        <w14:schemeClr w14:val="tx1"/>
                                      </w14:solidFill>
                                    </w14:textFill>
                                  </w:rPr>
                                </m:ctrlPr>
                              </m:sSubPr>
                              <m:e>
                                <m:r>
                                  <m:rPr/>
                                  <w:rPr>
                                    <w:rFonts w:ascii="Cambria Math" w:hAnsi="Cambria Math" w:cs="Times New Roman"/>
                                    <w:color w:val="000000" w:themeColor="text1"/>
                                    <w:sz w:val="21"/>
                                    <w14:textFill>
                                      <w14:solidFill>
                                        <w14:schemeClr w14:val="tx1"/>
                                      </w14:solidFill>
                                    </w14:textFill>
                                  </w:rPr>
                                  <m:t>D</m:t>
                                </m:r>
                                <m:ctrlPr>
                                  <w:rPr>
                                    <w:rFonts w:ascii="Cambria Math" w:hAnsi="Cambria Math" w:cs="Times New Roman"/>
                                    <w:i/>
                                    <w:color w:val="000000" w:themeColor="text1"/>
                                    <w:sz w:val="21"/>
                                    <w14:textFill>
                                      <w14:solidFill>
                                        <w14:schemeClr w14:val="tx1"/>
                                      </w14:solidFill>
                                    </w14:textFill>
                                  </w:rPr>
                                </m:ctrlPr>
                              </m:e>
                              <m:sub>
                                <m:r>
                                  <m:rPr/>
                                  <w:rPr>
                                    <w:rFonts w:ascii="Cambria Math" w:hAnsi="Cambria Math" w:cs="Times New Roman"/>
                                    <w:color w:val="000000" w:themeColor="text1"/>
                                    <w:sz w:val="21"/>
                                    <w14:textFill>
                                      <w14:solidFill>
                                        <w14:schemeClr w14:val="tx1"/>
                                      </w14:solidFill>
                                    </w14:textFill>
                                  </w:rPr>
                                  <m:t>E</m:t>
                                </m:r>
                                <m:ctrlPr>
                                  <w:rPr>
                                    <w:rFonts w:ascii="Cambria Math" w:hAnsi="Cambria Math" w:cs="Times New Roman"/>
                                    <w:i/>
                                    <w:color w:val="000000" w:themeColor="text1"/>
                                    <w:sz w:val="21"/>
                                    <w14:textFill>
                                      <w14:solidFill>
                                        <w14:schemeClr w14:val="tx1"/>
                                      </w14:solidFill>
                                    </w14:textFill>
                                  </w:rPr>
                                </m:ctrlPr>
                              </m:sub>
                            </m:sSub>
                            <m:ctrlPr>
                              <w:rPr>
                                <w:rFonts w:ascii="Cambria Math" w:hAnsi="Cambria Math" w:cs="Times New Roman"/>
                                <w:i/>
                                <w:color w:val="000000" w:themeColor="text1"/>
                                <w:sz w:val="21"/>
                                <w14:textFill>
                                  <w14:solidFill>
                                    <w14:schemeClr w14:val="tx1"/>
                                  </w14:solidFill>
                                </w14:textFill>
                              </w:rPr>
                            </m:ctrlPr>
                          </m:den>
                        </m:f>
                        <m:ctrlPr>
                          <w:rPr>
                            <w:rFonts w:ascii="Cambria Math" w:hAnsi="Cambria Math" w:cs="Times New Roman"/>
                            <w:i/>
                            <w:color w:val="000000" w:themeColor="text1"/>
                            <w:sz w:val="21"/>
                            <w14:textFill>
                              <w14:solidFill>
                                <w14:schemeClr w14:val="tx1"/>
                              </w14:solidFill>
                            </w14:textFill>
                          </w:rPr>
                        </m:ctrlPr>
                      </m:e>
                    </m:d>
                    <m:ctrlPr>
                      <w:rPr>
                        <w:rFonts w:ascii="Cambria Math" w:hAnsi="Cambria Math" w:cs="Times New Roman"/>
                        <w:i/>
                        <w:color w:val="000000" w:themeColor="text1"/>
                        <w:sz w:val="21"/>
                        <w14:textFill>
                          <w14:solidFill>
                            <w14:schemeClr w14:val="tx1"/>
                          </w14:solidFill>
                        </w14:textFill>
                      </w:rPr>
                    </m:ctrlPr>
                  </m:e>
                  <m:sup>
                    <m:f>
                      <m:fPr>
                        <m:ctrlPr>
                          <w:rPr>
                            <w:rFonts w:ascii="Cambria Math" w:hAnsi="Cambria Math" w:cs="Times New Roman"/>
                            <w:i/>
                            <w:color w:val="000000" w:themeColor="text1"/>
                            <w:sz w:val="21"/>
                            <w14:textFill>
                              <w14:solidFill>
                                <w14:schemeClr w14:val="tx1"/>
                              </w14:solidFill>
                            </w14:textFill>
                          </w:rPr>
                        </m:ctrlPr>
                      </m:fPr>
                      <m:num>
                        <m:r>
                          <m:rPr/>
                          <w:rPr>
                            <w:rFonts w:ascii="Cambria Math" w:hAnsi="Cambria Math" w:cs="Times New Roman"/>
                            <w:color w:val="000000" w:themeColor="text1"/>
                            <w:sz w:val="21"/>
                            <w14:textFill>
                              <w14:solidFill>
                                <w14:schemeClr w14:val="tx1"/>
                              </w14:solidFill>
                            </w14:textFill>
                          </w:rPr>
                          <m:t>8</m:t>
                        </m:r>
                        <m:ctrlPr>
                          <w:rPr>
                            <w:rFonts w:ascii="Cambria Math" w:hAnsi="Cambria Math" w:cs="Times New Roman"/>
                            <w:i/>
                            <w:color w:val="000000" w:themeColor="text1"/>
                            <w:sz w:val="21"/>
                            <w14:textFill>
                              <w14:solidFill>
                                <w14:schemeClr w14:val="tx1"/>
                              </w14:solidFill>
                            </w14:textFill>
                          </w:rPr>
                        </m:ctrlPr>
                      </m:num>
                      <m:den>
                        <m:r>
                          <m:rPr/>
                          <w:rPr>
                            <w:rFonts w:ascii="Cambria Math" w:hAnsi="Cambria Math" w:cs="Times New Roman"/>
                            <w:color w:val="000000" w:themeColor="text1"/>
                            <w:sz w:val="21"/>
                            <w14:textFill>
                              <w14:solidFill>
                                <w14:schemeClr w14:val="tx1"/>
                              </w14:solidFill>
                            </w14:textFill>
                          </w:rPr>
                          <m:t>3</m:t>
                        </m:r>
                        <m:ctrlPr>
                          <w:rPr>
                            <w:rFonts w:ascii="Cambria Math" w:hAnsi="Cambria Math" w:cs="Times New Roman"/>
                            <w:i/>
                            <w:color w:val="000000" w:themeColor="text1"/>
                            <w:sz w:val="21"/>
                            <w14:textFill>
                              <w14:solidFill>
                                <w14:schemeClr w14:val="tx1"/>
                              </w14:solidFill>
                            </w14:textFill>
                          </w:rPr>
                        </m:ctrlPr>
                      </m:den>
                    </m:f>
                    <m:ctrlPr>
                      <w:rPr>
                        <w:rFonts w:ascii="Cambria Math" w:hAnsi="Cambria Math" w:cs="Times New Roman"/>
                        <w:i/>
                        <w:color w:val="000000" w:themeColor="text1"/>
                        <w:sz w:val="21"/>
                        <w14:textFill>
                          <w14:solidFill>
                            <w14:schemeClr w14:val="tx1"/>
                          </w14:solidFill>
                        </w14:textFill>
                      </w:rPr>
                    </m:ctrlPr>
                  </m:sup>
                </m:sSup>
              </m:oMath>
            </m:oMathPara>
          </w:p>
        </w:tc>
        <w:tc>
          <w:tcPr>
            <w:tcW w:w="1073" w:type="dxa"/>
          </w:tcPr>
          <w:p>
            <w:pPr>
              <w:ind w:firstLine="0" w:firstLineChars="0"/>
              <w:rPr>
                <w:rFonts w:cs="Times New Roman"/>
                <w:b/>
                <w:bCs/>
                <w:color w:val="000000" w:themeColor="text1"/>
                <w:sz w:val="21"/>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b/>
                <w:bCs/>
                <w:color w:val="000000" w:themeColor="text1"/>
                <w:sz w:val="21"/>
                <w14:textFill>
                  <w14:solidFill>
                    <w14:schemeClr w14:val="tx1"/>
                  </w14:solidFill>
                </w14:textFill>
              </w:rPr>
              <w:t>5.</w:t>
            </w:r>
            <w:r>
              <w:rPr>
                <w:rFonts w:cs="Times New Roman"/>
                <w:b/>
                <w:bCs/>
                <w:color w:val="000000" w:themeColor="text1"/>
                <w:sz w:val="21"/>
                <w:lang w:eastAsia="zh-CN"/>
                <w14:textFill>
                  <w14:solidFill>
                    <w14:schemeClr w14:val="tx1"/>
                  </w14:solidFill>
                </w14:textFill>
              </w:rPr>
              <w:t>3）</w:t>
            </w:r>
          </w:p>
        </w:tc>
      </w:tr>
    </w:tbl>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式中：B——管道修复前后过流能力比（%）；</w:t>
      </w:r>
    </w:p>
    <w:p>
      <w:pPr>
        <w:ind w:firstLine="1104" w:firstLineChars="526"/>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n</w:t>
      </w:r>
      <w:r>
        <w:rPr>
          <w:rFonts w:cs="Times New Roman"/>
          <w:color w:val="000000" w:themeColor="text1"/>
          <w:sz w:val="21"/>
          <w:vertAlign w:val="subscript"/>
          <w:lang w:eastAsia="zh-CN"/>
          <w14:textFill>
            <w14:solidFill>
              <w14:schemeClr w14:val="tx1"/>
            </w14:solidFill>
          </w14:textFill>
        </w:rPr>
        <w:t>e</w:t>
      </w:r>
      <w:r>
        <w:rPr>
          <w:rFonts w:cs="Times New Roman"/>
          <w:color w:val="000000" w:themeColor="text1"/>
          <w:sz w:val="21"/>
          <w:lang w:eastAsia="zh-CN"/>
          <w14:textFill>
            <w14:solidFill>
              <w14:schemeClr w14:val="tx1"/>
            </w14:solidFill>
          </w14:textFill>
        </w:rPr>
        <w:t>——原有管道的粗糙系数；</w:t>
      </w:r>
    </w:p>
    <w:p>
      <w:pPr>
        <w:ind w:left="7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n</w:t>
      </w:r>
      <w:r>
        <w:rPr>
          <w:rFonts w:cs="Times New Roman"/>
          <w:color w:val="000000" w:themeColor="text1"/>
          <w:sz w:val="21"/>
          <w:vertAlign w:val="subscript"/>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——内衬管的粗糙系数；</w:t>
      </w:r>
    </w:p>
    <w:p>
      <w:pPr>
        <w:ind w:left="7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E</w:t>
      </w:r>
      <w:r>
        <w:rPr>
          <w:rFonts w:cs="Times New Roman"/>
          <w:color w:val="000000" w:themeColor="text1"/>
          <w:sz w:val="21"/>
          <w:lang w:eastAsia="zh-CN"/>
          <w14:textFill>
            <w14:solidFill>
              <w14:schemeClr w14:val="tx1"/>
            </w14:solidFill>
          </w14:textFill>
        </w:rPr>
        <w:t>——原有管道内径（mm）；</w:t>
      </w:r>
    </w:p>
    <w:p>
      <w:pPr>
        <w:ind w:left="7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w:t>
      </w:r>
      <w:r>
        <w:rPr>
          <w:rFonts w:cs="Times New Roman"/>
          <w:color w:val="000000" w:themeColor="text1"/>
          <w:sz w:val="21"/>
          <w:vertAlign w:val="subscript"/>
          <w:lang w:eastAsia="zh-CN"/>
          <w14:textFill>
            <w14:solidFill>
              <w14:schemeClr w14:val="tx1"/>
            </w14:solidFill>
          </w14:textFill>
        </w:rPr>
        <w:t>i</w:t>
      </w:r>
      <w:r>
        <w:rPr>
          <w:rFonts w:cs="Times New Roman"/>
          <w:color w:val="000000" w:themeColor="text1"/>
          <w:sz w:val="21"/>
          <w:lang w:eastAsia="zh-CN"/>
          <w14:textFill>
            <w14:solidFill>
              <w14:schemeClr w14:val="tx1"/>
            </w14:solidFill>
          </w14:textFill>
        </w:rPr>
        <w:t>——内衬管内径（mm）。</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3.5.4</w:t>
      </w:r>
      <w:r>
        <w:rPr>
          <w:rFonts w:cs="Times New Roman"/>
          <w:color w:val="000000" w:themeColor="text1"/>
          <w:sz w:val="21"/>
          <w:lang w:eastAsia="zh-CN"/>
          <w14:textFill>
            <w14:solidFill>
              <w14:schemeClr w14:val="tx1"/>
            </w14:solidFill>
          </w14:textFill>
        </w:rPr>
        <w:t xml:space="preserve"> 修复后排水管渠的粗糙系数宜按表3.5.4的规定取值。</w:t>
      </w:r>
    </w:p>
    <w:p>
      <w:pPr>
        <w:ind w:firstLine="422"/>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表3.5.4 粗糙系数</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3"/>
        <w:gridCol w:w="4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54"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管材类型</w:t>
            </w:r>
          </w:p>
        </w:tc>
        <w:tc>
          <w:tcPr>
            <w:tcW w:w="2546"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粗糙系数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54"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原位固化内衬管</w:t>
            </w:r>
          </w:p>
        </w:tc>
        <w:tc>
          <w:tcPr>
            <w:tcW w:w="2546"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54"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原位热塑成型衬管</w:t>
            </w:r>
          </w:p>
        </w:tc>
        <w:tc>
          <w:tcPr>
            <w:tcW w:w="2546"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54"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PE管，PVC管</w:t>
            </w:r>
          </w:p>
        </w:tc>
        <w:tc>
          <w:tcPr>
            <w:tcW w:w="2546"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54"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螺旋缠绕内衬管</w:t>
            </w:r>
          </w:p>
        </w:tc>
        <w:tc>
          <w:tcPr>
            <w:tcW w:w="2546"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54"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砂浆喷涂（抹面）</w:t>
            </w:r>
          </w:p>
        </w:tc>
        <w:tc>
          <w:tcPr>
            <w:tcW w:w="2546"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0.013~0.014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454"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砂浆喷涂（不抹面）</w:t>
            </w:r>
          </w:p>
        </w:tc>
        <w:tc>
          <w:tcPr>
            <w:tcW w:w="2546" w:type="pct"/>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0.015</w:t>
            </w:r>
          </w:p>
        </w:tc>
      </w:tr>
    </w:tbl>
    <w:p>
      <w:pPr>
        <w:kinsoku/>
        <w:autoSpaceDE/>
        <w:autoSpaceDN/>
        <w:adjustRightInd/>
        <w:snapToGrid/>
        <w:spacing w:line="240" w:lineRule="auto"/>
        <w:ind w:firstLine="0" w:firstLineChars="0"/>
        <w:jc w:val="left"/>
        <w:textAlignment w:val="auto"/>
        <w:rPr>
          <w:rFonts w:eastAsia="黑体" w:cs="Times New Roman"/>
          <w:b/>
          <w:bCs/>
          <w:color w:val="000000" w:themeColor="text1"/>
          <w:sz w:val="32"/>
          <w:szCs w:val="32"/>
          <w:lang w:eastAsia="zh-CN"/>
          <w14:textFill>
            <w14:solidFill>
              <w14:schemeClr w14:val="tx1"/>
            </w14:solidFill>
          </w14:textFill>
        </w:rPr>
      </w:pPr>
      <w:r>
        <w:rPr>
          <w:rFonts w:eastAsia="黑体" w:cs="Times New Roman"/>
          <w:color w:val="000000" w:themeColor="text1"/>
          <w:lang w:eastAsia="zh-CN"/>
          <w14:textFill>
            <w14:solidFill>
              <w14:schemeClr w14:val="tx1"/>
            </w14:solidFill>
          </w14:textFill>
        </w:rPr>
        <w:br w:type="page"/>
      </w:r>
    </w:p>
    <w:p>
      <w:pPr>
        <w:pStyle w:val="15"/>
        <w:ind w:firstLine="0" w:firstLineChars="0"/>
        <w:rPr>
          <w:color w:val="000000" w:themeColor="text1"/>
          <w:lang w:eastAsia="zh-CN"/>
          <w14:textFill>
            <w14:solidFill>
              <w14:schemeClr w14:val="tx1"/>
            </w14:solidFill>
          </w14:textFill>
        </w:rPr>
      </w:pPr>
      <w:bookmarkStart w:id="36" w:name="_Toc196915202"/>
      <w:r>
        <w:rPr>
          <w:rFonts w:ascii="Times New Roman" w:hAnsi="Times New Roman" w:eastAsia="黑体" w:cs="Times New Roman"/>
          <w:color w:val="000000" w:themeColor="text1"/>
          <w:lang w:eastAsia="zh-CN"/>
          <w14:textFill>
            <w14:solidFill>
              <w14:schemeClr w14:val="tx1"/>
            </w14:solidFill>
          </w14:textFill>
        </w:rPr>
        <w:t xml:space="preserve">4 </w:t>
      </w:r>
      <w:r>
        <w:rPr>
          <w:rFonts w:hint="eastAsia" w:ascii="Times New Roman" w:hAnsi="Times New Roman" w:eastAsia="黑体" w:cs="Times New Roman"/>
          <w:color w:val="000000" w:themeColor="text1"/>
          <w:lang w:eastAsia="zh-CN"/>
          <w14:textFill>
            <w14:solidFill>
              <w14:schemeClr w14:val="tx1"/>
            </w14:solidFill>
          </w14:textFill>
        </w:rPr>
        <w:t>材料与设备</w:t>
      </w:r>
      <w:bookmarkEnd w:id="36"/>
    </w:p>
    <w:p>
      <w:pPr>
        <w:pStyle w:val="3"/>
        <w:ind w:firstLine="560"/>
      </w:pPr>
      <w:bookmarkStart w:id="37" w:name="_Toc196915203"/>
      <w:r>
        <w:t>4.1 一般规定</w:t>
      </w:r>
      <w:bookmarkEnd w:id="37"/>
    </w:p>
    <w:p>
      <w:pPr>
        <w:ind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4.1.1 </w:t>
      </w:r>
      <w:r>
        <w:rPr>
          <w:rFonts w:hint="eastAsia" w:cs="Times New Roman"/>
          <w:color w:val="000000" w:themeColor="text1"/>
          <w:sz w:val="21"/>
          <w:lang w:eastAsia="zh-CN"/>
          <w14:textFill>
            <w14:solidFill>
              <w14:schemeClr w14:val="tx1"/>
            </w14:solidFill>
          </w14:textFill>
        </w:rPr>
        <w:t>管道非开挖修复工程所用主要原材料、各类管材、型材和片材的规格、尺寸、性能等应符合相关产品现行国家标准和环保规定，以及设计文件的要求。</w:t>
      </w:r>
    </w:p>
    <w:p>
      <w:pPr>
        <w:ind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4.1.2 </w:t>
      </w:r>
      <w:r>
        <w:rPr>
          <w:rFonts w:cs="Times New Roman"/>
          <w:color w:val="000000" w:themeColor="text1"/>
          <w:sz w:val="21"/>
          <w:lang w:eastAsia="zh-CN"/>
          <w14:textFill>
            <w14:solidFill>
              <w14:schemeClr w14:val="tx1"/>
            </w14:solidFill>
          </w14:textFill>
        </w:rPr>
        <w:t>在同一修复管段内，同一种损坏类型的工程宜使用同一生产厂家的相同型号的</w:t>
      </w:r>
      <w:r>
        <w:rPr>
          <w:rFonts w:hint="eastAsia" w:cs="Times New Roman"/>
          <w:color w:val="000000" w:themeColor="text1"/>
          <w:sz w:val="21"/>
          <w:lang w:eastAsia="zh-CN"/>
          <w14:textFill>
            <w14:solidFill>
              <w14:schemeClr w14:val="tx1"/>
            </w14:solidFill>
          </w14:textFill>
        </w:rPr>
        <w:t>管材或型材</w:t>
      </w:r>
      <w:r>
        <w:rPr>
          <w:rFonts w:cs="Times New Roman"/>
          <w:color w:val="000000" w:themeColor="text1"/>
          <w:sz w:val="21"/>
          <w:lang w:eastAsia="zh-CN"/>
          <w14:textFill>
            <w14:solidFill>
              <w14:schemeClr w14:val="tx1"/>
            </w14:solidFill>
          </w14:textFill>
        </w:rPr>
        <w:t>进行修复</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且</w:t>
      </w:r>
      <w:r>
        <w:rPr>
          <w:rFonts w:hint="eastAsia" w:cs="Times New Roman"/>
          <w:color w:val="000000" w:themeColor="text1"/>
          <w:sz w:val="21"/>
          <w:lang w:eastAsia="zh-CN"/>
          <w14:textFill>
            <w14:solidFill>
              <w14:schemeClr w14:val="tx1"/>
            </w14:solidFill>
          </w14:textFill>
        </w:rPr>
        <w:t>应具备出场</w:t>
      </w:r>
      <w:r>
        <w:rPr>
          <w:rFonts w:cs="Times New Roman"/>
          <w:color w:val="000000" w:themeColor="text1"/>
          <w:sz w:val="21"/>
          <w:lang w:eastAsia="zh-CN"/>
          <w14:textFill>
            <w14:solidFill>
              <w14:schemeClr w14:val="tx1"/>
            </w14:solidFill>
          </w14:textFill>
        </w:rPr>
        <w:t>出厂合格证明</w:t>
      </w:r>
      <w:r>
        <w:rPr>
          <w:rFonts w:hint="eastAsia" w:cs="Times New Roman"/>
          <w:color w:val="000000" w:themeColor="text1"/>
          <w:sz w:val="21"/>
          <w:lang w:eastAsia="zh-CN"/>
          <w14:textFill>
            <w14:solidFill>
              <w14:schemeClr w14:val="tx1"/>
            </w14:solidFill>
          </w14:textFill>
        </w:rPr>
        <w:t>和</w:t>
      </w:r>
      <w:r>
        <w:rPr>
          <w:rFonts w:cs="Times New Roman"/>
          <w:color w:val="000000" w:themeColor="text1"/>
          <w:sz w:val="21"/>
          <w:lang w:eastAsia="zh-CN"/>
          <w14:textFill>
            <w14:solidFill>
              <w14:schemeClr w14:val="tx1"/>
            </w14:solidFill>
          </w14:textFill>
        </w:rPr>
        <w:t>检验报告。</w:t>
      </w:r>
    </w:p>
    <w:p>
      <w:pPr>
        <w:ind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4.1.3 </w:t>
      </w:r>
      <w:r>
        <w:rPr>
          <w:rFonts w:cs="Times New Roman"/>
          <w:color w:val="000000" w:themeColor="text1"/>
          <w:sz w:val="21"/>
          <w:lang w:eastAsia="zh-CN"/>
          <w14:textFill>
            <w14:solidFill>
              <w14:schemeClr w14:val="tx1"/>
            </w14:solidFill>
          </w14:textFill>
        </w:rPr>
        <w:t>主要材料的进场验收应</w:t>
      </w:r>
      <w:r>
        <w:rPr>
          <w:rFonts w:hint="eastAsia" w:cs="Times New Roman"/>
          <w:color w:val="000000" w:themeColor="text1"/>
          <w:sz w:val="21"/>
          <w:lang w:eastAsia="zh-CN"/>
          <w14:textFill>
            <w14:solidFill>
              <w14:schemeClr w14:val="tx1"/>
            </w14:solidFill>
          </w14:textFill>
        </w:rPr>
        <w:t>包括</w:t>
      </w:r>
      <w:r>
        <w:rPr>
          <w:rFonts w:cs="Times New Roman"/>
          <w:color w:val="000000" w:themeColor="text1"/>
          <w:sz w:val="21"/>
          <w:lang w:eastAsia="zh-CN"/>
          <w14:textFill>
            <w14:solidFill>
              <w14:schemeClr w14:val="tx1"/>
            </w14:solidFill>
          </w14:textFill>
        </w:rPr>
        <w:t>产品的质量合格证书、性能检验报告、使用说明书等，并应符合本文件的规定</w:t>
      </w:r>
      <w:r>
        <w:rPr>
          <w:rFonts w:hint="eastAsia" w:cs="Times New Roman"/>
          <w:color w:val="000000" w:themeColor="text1"/>
          <w:sz w:val="21"/>
          <w:lang w:eastAsia="zh-CN"/>
          <w14:textFill>
            <w14:solidFill>
              <w14:schemeClr w14:val="tx1"/>
            </w14:solidFill>
          </w14:textFill>
        </w:rPr>
        <w:t>，以及</w:t>
      </w:r>
      <w:r>
        <w:rPr>
          <w:rFonts w:cs="Times New Roman"/>
          <w:color w:val="000000" w:themeColor="text1"/>
          <w:sz w:val="21"/>
          <w:lang w:eastAsia="zh-CN"/>
          <w14:textFill>
            <w14:solidFill>
              <w14:schemeClr w14:val="tx1"/>
            </w14:solidFill>
          </w14:textFill>
        </w:rPr>
        <w:t>设计</w:t>
      </w:r>
      <w:r>
        <w:rPr>
          <w:rFonts w:hint="eastAsia" w:cs="Times New Roman"/>
          <w:color w:val="000000" w:themeColor="text1"/>
          <w:sz w:val="21"/>
          <w:lang w:eastAsia="zh-CN"/>
          <w14:textFill>
            <w14:solidFill>
              <w14:schemeClr w14:val="tx1"/>
            </w14:solidFill>
          </w14:textFill>
        </w:rPr>
        <w:t>文件的</w:t>
      </w:r>
      <w:r>
        <w:rPr>
          <w:rFonts w:cs="Times New Roman"/>
          <w:color w:val="000000" w:themeColor="text1"/>
          <w:sz w:val="21"/>
          <w:lang w:eastAsia="zh-CN"/>
          <w14:textFill>
            <w14:solidFill>
              <w14:schemeClr w14:val="tx1"/>
            </w14:solidFill>
          </w14:textFill>
        </w:rPr>
        <w:t>要求。</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4.1.4</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凡涉及安全、节能、环境保护和主要使用功能的材料、产品，应按各专业工程施工规范、验收规范和设计文件的规定进行复验。</w:t>
      </w:r>
    </w:p>
    <w:p>
      <w:pPr>
        <w:ind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4.1.</w:t>
      </w:r>
      <w:r>
        <w:rPr>
          <w:rFonts w:hint="eastAsia"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非开挖修复材料的储存</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运输应符合下列规定：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应按生产厂商要求或推荐的温度进行运输和分类存放，存放环境应干燥、通风，避免日晒，并远离火源，树脂类材料存储和运输过程中应记录暴露的温度和时间</w:t>
      </w:r>
      <w:r>
        <w:rPr>
          <w:rFonts w:hint="eastAsia" w:cs="Times New Roman"/>
          <w:color w:val="000000" w:themeColor="text1"/>
          <w:sz w:val="21"/>
          <w:lang w:eastAsia="zh-CN"/>
          <w14:textFill>
            <w14:solidFill>
              <w14:schemeClr w14:val="tx1"/>
            </w14:solidFill>
          </w14:textFill>
        </w:rPr>
        <w:t>。</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材料表面或包装表面应标明材料名称、生产</w:t>
      </w:r>
      <w:r>
        <w:rPr>
          <w:rFonts w:hint="eastAsia" w:cs="Times New Roman"/>
          <w:color w:val="000000" w:themeColor="text1"/>
          <w:sz w:val="21"/>
          <w:lang w:eastAsia="zh-CN"/>
          <w14:textFill>
            <w14:solidFill>
              <w14:schemeClr w14:val="tx1"/>
            </w14:solidFill>
          </w14:textFill>
        </w:rPr>
        <w:t>厂家</w:t>
      </w:r>
      <w:r>
        <w:rPr>
          <w:rFonts w:cs="Times New Roman"/>
          <w:color w:val="000000" w:themeColor="text1"/>
          <w:sz w:val="21"/>
          <w:lang w:eastAsia="zh-CN"/>
          <w14:textFill>
            <w14:solidFill>
              <w14:schemeClr w14:val="tx1"/>
            </w14:solidFill>
          </w14:textFill>
        </w:rPr>
        <w:t>、重量、生产编号</w:t>
      </w:r>
      <w:r>
        <w:rPr>
          <w:rFonts w:hint="eastAsia" w:cs="Times New Roman"/>
          <w:color w:val="000000" w:themeColor="text1"/>
          <w:sz w:val="21"/>
          <w:lang w:eastAsia="zh-CN"/>
          <w14:textFill>
            <w14:solidFill>
              <w14:schemeClr w14:val="tx1"/>
            </w14:solidFill>
          </w14:textFill>
        </w:rPr>
        <w:t>。</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在贮运和装卸过程中应避免与硬质、尖刺物体发生刮擦、碰撞。</w:t>
      </w:r>
    </w:p>
    <w:p>
      <w:pPr>
        <w:ind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4.1.6</w:t>
      </w:r>
      <w:bookmarkStart w:id="38" w:name="OLE_LINK40"/>
      <w:r>
        <w:rPr>
          <w:rFonts w:cs="Times New Roman"/>
          <w:b/>
          <w:bCs/>
          <w:color w:val="000000" w:themeColor="text1"/>
          <w:sz w:val="21"/>
          <w:lang w:eastAsia="zh-CN"/>
          <w14:textFill>
            <w14:solidFill>
              <w14:schemeClr w14:val="tx1"/>
            </w14:solidFill>
          </w14:textFill>
        </w:rPr>
        <w:t xml:space="preserve"> </w:t>
      </w:r>
      <w:bookmarkEnd w:id="38"/>
      <w:r>
        <w:rPr>
          <w:rFonts w:cs="Times New Roman"/>
          <w:color w:val="000000" w:themeColor="text1"/>
          <w:sz w:val="21"/>
          <w:lang w:eastAsia="zh-CN"/>
          <w14:textFill>
            <w14:solidFill>
              <w14:schemeClr w14:val="tx1"/>
            </w14:solidFill>
          </w14:textFill>
        </w:rPr>
        <w:t>施工设备的性能应满足工程需求，相关装置应系统配套、运行良好，经检验合格后方可使用，</w:t>
      </w:r>
      <w:r>
        <w:rPr>
          <w:rFonts w:hint="eastAsia" w:cs="Times New Roman"/>
          <w:color w:val="000000" w:themeColor="text1"/>
          <w:sz w:val="21"/>
          <w:lang w:eastAsia="zh-CN"/>
          <w14:textFill>
            <w14:solidFill>
              <w14:schemeClr w14:val="tx1"/>
            </w14:solidFill>
          </w14:textFill>
        </w:rPr>
        <w:t>并应</w:t>
      </w:r>
      <w:r>
        <w:rPr>
          <w:rFonts w:cs="Times New Roman"/>
          <w:color w:val="000000" w:themeColor="text1"/>
          <w:sz w:val="21"/>
          <w:lang w:eastAsia="zh-CN"/>
          <w14:textFill>
            <w14:solidFill>
              <w14:schemeClr w14:val="tx1"/>
            </w14:solidFill>
          </w14:textFill>
        </w:rPr>
        <w:t>符合</w:t>
      </w:r>
      <w:r>
        <w:rPr>
          <w:rFonts w:hint="eastAsia" w:cs="Times New Roman"/>
          <w:color w:val="000000" w:themeColor="text1"/>
          <w:sz w:val="21"/>
          <w:lang w:eastAsia="zh-CN"/>
          <w14:textFill>
            <w14:solidFill>
              <w14:schemeClr w14:val="tx1"/>
            </w14:solidFill>
          </w14:textFill>
        </w:rPr>
        <w:t>下列</w:t>
      </w:r>
      <w:r>
        <w:rPr>
          <w:rFonts w:cs="Times New Roman"/>
          <w:color w:val="000000" w:themeColor="text1"/>
          <w:sz w:val="21"/>
          <w:lang w:eastAsia="zh-CN"/>
          <w14:textFill>
            <w14:solidFill>
              <w14:schemeClr w14:val="tx1"/>
            </w14:solidFill>
          </w14:textFill>
        </w:rPr>
        <w:t>规定</w:t>
      </w:r>
      <w:r>
        <w:rPr>
          <w:rFonts w:hint="eastAsia" w:cs="Times New Roman"/>
          <w:color w:val="000000" w:themeColor="text1"/>
          <w:sz w:val="21"/>
          <w:lang w:eastAsia="zh-CN"/>
          <w14:textFill>
            <w14:solidFill>
              <w14:schemeClr w14:val="tx1"/>
            </w14:solidFill>
          </w14:textFill>
        </w:rPr>
        <w:t>：</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设备进场</w:t>
      </w:r>
      <w:r>
        <w:rPr>
          <w:rFonts w:hint="eastAsia" w:cs="Times New Roman"/>
          <w:color w:val="000000" w:themeColor="text1"/>
          <w:sz w:val="21"/>
          <w:lang w:eastAsia="zh-CN"/>
          <w14:textFill>
            <w14:solidFill>
              <w14:schemeClr w14:val="tx1"/>
            </w14:solidFill>
          </w14:textFill>
        </w:rPr>
        <w:t>后，应</w:t>
      </w:r>
      <w:r>
        <w:rPr>
          <w:rFonts w:cs="Times New Roman"/>
          <w:color w:val="000000" w:themeColor="text1"/>
          <w:sz w:val="21"/>
          <w:lang w:eastAsia="zh-CN"/>
          <w14:textFill>
            <w14:solidFill>
              <w14:schemeClr w14:val="tx1"/>
            </w14:solidFill>
          </w14:textFill>
        </w:rPr>
        <w:t>查验出厂合格证、检测报告等质量证明文件；涉及安全、节能、环保的设备应符合国家相关规定</w:t>
      </w:r>
      <w:r>
        <w:rPr>
          <w:rFonts w:hint="eastAsia" w:cs="Times New Roman"/>
          <w:color w:val="000000" w:themeColor="text1"/>
          <w:sz w:val="21"/>
          <w:lang w:eastAsia="zh-CN"/>
          <w14:textFill>
            <w14:solidFill>
              <w14:schemeClr w14:val="tx1"/>
            </w14:solidFill>
          </w14:textFill>
        </w:rPr>
        <w:t>；</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施工设备应根据工程特点合理选用，并应有总体布置方案；对于不宜间断的施工情况，应</w:t>
      </w:r>
      <w:r>
        <w:rPr>
          <w:rFonts w:hint="eastAsia" w:cs="Times New Roman"/>
          <w:color w:val="000000" w:themeColor="text1"/>
          <w:sz w:val="21"/>
          <w:lang w:eastAsia="zh-CN"/>
          <w14:textFill>
            <w14:solidFill>
              <w14:schemeClr w14:val="tx1"/>
            </w14:solidFill>
          </w14:textFill>
        </w:rPr>
        <w:t>配备</w:t>
      </w:r>
      <w:r>
        <w:rPr>
          <w:rFonts w:cs="Times New Roman"/>
          <w:color w:val="000000" w:themeColor="text1"/>
          <w:sz w:val="21"/>
          <w:lang w:eastAsia="zh-CN"/>
          <w14:textFill>
            <w14:solidFill>
              <w14:schemeClr w14:val="tx1"/>
            </w14:solidFill>
          </w14:textFill>
        </w:rPr>
        <w:t>满足施工要求的</w:t>
      </w:r>
      <w:r>
        <w:rPr>
          <w:rFonts w:hint="eastAsia" w:cs="Times New Roman"/>
          <w:color w:val="000000" w:themeColor="text1"/>
          <w:sz w:val="21"/>
          <w:lang w:eastAsia="zh-CN"/>
          <w14:textFill>
            <w14:solidFill>
              <w14:schemeClr w14:val="tx1"/>
            </w14:solidFill>
          </w14:textFill>
        </w:rPr>
        <w:t>备品和备件</w:t>
      </w:r>
      <w:r>
        <w:rPr>
          <w:rFonts w:cs="Times New Roman"/>
          <w:color w:val="000000" w:themeColor="text1"/>
          <w:sz w:val="21"/>
          <w:lang w:eastAsia="zh-CN"/>
          <w14:textFill>
            <w14:solidFill>
              <w14:schemeClr w14:val="tx1"/>
            </w14:solidFill>
          </w14:textFill>
        </w:rPr>
        <w:t xml:space="preserve">； </w:t>
      </w:r>
    </w:p>
    <w:p>
      <w:pPr>
        <w:pStyle w:val="3"/>
        <w:ind w:firstLine="560"/>
      </w:pPr>
      <w:bookmarkStart w:id="39" w:name="_Toc196915204"/>
      <w:r>
        <w:rPr>
          <w:rFonts w:hint="eastAsia"/>
        </w:rPr>
        <w:t>4.2</w:t>
      </w:r>
      <w:r>
        <w:t xml:space="preserve"> </w:t>
      </w:r>
      <w:r>
        <w:rPr>
          <w:rFonts w:hint="eastAsia"/>
        </w:rPr>
        <w:t>预处理材料</w:t>
      </w:r>
      <w:bookmarkEnd w:id="39"/>
    </w:p>
    <w:p>
      <w:pPr>
        <w:widowControl w:val="0"/>
        <w:kinsoku/>
        <w:autoSpaceDE/>
        <w:autoSpaceDN/>
        <w:adjustRightInd/>
        <w:snapToGrid/>
        <w:ind w:firstLine="420"/>
        <w:jc w:val="center"/>
        <w:textAlignment w:val="auto"/>
        <w:rPr>
          <w:rFonts w:cs="Times New Roman"/>
          <w:snapToGrid/>
          <w:color w:val="auto"/>
          <w:kern w:val="2"/>
          <w:sz w:val="21"/>
          <w:lang w:eastAsia="zh-CN"/>
        </w:rPr>
      </w:pPr>
      <w:r>
        <w:rPr>
          <w:rFonts w:cs="Times New Roman"/>
          <w:snapToGrid/>
          <w:color w:val="auto"/>
          <w:kern w:val="2"/>
          <w:sz w:val="21"/>
          <w:lang w:eastAsia="zh-CN"/>
        </w:rPr>
        <w:t>Ⅰ 土体注浆法</w:t>
      </w:r>
    </w:p>
    <w:p>
      <w:pPr>
        <w:ind w:firstLine="422"/>
        <w:rPr>
          <w:rFonts w:cs="Times New Roman"/>
          <w:color w:val="auto"/>
          <w:sz w:val="21"/>
          <w:lang w:eastAsia="zh-CN"/>
        </w:rPr>
      </w:pPr>
      <w:r>
        <w:rPr>
          <w:rFonts w:hint="eastAsia" w:cs="Times New Roman"/>
          <w:b/>
          <w:bCs/>
          <w:color w:val="auto"/>
          <w:sz w:val="21"/>
          <w:lang w:eastAsia="zh-CN"/>
        </w:rPr>
        <w:t>4.2</w:t>
      </w:r>
      <w:r>
        <w:rPr>
          <w:rFonts w:cs="Times New Roman"/>
          <w:b/>
          <w:bCs/>
          <w:color w:val="auto"/>
          <w:sz w:val="21"/>
          <w:lang w:eastAsia="zh-CN"/>
        </w:rPr>
        <w:t>.1</w:t>
      </w:r>
      <w:r>
        <w:rPr>
          <w:rFonts w:cs="Times New Roman"/>
          <w:color w:val="auto"/>
          <w:sz w:val="21"/>
          <w:lang w:eastAsia="zh-CN"/>
        </w:rPr>
        <w:t xml:space="preserve"> 土体注浆法可采用水泥基类、硅化浆液或高聚物材料对管道</w:t>
      </w:r>
      <w:r>
        <w:rPr>
          <w:rFonts w:hint="eastAsia" w:cs="Times New Roman"/>
          <w:color w:val="auto"/>
          <w:sz w:val="21"/>
          <w:lang w:eastAsia="zh-CN"/>
        </w:rPr>
        <w:t>（</w:t>
      </w:r>
      <w:r>
        <w:rPr>
          <w:rFonts w:cs="Times New Roman"/>
          <w:color w:val="auto"/>
          <w:sz w:val="21"/>
          <w:lang w:eastAsia="zh-CN"/>
        </w:rPr>
        <w:t>渠</w:t>
      </w:r>
      <w:r>
        <w:rPr>
          <w:rFonts w:hint="eastAsia" w:cs="Times New Roman"/>
          <w:color w:val="auto"/>
          <w:sz w:val="21"/>
          <w:lang w:eastAsia="zh-CN"/>
        </w:rPr>
        <w:t>）</w:t>
      </w:r>
      <w:r>
        <w:rPr>
          <w:rFonts w:cs="Times New Roman"/>
          <w:color w:val="auto"/>
          <w:sz w:val="21"/>
          <w:lang w:eastAsia="zh-CN"/>
        </w:rPr>
        <w:t>周边土体进行加固和止水。</w:t>
      </w:r>
    </w:p>
    <w:p>
      <w:pPr>
        <w:ind w:firstLine="422"/>
        <w:rPr>
          <w:rFonts w:cs="Times New Roman"/>
          <w:color w:val="auto"/>
          <w:sz w:val="21"/>
          <w:lang w:eastAsia="zh-CN"/>
        </w:rPr>
      </w:pPr>
      <w:bookmarkStart w:id="40" w:name="OLE_LINK44"/>
      <w:r>
        <w:rPr>
          <w:rFonts w:hint="eastAsia" w:cs="Times New Roman"/>
          <w:b/>
          <w:bCs/>
          <w:color w:val="auto"/>
          <w:sz w:val="21"/>
          <w:lang w:eastAsia="zh-CN"/>
        </w:rPr>
        <w:t>4.2</w:t>
      </w:r>
      <w:r>
        <w:rPr>
          <w:rFonts w:cs="Times New Roman"/>
          <w:b/>
          <w:bCs/>
          <w:color w:val="auto"/>
          <w:sz w:val="21"/>
          <w:lang w:eastAsia="zh-CN"/>
        </w:rPr>
        <w:t>.2</w:t>
      </w:r>
      <w:bookmarkEnd w:id="40"/>
      <w:r>
        <w:rPr>
          <w:rFonts w:cs="Times New Roman"/>
          <w:b/>
          <w:bCs/>
          <w:color w:val="auto"/>
          <w:sz w:val="21"/>
          <w:lang w:eastAsia="zh-CN"/>
        </w:rPr>
        <w:t xml:space="preserve"> </w:t>
      </w:r>
      <w:r>
        <w:rPr>
          <w:rFonts w:cs="Times New Roman"/>
          <w:color w:val="auto"/>
          <w:sz w:val="21"/>
          <w:lang w:eastAsia="zh-CN"/>
        </w:rPr>
        <w:t>土体注浆加固设计、施工及质量检验应符合现行行业标准</w:t>
      </w:r>
      <w:bookmarkStart w:id="41" w:name="OLE_LINK120"/>
      <w:r>
        <w:rPr>
          <w:rFonts w:cs="Times New Roman"/>
          <w:color w:val="auto"/>
          <w:sz w:val="21"/>
          <w:lang w:eastAsia="zh-CN"/>
        </w:rPr>
        <w:t>《建筑地基处理技术规范》JGJ 79</w:t>
      </w:r>
      <w:bookmarkEnd w:id="41"/>
      <w:r>
        <w:rPr>
          <w:rFonts w:cs="Times New Roman"/>
          <w:color w:val="auto"/>
          <w:sz w:val="21"/>
          <w:lang w:eastAsia="zh-CN"/>
        </w:rPr>
        <w:t xml:space="preserve">的相关规定。注浆材料使用范围应符合表 </w:t>
      </w:r>
      <w:r>
        <w:rPr>
          <w:rFonts w:hint="eastAsia" w:cs="Times New Roman"/>
          <w:color w:val="auto"/>
          <w:sz w:val="21"/>
          <w:lang w:eastAsia="zh-CN"/>
        </w:rPr>
        <w:t>4.2</w:t>
      </w:r>
      <w:r>
        <w:rPr>
          <w:rFonts w:cs="Times New Roman"/>
          <w:color w:val="auto"/>
          <w:sz w:val="21"/>
          <w:lang w:eastAsia="zh-CN"/>
        </w:rPr>
        <w:t>.2 的规定。</w:t>
      </w:r>
    </w:p>
    <w:p>
      <w:pPr>
        <w:keepNext/>
        <w:ind w:firstLine="422"/>
        <w:jc w:val="center"/>
        <w:rPr>
          <w:rFonts w:cs="Times New Roman"/>
          <w:b/>
          <w:bCs/>
          <w:sz w:val="21"/>
          <w:lang w:eastAsia="zh-CN"/>
        </w:rPr>
      </w:pPr>
      <w:r>
        <w:rPr>
          <w:rFonts w:cs="Times New Roman"/>
          <w:b/>
          <w:bCs/>
          <w:sz w:val="21"/>
          <w:lang w:eastAsia="zh-CN"/>
        </w:rPr>
        <w:t xml:space="preserve">表 </w:t>
      </w:r>
      <w:r>
        <w:rPr>
          <w:rFonts w:hint="eastAsia" w:cs="Times New Roman"/>
          <w:b/>
          <w:bCs/>
          <w:sz w:val="21"/>
          <w:lang w:eastAsia="zh-CN"/>
        </w:rPr>
        <w:t>4.2</w:t>
      </w:r>
      <w:r>
        <w:rPr>
          <w:rFonts w:cs="Times New Roman"/>
          <w:b/>
          <w:bCs/>
          <w:sz w:val="21"/>
          <w:lang w:eastAsia="zh-CN"/>
        </w:rPr>
        <w:t>.2 注浆材料适用范围</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316"/>
        <w:gridCol w:w="5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2" w:type="dxa"/>
            <w:gridSpan w:val="2"/>
            <w:vAlign w:val="center"/>
          </w:tcPr>
          <w:p>
            <w:pPr>
              <w:spacing w:line="240" w:lineRule="auto"/>
              <w:ind w:firstLine="0" w:firstLineChars="0"/>
              <w:jc w:val="center"/>
              <w:rPr>
                <w:rFonts w:cs="Times New Roman" w:asciiTheme="minorHAnsi" w:hAnsiTheme="minorHAnsi" w:eastAsiaTheme="minorEastAsia"/>
                <w:color w:val="auto"/>
                <w:sz w:val="21"/>
                <w:lang w:eastAsia="zh-CN"/>
                <w14:ligatures w14:val="standardContextual"/>
              </w:rPr>
            </w:pPr>
            <w:r>
              <w:rPr>
                <w:rFonts w:cs="Times New Roman" w:asciiTheme="minorHAnsi" w:hAnsiTheme="minorHAnsi" w:eastAsiaTheme="minorEastAsia"/>
                <w:color w:val="auto"/>
                <w:sz w:val="21"/>
                <w:lang w:eastAsia="zh-CN"/>
                <w14:ligatures w14:val="standardContextual"/>
              </w:rPr>
              <w:t>注浆材料</w:t>
            </w:r>
          </w:p>
        </w:tc>
        <w:tc>
          <w:tcPr>
            <w:tcW w:w="5924" w:type="dxa"/>
            <w:vAlign w:val="center"/>
          </w:tcPr>
          <w:p>
            <w:pPr>
              <w:spacing w:line="240" w:lineRule="auto"/>
              <w:ind w:firstLine="0" w:firstLineChars="0"/>
              <w:jc w:val="center"/>
              <w:rPr>
                <w:rFonts w:cs="Times New Roman" w:asciiTheme="minorHAnsi" w:hAnsiTheme="minorHAnsi" w:eastAsiaTheme="minorEastAsia"/>
                <w:color w:val="auto"/>
                <w:sz w:val="21"/>
                <w:lang w:eastAsia="zh-CN"/>
                <w14:ligatures w14:val="standardContextual"/>
              </w:rPr>
            </w:pPr>
            <w:r>
              <w:rPr>
                <w:rFonts w:cs="Times New Roman" w:asciiTheme="minorHAnsi" w:hAnsiTheme="minorHAnsi" w:eastAsiaTheme="minorEastAsia"/>
                <w:color w:val="auto"/>
                <w:sz w:val="21"/>
                <w:lang w:eastAsia="zh-CN"/>
                <w14:ligatures w14:val="standardContextual"/>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2" w:type="dxa"/>
            <w:gridSpan w:val="2"/>
            <w:vAlign w:val="center"/>
          </w:tcPr>
          <w:p>
            <w:pPr>
              <w:spacing w:line="240" w:lineRule="auto"/>
              <w:ind w:firstLine="0" w:firstLineChars="0"/>
              <w:jc w:val="center"/>
              <w:rPr>
                <w:rFonts w:cs="Times New Roman" w:asciiTheme="minorHAnsi" w:hAnsiTheme="minorHAnsi" w:eastAsiaTheme="minorEastAsia"/>
                <w:color w:val="auto"/>
                <w:sz w:val="21"/>
                <w:lang w:eastAsia="zh-CN"/>
                <w14:ligatures w14:val="standardContextual"/>
              </w:rPr>
            </w:pPr>
            <w:r>
              <w:rPr>
                <w:rFonts w:cs="Times New Roman" w:asciiTheme="minorHAnsi" w:hAnsiTheme="minorHAnsi" w:eastAsiaTheme="minorEastAsia"/>
                <w:color w:val="auto"/>
                <w:sz w:val="21"/>
                <w:lang w:eastAsia="zh-CN"/>
                <w14:ligatures w14:val="standardContextual"/>
              </w:rPr>
              <w:t>水泥基类浆液</w:t>
            </w:r>
          </w:p>
        </w:tc>
        <w:tc>
          <w:tcPr>
            <w:tcW w:w="5924" w:type="dxa"/>
            <w:vAlign w:val="center"/>
          </w:tcPr>
          <w:p>
            <w:pPr>
              <w:spacing w:line="240" w:lineRule="auto"/>
              <w:ind w:firstLine="0" w:firstLineChars="0"/>
              <w:jc w:val="center"/>
              <w:rPr>
                <w:rFonts w:cs="Times New Roman" w:asciiTheme="minorHAnsi" w:hAnsiTheme="minorHAnsi" w:eastAsiaTheme="minorEastAsia"/>
                <w:color w:val="auto"/>
                <w:sz w:val="21"/>
                <w:lang w:eastAsia="zh-CN"/>
                <w14:ligatures w14:val="standardContextual"/>
              </w:rPr>
            </w:pPr>
            <w:r>
              <w:rPr>
                <w:rFonts w:cs="Times New Roman" w:asciiTheme="minorHAnsi" w:hAnsiTheme="minorHAnsi" w:eastAsiaTheme="minorEastAsia"/>
                <w:color w:val="auto"/>
                <w:sz w:val="21"/>
                <w:lang w:eastAsia="zh-CN"/>
                <w14:ligatures w14:val="standardContextual"/>
              </w:rPr>
              <w:t>适用于软土地基处理；有地下水流动的软基不应采用单液水泥浆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restart"/>
            <w:vAlign w:val="center"/>
          </w:tcPr>
          <w:p>
            <w:pPr>
              <w:spacing w:line="240" w:lineRule="auto"/>
              <w:ind w:firstLine="0" w:firstLineChars="0"/>
              <w:jc w:val="center"/>
              <w:rPr>
                <w:rFonts w:cs="Times New Roman" w:asciiTheme="minorHAnsi" w:hAnsiTheme="minorHAnsi" w:eastAsiaTheme="minorEastAsia"/>
                <w:color w:val="auto"/>
                <w:sz w:val="21"/>
                <w:lang w:eastAsia="zh-CN"/>
                <w14:ligatures w14:val="standardContextual"/>
              </w:rPr>
            </w:pPr>
            <w:r>
              <w:rPr>
                <w:rFonts w:cs="Times New Roman" w:asciiTheme="minorHAnsi" w:hAnsiTheme="minorHAnsi" w:eastAsiaTheme="minorEastAsia"/>
                <w:color w:val="auto"/>
                <w:sz w:val="21"/>
                <w:lang w:eastAsia="zh-CN"/>
                <w14:ligatures w14:val="standardContextual"/>
              </w:rPr>
              <w:t>硅化浆液</w:t>
            </w:r>
          </w:p>
        </w:tc>
        <w:tc>
          <w:tcPr>
            <w:tcW w:w="1316" w:type="dxa"/>
            <w:vAlign w:val="center"/>
          </w:tcPr>
          <w:p>
            <w:pPr>
              <w:spacing w:line="240" w:lineRule="auto"/>
              <w:ind w:firstLine="0" w:firstLineChars="0"/>
              <w:jc w:val="center"/>
              <w:rPr>
                <w:rFonts w:cs="Times New Roman" w:asciiTheme="minorHAnsi" w:hAnsiTheme="minorHAnsi" w:eastAsiaTheme="minorEastAsia"/>
                <w:color w:val="auto"/>
                <w:sz w:val="21"/>
                <w:lang w:eastAsia="zh-CN"/>
                <w14:ligatures w14:val="standardContextual"/>
              </w:rPr>
            </w:pPr>
            <w:r>
              <w:rPr>
                <w:rFonts w:cs="Times New Roman" w:asciiTheme="minorHAnsi" w:hAnsiTheme="minorHAnsi" w:eastAsiaTheme="minorEastAsia"/>
                <w:color w:val="auto"/>
                <w:sz w:val="21"/>
                <w:lang w:eastAsia="zh-CN"/>
                <w14:ligatures w14:val="standardContextual"/>
              </w:rPr>
              <w:t>双液硅化法</w:t>
            </w:r>
          </w:p>
        </w:tc>
        <w:tc>
          <w:tcPr>
            <w:tcW w:w="5924" w:type="dxa"/>
            <w:vAlign w:val="center"/>
          </w:tcPr>
          <w:p>
            <w:pPr>
              <w:spacing w:line="240" w:lineRule="auto"/>
              <w:ind w:firstLine="0" w:firstLineChars="0"/>
              <w:jc w:val="center"/>
              <w:rPr>
                <w:rFonts w:cs="Times New Roman" w:asciiTheme="minorHAnsi" w:hAnsiTheme="minorHAnsi" w:eastAsiaTheme="minorEastAsia"/>
                <w:color w:val="auto"/>
                <w:sz w:val="21"/>
                <w:lang w:eastAsia="zh-CN"/>
                <w14:ligatures w14:val="standardContextual"/>
              </w:rPr>
            </w:pPr>
            <w:r>
              <w:rPr>
                <w:rFonts w:cs="Times New Roman" w:asciiTheme="minorHAnsi" w:hAnsiTheme="minorHAnsi" w:eastAsiaTheme="minorEastAsia"/>
                <w:color w:val="auto"/>
                <w:sz w:val="21"/>
                <w:lang w:eastAsia="zh-CN"/>
                <w14:ligatures w14:val="standardContextual"/>
              </w:rPr>
              <w:t>适用于加固粗砂、中砂、细砂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vAlign w:val="center"/>
          </w:tcPr>
          <w:p>
            <w:pPr>
              <w:spacing w:line="240" w:lineRule="auto"/>
              <w:ind w:firstLine="420"/>
              <w:jc w:val="center"/>
              <w:rPr>
                <w:rFonts w:cs="Times New Roman" w:asciiTheme="minorHAnsi" w:hAnsiTheme="minorHAnsi" w:eastAsiaTheme="minorEastAsia"/>
                <w:color w:val="auto"/>
                <w:sz w:val="21"/>
                <w:lang w:eastAsia="zh-CN"/>
                <w14:ligatures w14:val="standardContextual"/>
              </w:rPr>
            </w:pPr>
          </w:p>
        </w:tc>
        <w:tc>
          <w:tcPr>
            <w:tcW w:w="1316" w:type="dxa"/>
            <w:vAlign w:val="center"/>
          </w:tcPr>
          <w:p>
            <w:pPr>
              <w:spacing w:line="240" w:lineRule="auto"/>
              <w:ind w:firstLine="0" w:firstLineChars="0"/>
              <w:jc w:val="center"/>
              <w:rPr>
                <w:rFonts w:cs="Times New Roman" w:asciiTheme="minorHAnsi" w:hAnsiTheme="minorHAnsi" w:eastAsiaTheme="minorEastAsia"/>
                <w:color w:val="auto"/>
                <w:sz w:val="21"/>
                <w:lang w:eastAsia="zh-CN"/>
                <w14:ligatures w14:val="standardContextual"/>
              </w:rPr>
            </w:pPr>
            <w:r>
              <w:rPr>
                <w:rFonts w:cs="Times New Roman" w:asciiTheme="minorHAnsi" w:hAnsiTheme="minorHAnsi" w:eastAsiaTheme="minorEastAsia"/>
                <w:color w:val="auto"/>
                <w:sz w:val="21"/>
                <w:lang w:eastAsia="zh-CN"/>
                <w14:ligatures w14:val="standardContextual"/>
              </w:rPr>
              <w:t>单液硅化法</w:t>
            </w:r>
          </w:p>
        </w:tc>
        <w:tc>
          <w:tcPr>
            <w:tcW w:w="5924" w:type="dxa"/>
            <w:vAlign w:val="center"/>
          </w:tcPr>
          <w:p>
            <w:pPr>
              <w:spacing w:line="240" w:lineRule="auto"/>
              <w:ind w:firstLine="0" w:firstLineChars="0"/>
              <w:jc w:val="center"/>
              <w:rPr>
                <w:rFonts w:cs="Times New Roman" w:asciiTheme="minorHAnsi" w:hAnsiTheme="minorHAnsi" w:eastAsiaTheme="minorEastAsia"/>
                <w:color w:val="auto"/>
                <w:sz w:val="21"/>
                <w:lang w:eastAsia="zh-CN"/>
                <w14:ligatures w14:val="standardContextual"/>
              </w:rPr>
            </w:pPr>
            <w:r>
              <w:rPr>
                <w:rFonts w:cs="Times New Roman" w:asciiTheme="minorHAnsi" w:hAnsiTheme="minorHAnsi" w:eastAsiaTheme="minorEastAsia"/>
                <w:color w:val="auto"/>
                <w:sz w:val="21"/>
                <w:lang w:eastAsia="zh-CN"/>
                <w14:ligatures w14:val="standardContextual"/>
              </w:rPr>
              <w:t>适用于加固粉砂、黄土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2" w:type="dxa"/>
            <w:gridSpan w:val="2"/>
            <w:vAlign w:val="center"/>
          </w:tcPr>
          <w:p>
            <w:pPr>
              <w:spacing w:line="240" w:lineRule="auto"/>
              <w:ind w:firstLine="0" w:firstLineChars="0"/>
              <w:jc w:val="center"/>
              <w:rPr>
                <w:rFonts w:cs="Times New Roman" w:asciiTheme="minorHAnsi" w:hAnsiTheme="minorHAnsi" w:eastAsiaTheme="minorEastAsia"/>
                <w:color w:val="auto"/>
                <w:sz w:val="21"/>
                <w:lang w:eastAsia="zh-CN"/>
                <w14:ligatures w14:val="standardContextual"/>
              </w:rPr>
            </w:pPr>
            <w:r>
              <w:rPr>
                <w:rFonts w:cs="Times New Roman" w:asciiTheme="minorHAnsi" w:hAnsiTheme="minorHAnsi" w:eastAsiaTheme="minorEastAsia"/>
                <w:color w:val="auto"/>
                <w:sz w:val="21"/>
                <w:lang w:eastAsia="zh-CN"/>
                <w14:ligatures w14:val="standardContextual"/>
              </w:rPr>
              <w:t>高聚物材料</w:t>
            </w:r>
          </w:p>
        </w:tc>
        <w:tc>
          <w:tcPr>
            <w:tcW w:w="5924" w:type="dxa"/>
            <w:vAlign w:val="center"/>
          </w:tcPr>
          <w:p>
            <w:pPr>
              <w:spacing w:line="240" w:lineRule="auto"/>
              <w:ind w:firstLine="0" w:firstLineChars="0"/>
              <w:jc w:val="center"/>
              <w:rPr>
                <w:rFonts w:cs="Times New Roman" w:asciiTheme="minorHAnsi" w:hAnsiTheme="minorHAnsi" w:eastAsiaTheme="minorEastAsia"/>
                <w:color w:val="auto"/>
                <w:sz w:val="21"/>
                <w:lang w:eastAsia="zh-CN"/>
                <w14:ligatures w14:val="standardContextual"/>
              </w:rPr>
            </w:pPr>
            <w:r>
              <w:rPr>
                <w:rFonts w:cs="Times New Roman" w:asciiTheme="minorHAnsi" w:hAnsiTheme="minorHAnsi" w:eastAsiaTheme="minorEastAsia"/>
                <w:color w:val="auto"/>
                <w:sz w:val="21"/>
                <w:lang w:eastAsia="zh-CN"/>
                <w14:ligatures w14:val="standardContextual"/>
              </w:rPr>
              <w:t>适用于填充加固各类土体及结构本体与土体脱空；修复管道渗漏、管道沉降等</w:t>
            </w:r>
          </w:p>
        </w:tc>
      </w:tr>
    </w:tbl>
    <w:p>
      <w:pPr>
        <w:ind w:firstLine="422"/>
        <w:rPr>
          <w:rFonts w:cs="Times New Roman"/>
          <w:sz w:val="21"/>
          <w:lang w:eastAsia="zh-CN"/>
        </w:rPr>
      </w:pPr>
      <w:r>
        <w:rPr>
          <w:rFonts w:hint="eastAsia" w:cs="Times New Roman"/>
          <w:b/>
          <w:bCs/>
          <w:color w:val="auto"/>
          <w:sz w:val="21"/>
          <w:lang w:eastAsia="zh-CN"/>
        </w:rPr>
        <w:t>4.2</w:t>
      </w:r>
      <w:r>
        <w:rPr>
          <w:rFonts w:cs="Times New Roman"/>
          <w:b/>
          <w:bCs/>
          <w:color w:val="auto"/>
          <w:sz w:val="21"/>
          <w:lang w:eastAsia="zh-CN"/>
        </w:rPr>
        <w:t>.</w:t>
      </w:r>
      <w:r>
        <w:rPr>
          <w:rFonts w:hint="eastAsia" w:cs="Times New Roman"/>
          <w:b/>
          <w:bCs/>
          <w:color w:val="auto"/>
          <w:sz w:val="21"/>
          <w:lang w:eastAsia="zh-CN"/>
        </w:rPr>
        <w:t>3</w:t>
      </w:r>
      <w:r>
        <w:rPr>
          <w:rFonts w:cs="Times New Roman"/>
          <w:color w:val="auto"/>
          <w:sz w:val="21"/>
          <w:lang w:eastAsia="zh-CN"/>
        </w:rPr>
        <w:t xml:space="preserve"> </w:t>
      </w:r>
      <w:r>
        <w:rPr>
          <w:rFonts w:cs="Times New Roman"/>
          <w:sz w:val="21"/>
          <w:lang w:eastAsia="zh-CN"/>
        </w:rPr>
        <w:t>对井周土体塌陷或软土地基进行注浆加固或堵漏时，注浆材料应符合下列规定：</w:t>
      </w:r>
    </w:p>
    <w:p>
      <w:pPr>
        <w:ind w:left="418" w:firstLine="422"/>
        <w:rPr>
          <w:rFonts w:cs="Times New Roman"/>
          <w:sz w:val="21"/>
          <w:lang w:eastAsia="zh-CN"/>
        </w:rPr>
      </w:pPr>
      <w:r>
        <w:rPr>
          <w:rFonts w:cs="Times New Roman"/>
          <w:b/>
          <w:bCs/>
          <w:sz w:val="21"/>
          <w:lang w:eastAsia="zh-CN"/>
        </w:rPr>
        <w:t>1</w:t>
      </w:r>
      <w:r>
        <w:rPr>
          <w:rFonts w:cs="Times New Roman"/>
          <w:sz w:val="21"/>
          <w:lang w:eastAsia="zh-CN"/>
        </w:rPr>
        <w:t xml:space="preserve"> 注浆材料应具有快硬早强特性；</w:t>
      </w:r>
    </w:p>
    <w:p>
      <w:pPr>
        <w:ind w:left="418" w:firstLine="422"/>
        <w:rPr>
          <w:rFonts w:cs="Times New Roman"/>
          <w:sz w:val="21"/>
          <w:lang w:eastAsia="zh-CN"/>
        </w:rPr>
      </w:pPr>
      <w:r>
        <w:rPr>
          <w:rFonts w:cs="Times New Roman"/>
          <w:b/>
          <w:bCs/>
          <w:sz w:val="21"/>
          <w:lang w:eastAsia="zh-CN"/>
        </w:rPr>
        <w:t>2</w:t>
      </w:r>
      <w:r>
        <w:rPr>
          <w:rFonts w:cs="Times New Roman"/>
          <w:sz w:val="21"/>
          <w:lang w:eastAsia="zh-CN"/>
        </w:rPr>
        <w:t xml:space="preserve"> 现场配制时</w:t>
      </w:r>
      <w:r>
        <w:rPr>
          <w:rFonts w:hint="eastAsia" w:cs="Times New Roman"/>
          <w:sz w:val="21"/>
          <w:lang w:eastAsia="zh-CN"/>
        </w:rPr>
        <w:t>，</w:t>
      </w:r>
      <w:r>
        <w:rPr>
          <w:rFonts w:cs="Times New Roman"/>
          <w:sz w:val="21"/>
          <w:lang w:eastAsia="zh-CN"/>
        </w:rPr>
        <w:t>注浆材料宜选用</w:t>
      </w:r>
      <w:r>
        <w:rPr>
          <w:rFonts w:cs="Times New Roman"/>
          <w:color w:val="auto"/>
          <w:sz w:val="21"/>
          <w:lang w:eastAsia="zh-CN"/>
        </w:rPr>
        <w:t xml:space="preserve">P·O </w:t>
      </w:r>
      <w:r>
        <w:rPr>
          <w:rFonts w:cs="Times New Roman"/>
          <w:sz w:val="21"/>
          <w:lang w:eastAsia="zh-CN"/>
        </w:rPr>
        <w:t>42.5级及以上强度等级水泥并添加水玻璃配制而成，水玻璃用量宜为水泥用量的0.5%</w:t>
      </w:r>
      <w:r>
        <w:rPr>
          <w:rFonts w:hint="eastAsia" w:cs="Times New Roman"/>
          <w:sz w:val="21"/>
          <w:lang w:eastAsia="zh-CN"/>
        </w:rPr>
        <w:t xml:space="preserve"> </w:t>
      </w:r>
      <w:r>
        <w:rPr>
          <w:rFonts w:cs="Times New Roman"/>
          <w:sz w:val="21"/>
          <w:lang w:eastAsia="zh-CN"/>
        </w:rPr>
        <w:t>~</w:t>
      </w:r>
      <w:r>
        <w:rPr>
          <w:rFonts w:hint="eastAsia" w:cs="Times New Roman"/>
          <w:sz w:val="21"/>
          <w:lang w:eastAsia="zh-CN"/>
        </w:rPr>
        <w:t xml:space="preserve"> </w:t>
      </w:r>
      <w:r>
        <w:rPr>
          <w:rFonts w:cs="Times New Roman"/>
          <w:sz w:val="21"/>
          <w:lang w:eastAsia="zh-CN"/>
        </w:rPr>
        <w:t>3.0%；</w:t>
      </w:r>
    </w:p>
    <w:p>
      <w:pPr>
        <w:ind w:left="418" w:firstLine="422"/>
        <w:rPr>
          <w:rFonts w:cs="Times New Roman"/>
          <w:sz w:val="21"/>
          <w:lang w:eastAsia="zh-CN"/>
        </w:rPr>
      </w:pPr>
      <w:r>
        <w:rPr>
          <w:rFonts w:cs="Times New Roman"/>
          <w:b/>
          <w:bCs/>
          <w:sz w:val="21"/>
          <w:lang w:eastAsia="zh-CN"/>
        </w:rPr>
        <w:t>3</w:t>
      </w:r>
      <w:r>
        <w:rPr>
          <w:rFonts w:cs="Times New Roman"/>
          <w:sz w:val="21"/>
          <w:lang w:eastAsia="zh-CN"/>
        </w:rPr>
        <w:t xml:space="preserve"> 注浆工艺和有效加固范围应满足注浆体的防渗、强度、变形、稳定性要求，注浆工艺参数宜通过现场试验或根据工程经验确定；</w:t>
      </w:r>
    </w:p>
    <w:p>
      <w:pPr>
        <w:ind w:left="418" w:firstLine="422"/>
        <w:rPr>
          <w:rFonts w:cs="Times New Roman"/>
          <w:sz w:val="21"/>
          <w:lang w:eastAsia="zh-CN"/>
        </w:rPr>
      </w:pPr>
      <w:r>
        <w:rPr>
          <w:rFonts w:cs="Times New Roman"/>
          <w:b/>
          <w:bCs/>
          <w:sz w:val="21"/>
          <w:lang w:eastAsia="zh-CN"/>
        </w:rPr>
        <w:t>4</w:t>
      </w:r>
      <w:r>
        <w:rPr>
          <w:rFonts w:cs="Times New Roman"/>
          <w:sz w:val="21"/>
          <w:lang w:eastAsia="zh-CN"/>
        </w:rPr>
        <w:t xml:space="preserve"> 注浆量应根据地基土性质、浆液的渗透性以及对周边环境影响等因素确定；</w:t>
      </w:r>
    </w:p>
    <w:p>
      <w:pPr>
        <w:ind w:left="418" w:firstLine="422"/>
        <w:rPr>
          <w:rFonts w:cs="Times New Roman"/>
          <w:sz w:val="21"/>
          <w:lang w:eastAsia="zh-CN"/>
        </w:rPr>
      </w:pPr>
      <w:r>
        <w:rPr>
          <w:rFonts w:cs="Times New Roman"/>
          <w:b/>
          <w:bCs/>
          <w:sz w:val="21"/>
          <w:lang w:eastAsia="zh-CN"/>
        </w:rPr>
        <w:t>5</w:t>
      </w:r>
      <w:r>
        <w:rPr>
          <w:rFonts w:cs="Times New Roman"/>
          <w:sz w:val="21"/>
          <w:lang w:eastAsia="zh-CN"/>
        </w:rPr>
        <w:t xml:space="preserve"> 注浆压力应根据土层性质、埋深或浆液材料的稠度确定注浆压力应确保达到设计的浆液扩散范围，并不得对周边设施造成损坏。</w:t>
      </w:r>
    </w:p>
    <w:p>
      <w:pPr>
        <w:ind w:firstLine="420"/>
        <w:jc w:val="center"/>
        <w:rPr>
          <w:rFonts w:cs="Times New Roman"/>
          <w:color w:val="auto"/>
          <w:sz w:val="21"/>
          <w:lang w:eastAsia="zh-CN"/>
        </w:rPr>
      </w:pPr>
      <w:r>
        <w:rPr>
          <w:rFonts w:cs="Times New Roman"/>
          <w:color w:val="auto"/>
          <w:sz w:val="21"/>
          <w:lang w:eastAsia="zh-CN"/>
        </w:rPr>
        <w:t>Ⅱ 裂缝嵌补</w:t>
      </w:r>
      <w:r>
        <w:rPr>
          <w:rFonts w:hint="eastAsia" w:cs="Times New Roman"/>
          <w:color w:val="auto"/>
          <w:sz w:val="21"/>
          <w:lang w:eastAsia="zh-CN"/>
        </w:rPr>
        <w:t>法</w:t>
      </w:r>
    </w:p>
    <w:p>
      <w:pPr>
        <w:ind w:firstLine="422"/>
        <w:rPr>
          <w:rFonts w:cs="Times New Roman"/>
          <w:color w:val="auto"/>
          <w:sz w:val="21"/>
          <w:lang w:eastAsia="zh-CN"/>
        </w:rPr>
      </w:pPr>
      <w:r>
        <w:rPr>
          <w:rFonts w:hint="eastAsia" w:cs="Times New Roman"/>
          <w:b/>
          <w:bCs/>
          <w:color w:val="auto"/>
          <w:sz w:val="21"/>
          <w:lang w:eastAsia="zh-CN"/>
        </w:rPr>
        <w:t>4.2</w:t>
      </w:r>
      <w:r>
        <w:rPr>
          <w:rFonts w:cs="Times New Roman"/>
          <w:b/>
          <w:bCs/>
          <w:color w:val="auto"/>
          <w:sz w:val="21"/>
          <w:lang w:eastAsia="zh-CN"/>
        </w:rPr>
        <w:t>.</w:t>
      </w:r>
      <w:r>
        <w:rPr>
          <w:rFonts w:hint="eastAsia" w:cs="Times New Roman"/>
          <w:b/>
          <w:bCs/>
          <w:color w:val="auto"/>
          <w:sz w:val="21"/>
          <w:lang w:eastAsia="zh-CN"/>
        </w:rPr>
        <w:t>4</w:t>
      </w:r>
      <w:r>
        <w:rPr>
          <w:rFonts w:cs="Times New Roman"/>
          <w:color w:val="auto"/>
          <w:sz w:val="21"/>
          <w:lang w:eastAsia="zh-CN"/>
        </w:rPr>
        <w:t xml:space="preserve"> 管径≥DN800管涵裂缝嵌补的施工材料宜选用快干水泥和聚氨酯，并应符合下列规定：</w:t>
      </w:r>
    </w:p>
    <w:p>
      <w:pPr>
        <w:autoSpaceDE/>
        <w:autoSpaceDN/>
        <w:ind w:left="418" w:firstLine="422"/>
        <w:rPr>
          <w:rFonts w:cs="Times New Roman"/>
          <w:color w:val="auto"/>
          <w:sz w:val="21"/>
          <w:lang w:eastAsia="zh-CN"/>
        </w:rPr>
      </w:pPr>
      <w:r>
        <w:rPr>
          <w:rFonts w:cs="Times New Roman"/>
          <w:b/>
          <w:bCs/>
          <w:color w:val="auto"/>
          <w:sz w:val="21"/>
          <w:lang w:eastAsia="zh-CN"/>
        </w:rPr>
        <w:t>1</w:t>
      </w:r>
      <w:r>
        <w:rPr>
          <w:rFonts w:cs="Times New Roman"/>
          <w:color w:val="auto"/>
          <w:sz w:val="21"/>
          <w:lang w:eastAsia="zh-CN"/>
        </w:rPr>
        <w:t>快干水泥的抗压强度应满足设计要求；</w:t>
      </w:r>
    </w:p>
    <w:p>
      <w:pPr>
        <w:autoSpaceDE/>
        <w:autoSpaceDN/>
        <w:ind w:left="418" w:firstLine="422"/>
        <w:rPr>
          <w:rFonts w:cs="Times New Roman"/>
          <w:snapToGrid/>
          <w:color w:val="auto"/>
          <w:sz w:val="21"/>
          <w:lang w:eastAsia="zh-CN"/>
        </w:rPr>
      </w:pPr>
      <w:r>
        <w:rPr>
          <w:rFonts w:cs="Times New Roman"/>
          <w:b/>
          <w:bCs/>
          <w:color w:val="auto"/>
          <w:sz w:val="21"/>
          <w:lang w:eastAsia="zh-CN"/>
        </w:rPr>
        <w:t>2</w:t>
      </w:r>
      <w:r>
        <w:rPr>
          <w:rFonts w:cs="Times New Roman"/>
          <w:color w:val="auto"/>
          <w:sz w:val="21"/>
          <w:lang w:eastAsia="zh-CN"/>
        </w:rPr>
        <w:t>聚氨酯性能指标应符合表</w:t>
      </w:r>
      <w:r>
        <w:rPr>
          <w:rFonts w:hint="eastAsia" w:cs="Times New Roman"/>
          <w:color w:val="auto"/>
          <w:sz w:val="21"/>
          <w:lang w:eastAsia="zh-CN"/>
        </w:rPr>
        <w:t>4.2</w:t>
      </w:r>
      <w:r>
        <w:rPr>
          <w:rFonts w:cs="Times New Roman"/>
          <w:color w:val="auto"/>
          <w:sz w:val="21"/>
          <w:lang w:eastAsia="zh-CN"/>
        </w:rPr>
        <w:t>.</w:t>
      </w:r>
      <w:r>
        <w:rPr>
          <w:rFonts w:hint="eastAsia" w:cs="Times New Roman"/>
          <w:color w:val="auto"/>
          <w:sz w:val="21"/>
          <w:lang w:eastAsia="zh-CN"/>
        </w:rPr>
        <w:t>4</w:t>
      </w:r>
      <w:r>
        <w:rPr>
          <w:rFonts w:cs="Times New Roman"/>
          <w:color w:val="auto"/>
          <w:sz w:val="21"/>
          <w:lang w:eastAsia="zh-CN"/>
        </w:rPr>
        <w:t>的规定。</w:t>
      </w:r>
    </w:p>
    <w:p>
      <w:pPr>
        <w:ind w:firstLine="422"/>
        <w:jc w:val="center"/>
        <w:rPr>
          <w:rFonts w:cs="Times New Roman"/>
          <w:b/>
          <w:bCs/>
          <w:color w:val="auto"/>
          <w:sz w:val="21"/>
          <w:lang w:eastAsia="zh-CN"/>
        </w:rPr>
      </w:pPr>
      <w:r>
        <w:rPr>
          <w:rFonts w:hint="eastAsia" w:cs="Times New Roman"/>
          <w:b/>
          <w:bCs/>
          <w:color w:val="auto"/>
          <w:sz w:val="21"/>
          <w:lang w:eastAsia="zh-CN"/>
        </w:rPr>
        <w:t>4.2</w:t>
      </w:r>
      <w:r>
        <w:rPr>
          <w:rFonts w:cs="Times New Roman"/>
          <w:b/>
          <w:bCs/>
          <w:color w:val="auto"/>
          <w:sz w:val="21"/>
          <w:lang w:eastAsia="zh-CN"/>
        </w:rPr>
        <w:t>.</w:t>
      </w:r>
      <w:r>
        <w:rPr>
          <w:rFonts w:hint="eastAsia" w:cs="Times New Roman"/>
          <w:b/>
          <w:bCs/>
          <w:color w:val="auto"/>
          <w:sz w:val="21"/>
          <w:lang w:eastAsia="zh-CN"/>
        </w:rPr>
        <w:t xml:space="preserve">4 </w:t>
      </w:r>
      <w:r>
        <w:rPr>
          <w:rFonts w:cs="Times New Roman"/>
          <w:b/>
          <w:bCs/>
          <w:color w:val="auto"/>
          <w:sz w:val="21"/>
          <w:lang w:eastAsia="zh-CN"/>
        </w:rPr>
        <w:t>裂缝嵌补聚氨酯材料性能</w:t>
      </w:r>
    </w:p>
    <w:tbl>
      <w:tblPr>
        <w:tblStyle w:val="5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40"/>
        <w:gridCol w:w="1312"/>
        <w:gridCol w:w="54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21" w:type="pct"/>
            <w:vAlign w:val="center"/>
          </w:tcPr>
          <w:p>
            <w:pPr>
              <w:autoSpaceDE/>
              <w:autoSpaceDN/>
              <w:ind w:firstLine="0" w:firstLineChars="0"/>
              <w:jc w:val="center"/>
              <w:rPr>
                <w:rFonts w:ascii="Times New Roman" w:hAnsi="Times New Roman" w:cs="Times New Roman" w:eastAsiaTheme="minorEastAsia"/>
                <w:color w:val="auto"/>
                <w:sz w:val="21"/>
                <w:lang w:eastAsia="zh-CN"/>
                <w14:ligatures w14:val="standardContextual"/>
              </w:rPr>
            </w:pPr>
            <w:r>
              <w:rPr>
                <w:rFonts w:ascii="Times New Roman" w:hAnsi="Times New Roman" w:cs="Times New Roman" w:eastAsiaTheme="minorEastAsia"/>
                <w:color w:val="auto"/>
                <w:sz w:val="21"/>
                <w:lang w:eastAsia="zh-CN"/>
                <w14:ligatures w14:val="standardContextual"/>
              </w:rPr>
              <w:t>项目</w:t>
            </w:r>
          </w:p>
        </w:tc>
        <w:tc>
          <w:tcPr>
            <w:tcW w:w="770" w:type="pct"/>
            <w:vAlign w:val="center"/>
          </w:tcPr>
          <w:p>
            <w:pPr>
              <w:autoSpaceDE/>
              <w:autoSpaceDN/>
              <w:ind w:firstLine="0" w:firstLineChars="0"/>
              <w:jc w:val="center"/>
              <w:rPr>
                <w:rFonts w:ascii="Times New Roman" w:hAnsi="Times New Roman" w:cs="Times New Roman" w:eastAsiaTheme="minorEastAsia"/>
                <w:color w:val="auto"/>
                <w:sz w:val="21"/>
                <w:lang w:eastAsia="zh-CN"/>
                <w14:ligatures w14:val="standardContextual"/>
              </w:rPr>
            </w:pPr>
            <w:r>
              <w:rPr>
                <w:rFonts w:ascii="Times New Roman" w:hAnsi="Times New Roman" w:cs="Times New Roman" w:eastAsiaTheme="minorEastAsia"/>
                <w:color w:val="auto"/>
                <w:sz w:val="21"/>
                <w:lang w:eastAsia="zh-CN"/>
                <w14:ligatures w14:val="standardContextual"/>
              </w:rPr>
              <w:t>要求</w:t>
            </w:r>
          </w:p>
        </w:tc>
        <w:tc>
          <w:tcPr>
            <w:tcW w:w="3209" w:type="pct"/>
            <w:vAlign w:val="center"/>
          </w:tcPr>
          <w:p>
            <w:pPr>
              <w:autoSpaceDE/>
              <w:autoSpaceDN/>
              <w:ind w:firstLine="0" w:firstLineChars="0"/>
              <w:jc w:val="center"/>
              <w:rPr>
                <w:rFonts w:ascii="Times New Roman" w:hAnsi="Times New Roman" w:cs="Times New Roman" w:eastAsiaTheme="minorEastAsia"/>
                <w:color w:val="auto"/>
                <w:sz w:val="21"/>
                <w:lang w:eastAsia="zh-CN"/>
                <w14:ligatures w14:val="standardContextual"/>
              </w:rPr>
            </w:pPr>
            <w:r>
              <w:rPr>
                <w:rFonts w:ascii="Times New Roman" w:hAnsi="Times New Roman" w:cs="Times New Roman" w:eastAsiaTheme="minorEastAsia"/>
                <w:color w:val="auto"/>
                <w:sz w:val="21"/>
                <w:lang w:eastAsia="zh-CN"/>
                <w14:ligatures w14:val="standardContextual"/>
              </w:rPr>
              <w:t>试验方法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21" w:type="pct"/>
            <w:vAlign w:val="center"/>
          </w:tcPr>
          <w:p>
            <w:pPr>
              <w:autoSpaceDE/>
              <w:autoSpaceDN/>
              <w:ind w:firstLine="0" w:firstLineChars="0"/>
              <w:jc w:val="center"/>
              <w:rPr>
                <w:rFonts w:ascii="Times New Roman" w:hAnsi="Times New Roman" w:cs="Times New Roman" w:eastAsiaTheme="minorEastAsia"/>
                <w:color w:val="auto"/>
                <w:sz w:val="21"/>
                <w:lang w:eastAsia="zh-CN"/>
                <w14:ligatures w14:val="standardContextual"/>
              </w:rPr>
            </w:pPr>
            <w:r>
              <w:rPr>
                <w:rFonts w:ascii="Times New Roman" w:hAnsi="Times New Roman" w:cs="Times New Roman" w:eastAsiaTheme="minorEastAsia"/>
                <w:color w:val="auto"/>
                <w:sz w:val="21"/>
                <w:lang w:eastAsia="zh-CN"/>
                <w14:ligatures w14:val="standardContextual"/>
              </w:rPr>
              <w:t>密度（g/cm³）</w:t>
            </w:r>
          </w:p>
        </w:tc>
        <w:tc>
          <w:tcPr>
            <w:tcW w:w="770" w:type="pct"/>
            <w:vAlign w:val="center"/>
          </w:tcPr>
          <w:p>
            <w:pPr>
              <w:autoSpaceDE/>
              <w:autoSpaceDN/>
              <w:ind w:firstLine="0" w:firstLineChars="0"/>
              <w:jc w:val="center"/>
              <w:rPr>
                <w:rFonts w:ascii="Times New Roman" w:hAnsi="Times New Roman" w:cs="Times New Roman" w:eastAsiaTheme="minorEastAsia"/>
                <w:color w:val="auto"/>
                <w:sz w:val="21"/>
                <w:lang w:eastAsia="zh-CN"/>
                <w14:ligatures w14:val="standardContextual"/>
              </w:rPr>
            </w:pPr>
            <w:r>
              <w:rPr>
                <w:rFonts w:ascii="Times New Roman" w:hAnsi="Times New Roman" w:cs="Times New Roman" w:eastAsiaTheme="minorEastAsia"/>
                <w:color w:val="auto"/>
                <w:sz w:val="21"/>
                <w:lang w:eastAsia="zh-CN"/>
                <w14:ligatures w14:val="standardContextual"/>
              </w:rPr>
              <w:t>1.03</w:t>
            </w:r>
            <w:r>
              <w:rPr>
                <w:rFonts w:hint="eastAsia" w:ascii="Times New Roman" w:hAnsi="Times New Roman" w:cs="Times New Roman" w:eastAsiaTheme="minorEastAsia"/>
                <w:color w:val="auto"/>
                <w:sz w:val="21"/>
                <w:lang w:eastAsia="zh-CN"/>
                <w14:ligatures w14:val="standardContextual"/>
              </w:rPr>
              <w:t xml:space="preserve"> </w:t>
            </w:r>
            <w:r>
              <w:rPr>
                <w:rFonts w:ascii="Times New Roman" w:hAnsi="Times New Roman" w:cs="Times New Roman" w:eastAsiaTheme="minorEastAsia"/>
                <w:color w:val="auto"/>
                <w:sz w:val="21"/>
                <w:lang w:eastAsia="zh-CN"/>
                <w14:ligatures w14:val="standardContextual"/>
              </w:rPr>
              <w:t>~</w:t>
            </w:r>
            <w:r>
              <w:rPr>
                <w:rFonts w:hint="eastAsia" w:ascii="Times New Roman" w:hAnsi="Times New Roman" w:cs="Times New Roman" w:eastAsiaTheme="minorEastAsia"/>
                <w:color w:val="auto"/>
                <w:sz w:val="21"/>
                <w:lang w:eastAsia="zh-CN"/>
                <w14:ligatures w14:val="standardContextual"/>
              </w:rPr>
              <w:t xml:space="preserve"> </w:t>
            </w:r>
            <w:r>
              <w:rPr>
                <w:rFonts w:ascii="Times New Roman" w:hAnsi="Times New Roman" w:cs="Times New Roman" w:eastAsiaTheme="minorEastAsia"/>
                <w:color w:val="auto"/>
                <w:sz w:val="21"/>
                <w:lang w:eastAsia="zh-CN"/>
                <w14:ligatures w14:val="standardContextual"/>
              </w:rPr>
              <w:t>1.10</w:t>
            </w:r>
          </w:p>
        </w:tc>
        <w:tc>
          <w:tcPr>
            <w:tcW w:w="3209" w:type="pct"/>
            <w:vAlign w:val="center"/>
          </w:tcPr>
          <w:p>
            <w:pPr>
              <w:autoSpaceDE/>
              <w:autoSpaceDN/>
              <w:ind w:firstLine="0" w:firstLineChars="0"/>
              <w:jc w:val="center"/>
              <w:rPr>
                <w:rFonts w:ascii="Times New Roman" w:hAnsi="Times New Roman" w:cs="Times New Roman" w:eastAsiaTheme="minorEastAsia"/>
                <w:color w:val="auto"/>
                <w:sz w:val="21"/>
                <w:lang w:eastAsia="zh-CN"/>
                <w14:ligatures w14:val="standardContextual"/>
              </w:rPr>
            </w:pPr>
            <w:bookmarkStart w:id="42" w:name="_Hlk196919747"/>
            <w:r>
              <w:rPr>
                <w:rFonts w:ascii="Times New Roman" w:hAnsi="Times New Roman" w:cs="Times New Roman" w:eastAsiaTheme="minorEastAsia"/>
                <w:color w:val="auto"/>
                <w:sz w:val="21"/>
                <w:lang w:eastAsia="zh-CN"/>
                <w14:ligatures w14:val="standardContextual"/>
              </w:rPr>
              <w:t>《液态胶粘剂密度的测定方法》GB/T 13354</w:t>
            </w:r>
            <w:bookmarkEnd w:id="4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21" w:type="pct"/>
            <w:vAlign w:val="center"/>
          </w:tcPr>
          <w:p>
            <w:pPr>
              <w:autoSpaceDE/>
              <w:autoSpaceDN/>
              <w:ind w:firstLine="0" w:firstLineChars="0"/>
              <w:jc w:val="center"/>
              <w:rPr>
                <w:rFonts w:ascii="Times New Roman" w:hAnsi="Times New Roman" w:cs="Times New Roman" w:eastAsiaTheme="minorEastAsia"/>
                <w:color w:val="auto"/>
                <w:sz w:val="21"/>
                <w:lang w:eastAsia="zh-CN"/>
                <w14:ligatures w14:val="standardContextual"/>
              </w:rPr>
            </w:pPr>
            <w:bookmarkStart w:id="43" w:name="_Hlk196919751"/>
            <w:r>
              <w:rPr>
                <w:rFonts w:ascii="Times New Roman" w:hAnsi="Times New Roman" w:cs="Times New Roman" w:eastAsiaTheme="minorEastAsia"/>
                <w:color w:val="auto"/>
                <w:sz w:val="21"/>
                <w:lang w:eastAsia="zh-CN"/>
                <w14:ligatures w14:val="standardContextual"/>
              </w:rPr>
              <w:t>黏度（Pa·s）</w:t>
            </w:r>
          </w:p>
        </w:tc>
        <w:tc>
          <w:tcPr>
            <w:tcW w:w="770" w:type="pct"/>
            <w:vAlign w:val="center"/>
          </w:tcPr>
          <w:p>
            <w:pPr>
              <w:autoSpaceDE/>
              <w:autoSpaceDN/>
              <w:ind w:firstLine="0" w:firstLineChars="0"/>
              <w:jc w:val="center"/>
              <w:rPr>
                <w:rFonts w:ascii="Times New Roman" w:hAnsi="Times New Roman" w:cs="Times New Roman" w:eastAsiaTheme="minorEastAsia"/>
                <w:color w:val="auto"/>
                <w:sz w:val="21"/>
                <w:lang w:eastAsia="zh-CN"/>
                <w14:ligatures w14:val="standardContextual"/>
              </w:rPr>
            </w:pPr>
            <w:r>
              <w:rPr>
                <w:rFonts w:ascii="Times New Roman" w:hAnsi="Times New Roman" w:cs="Times New Roman" w:eastAsiaTheme="minorEastAsia"/>
                <w:color w:val="auto"/>
                <w:sz w:val="21"/>
                <w:lang w:eastAsia="zh-CN"/>
                <w14:ligatures w14:val="standardContextual"/>
              </w:rPr>
              <w:t>100</w:t>
            </w:r>
            <w:r>
              <w:rPr>
                <w:rFonts w:hint="eastAsia" w:ascii="Times New Roman" w:hAnsi="Times New Roman" w:cs="Times New Roman" w:eastAsiaTheme="minorEastAsia"/>
                <w:color w:val="auto"/>
                <w:sz w:val="21"/>
                <w:lang w:eastAsia="zh-CN"/>
                <w14:ligatures w14:val="standardContextual"/>
              </w:rPr>
              <w:t xml:space="preserve"> </w:t>
            </w:r>
            <w:r>
              <w:rPr>
                <w:rFonts w:ascii="Times New Roman" w:hAnsi="Times New Roman" w:cs="Times New Roman" w:eastAsiaTheme="minorEastAsia"/>
                <w:color w:val="auto"/>
                <w:sz w:val="21"/>
                <w:lang w:eastAsia="zh-CN"/>
                <w14:ligatures w14:val="standardContextual"/>
              </w:rPr>
              <w:t>~</w:t>
            </w:r>
            <w:r>
              <w:rPr>
                <w:rFonts w:hint="eastAsia" w:ascii="Times New Roman" w:hAnsi="Times New Roman" w:cs="Times New Roman" w:eastAsiaTheme="minorEastAsia"/>
                <w:color w:val="auto"/>
                <w:sz w:val="21"/>
                <w:lang w:eastAsia="zh-CN"/>
                <w14:ligatures w14:val="standardContextual"/>
              </w:rPr>
              <w:t xml:space="preserve"> </w:t>
            </w:r>
            <w:r>
              <w:rPr>
                <w:rFonts w:ascii="Times New Roman" w:hAnsi="Times New Roman" w:cs="Times New Roman" w:eastAsiaTheme="minorEastAsia"/>
                <w:color w:val="auto"/>
                <w:sz w:val="21"/>
                <w:lang w:eastAsia="zh-CN"/>
                <w14:ligatures w14:val="standardContextual"/>
              </w:rPr>
              <w:t>400</w:t>
            </w:r>
          </w:p>
        </w:tc>
        <w:tc>
          <w:tcPr>
            <w:tcW w:w="3209" w:type="pct"/>
            <w:vAlign w:val="center"/>
          </w:tcPr>
          <w:p>
            <w:pPr>
              <w:autoSpaceDE/>
              <w:autoSpaceDN/>
              <w:ind w:firstLine="0" w:firstLineChars="0"/>
              <w:jc w:val="center"/>
              <w:rPr>
                <w:rFonts w:ascii="Times New Roman" w:hAnsi="Times New Roman" w:cs="Times New Roman" w:eastAsiaTheme="minorEastAsia"/>
                <w:color w:val="auto"/>
                <w:sz w:val="21"/>
                <w:lang w:eastAsia="zh-CN"/>
                <w14:ligatures w14:val="standardContextual"/>
              </w:rPr>
            </w:pPr>
            <w:r>
              <w:rPr>
                <w:rFonts w:ascii="Times New Roman" w:hAnsi="Times New Roman" w:cs="Times New Roman" w:eastAsiaTheme="minorEastAsia"/>
                <w:color w:val="auto"/>
                <w:sz w:val="21"/>
                <w:lang w:eastAsia="zh-CN"/>
                <w14:ligatures w14:val="standardContextual"/>
              </w:rPr>
              <w:t>《胶黏剂黏度的测定 单圆筒旋转黏度计法》GB/T 2794</w:t>
            </w:r>
          </w:p>
        </w:tc>
      </w:tr>
      <w:bookmarkEnd w:id="43"/>
    </w:tbl>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auto"/>
          <w:sz w:val="21"/>
          <w:lang w:eastAsia="zh-CN"/>
        </w:rPr>
        <w:t>4.2</w:t>
      </w:r>
      <w:r>
        <w:rPr>
          <w:rFonts w:cs="Times New Roman"/>
          <w:b/>
          <w:bCs/>
          <w:color w:val="auto"/>
          <w:sz w:val="21"/>
          <w:lang w:eastAsia="zh-CN"/>
        </w:rPr>
        <w:t>.</w:t>
      </w:r>
      <w:r>
        <w:rPr>
          <w:rFonts w:hint="eastAsia" w:cs="Times New Roman"/>
          <w:b/>
          <w:bCs/>
          <w:color w:val="auto"/>
          <w:sz w:val="21"/>
          <w:lang w:eastAsia="zh-CN"/>
        </w:rPr>
        <w:t>5</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井室内部渗漏裂缝嵌补可采用高聚物材料进行</w:t>
      </w:r>
      <w:r>
        <w:rPr>
          <w:rFonts w:hint="eastAsia" w:cs="Times New Roman"/>
          <w:color w:val="000000" w:themeColor="text1"/>
          <w:sz w:val="21"/>
          <w:lang w:eastAsia="zh-CN"/>
          <w14:textFill>
            <w14:solidFill>
              <w14:schemeClr w14:val="tx1"/>
            </w14:solidFill>
          </w14:textFill>
        </w:rPr>
        <w:t>裂缝嵌补</w:t>
      </w:r>
      <w:r>
        <w:rPr>
          <w:rFonts w:cs="Times New Roman"/>
          <w:color w:val="000000" w:themeColor="text1"/>
          <w:sz w:val="21"/>
          <w:lang w:eastAsia="zh-CN"/>
          <w14:textFill>
            <w14:solidFill>
              <w14:schemeClr w14:val="tx1"/>
            </w14:solidFill>
          </w14:textFill>
        </w:rPr>
        <w:t>或止水，材料应符合下列规定：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应采用双组分AB料非水反应高聚物材料；</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应满足在常温或低温下快速反应，膨胀固化在20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s</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120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s内完成；</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3 </w:t>
      </w:r>
      <w:r>
        <w:rPr>
          <w:rFonts w:cs="Times New Roman"/>
          <w:color w:val="000000" w:themeColor="text1"/>
          <w:sz w:val="21"/>
          <w:lang w:eastAsia="zh-CN"/>
          <w14:textFill>
            <w14:solidFill>
              <w14:schemeClr w14:val="tx1"/>
            </w14:solidFill>
          </w14:textFill>
        </w:rPr>
        <w:t>应具备耐酸、碱、盐及多种有机溶剂，耐化学腐蚀性能和堵水补强耐久性能良好。</w:t>
      </w:r>
    </w:p>
    <w:p>
      <w:pPr>
        <w:kinsoku/>
        <w:autoSpaceDE/>
        <w:autoSpaceDN/>
        <w:adjustRightInd/>
        <w:snapToGrid/>
        <w:ind w:firstLine="420"/>
        <w:jc w:val="center"/>
        <w:textAlignment w:val="auto"/>
        <w:rPr>
          <w:rFonts w:cs="Times New Roman"/>
          <w:b/>
          <w:bCs/>
          <w:color w:val="auto"/>
          <w:sz w:val="21"/>
          <w:lang w:eastAsia="zh-CN"/>
        </w:rPr>
      </w:pPr>
      <w:r>
        <w:rPr>
          <w:rFonts w:cs="Times New Roman"/>
          <w:color w:val="auto"/>
          <w:sz w:val="21"/>
          <w:lang w:eastAsia="zh-CN"/>
        </w:rPr>
        <w:t>Ⅲ</w:t>
      </w:r>
      <w:r>
        <w:rPr>
          <w:rFonts w:cs="Times New Roman"/>
          <w:b/>
          <w:bCs/>
          <w:color w:val="auto"/>
          <w:sz w:val="21"/>
          <w:lang w:eastAsia="zh-CN"/>
        </w:rPr>
        <w:t xml:space="preserve"> </w:t>
      </w:r>
      <w:r>
        <w:rPr>
          <w:rFonts w:cs="Times New Roman"/>
          <w:color w:val="auto"/>
          <w:sz w:val="21"/>
          <w:lang w:eastAsia="zh-CN"/>
        </w:rPr>
        <w:t>堵漏</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auto"/>
          <w:sz w:val="21"/>
          <w:lang w:eastAsia="zh-CN"/>
        </w:rPr>
        <w:t>4.2</w:t>
      </w:r>
      <w:r>
        <w:rPr>
          <w:rFonts w:cs="Times New Roman"/>
          <w:b/>
          <w:bCs/>
          <w:color w:val="auto"/>
          <w:sz w:val="21"/>
          <w:lang w:eastAsia="zh-CN"/>
        </w:rPr>
        <w:t>.</w:t>
      </w:r>
      <w:r>
        <w:rPr>
          <w:rFonts w:hint="eastAsia" w:cs="Times New Roman"/>
          <w:b/>
          <w:bCs/>
          <w:color w:val="auto"/>
          <w:sz w:val="21"/>
          <w:lang w:eastAsia="zh-CN"/>
        </w:rPr>
        <w:t>6</w:t>
      </w:r>
      <w:r>
        <w:rPr>
          <w:rFonts w:cs="Times New Roman"/>
          <w:color w:val="000000" w:themeColor="text1"/>
          <w:sz w:val="21"/>
          <w:lang w:eastAsia="zh-CN"/>
          <w14:textFill>
            <w14:solidFill>
              <w14:schemeClr w14:val="tx1"/>
            </w14:solidFill>
          </w14:textFill>
        </w:rPr>
        <w:t xml:space="preserve"> 检查井宜采用水溶性聚氨酯进行堵漏，并应符合现行行业标准《聚氨酯灌浆材料》JC/T 2041的规定。</w:t>
      </w:r>
    </w:p>
    <w:p>
      <w:pPr>
        <w:autoSpaceDE/>
        <w:autoSpaceDN/>
        <w:ind w:firstLine="420"/>
        <w:jc w:val="center"/>
        <w:rPr>
          <w:rFonts w:cs="Times New Roman"/>
          <w:color w:val="auto"/>
          <w:sz w:val="21"/>
          <w:lang w:eastAsia="zh-CN"/>
        </w:rPr>
      </w:pPr>
      <w:r>
        <w:rPr>
          <w:rFonts w:cs="Times New Roman"/>
          <w:color w:val="auto"/>
          <w:sz w:val="21"/>
          <w:lang w:eastAsia="zh-CN"/>
        </w:rPr>
        <w:t>Ⅳ 不锈钢双胀环</w:t>
      </w:r>
      <w:r>
        <w:rPr>
          <w:rFonts w:hint="eastAsia" w:cs="Times New Roman"/>
          <w:color w:val="auto"/>
          <w:sz w:val="21"/>
          <w:lang w:eastAsia="zh-CN"/>
        </w:rPr>
        <w:t>法</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auto"/>
          <w:sz w:val="21"/>
          <w:lang w:eastAsia="zh-CN"/>
        </w:rPr>
        <w:t>4.2</w:t>
      </w:r>
      <w:r>
        <w:rPr>
          <w:rFonts w:cs="Times New Roman"/>
          <w:b/>
          <w:bCs/>
          <w:color w:val="auto"/>
          <w:sz w:val="21"/>
          <w:lang w:eastAsia="zh-CN"/>
        </w:rPr>
        <w:t>.</w:t>
      </w:r>
      <w:r>
        <w:rPr>
          <w:rFonts w:hint="eastAsia" w:cs="Times New Roman"/>
          <w:b/>
          <w:bCs/>
          <w:color w:val="auto"/>
          <w:sz w:val="21"/>
          <w:lang w:eastAsia="zh-CN"/>
        </w:rPr>
        <w:t>7</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胀环应符合下列规定：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 应选用S304或以上不锈钢；</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 胀环厚度应根据管径大小确定，且不应小于5</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3 胀环宽度不应小于50 mm。</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auto"/>
          <w:sz w:val="21"/>
          <w:lang w:eastAsia="zh-CN"/>
        </w:rPr>
        <w:t>4.2</w:t>
      </w:r>
      <w:r>
        <w:rPr>
          <w:rFonts w:cs="Times New Roman"/>
          <w:b/>
          <w:bCs/>
          <w:color w:val="auto"/>
          <w:sz w:val="21"/>
          <w:lang w:eastAsia="zh-CN"/>
        </w:rPr>
        <w:t>.</w:t>
      </w:r>
      <w:r>
        <w:rPr>
          <w:rFonts w:hint="eastAsia" w:cs="Times New Roman"/>
          <w:b/>
          <w:bCs/>
          <w:color w:val="auto"/>
          <w:sz w:val="21"/>
          <w:lang w:eastAsia="zh-CN"/>
        </w:rPr>
        <w:t xml:space="preserve">8 </w:t>
      </w:r>
      <w:r>
        <w:rPr>
          <w:rFonts w:cs="Times New Roman"/>
          <w:color w:val="000000" w:themeColor="text1"/>
          <w:sz w:val="21"/>
          <w:lang w:eastAsia="zh-CN"/>
          <w14:textFill>
            <w14:solidFill>
              <w14:schemeClr w14:val="tx1"/>
            </w14:solidFill>
          </w14:textFill>
        </w:rPr>
        <w:t>止水橡胶带应符合下列规定：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 应采用丁腈橡胶(NBR)；</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 橡胶带宽度应按照设计要求制作，宜为300 mm ～ 400 mm；橡胶带两侧应有不锈钢胀环压槽，压槽背面应有齿状止水条，止水条高度宜为8 mm ～ 10 mm；</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3 橡胶带表面应平整、无缺陷，橡胶带性能应符合表</w:t>
      </w:r>
      <w:r>
        <w:rPr>
          <w:rFonts w:hint="eastAsia" w:cs="Times New Roman"/>
          <w:color w:val="auto"/>
          <w:sz w:val="21"/>
          <w:lang w:eastAsia="zh-CN"/>
        </w:rPr>
        <w:t>4.2</w:t>
      </w:r>
      <w:r>
        <w:rPr>
          <w:rFonts w:cs="Times New Roman"/>
          <w:color w:val="auto"/>
          <w:sz w:val="21"/>
          <w:lang w:eastAsia="zh-CN"/>
        </w:rPr>
        <w:t>.</w:t>
      </w:r>
      <w:r>
        <w:rPr>
          <w:rFonts w:hint="eastAsia" w:cs="Times New Roman"/>
          <w:color w:val="auto"/>
          <w:sz w:val="21"/>
          <w:lang w:eastAsia="zh-CN"/>
        </w:rPr>
        <w:t>8</w:t>
      </w:r>
      <w:r>
        <w:rPr>
          <w:rFonts w:cs="Times New Roman"/>
          <w:color w:val="000000" w:themeColor="text1"/>
          <w:sz w:val="21"/>
          <w:lang w:eastAsia="zh-CN"/>
          <w14:textFill>
            <w14:solidFill>
              <w14:schemeClr w14:val="tx1"/>
            </w14:solidFill>
          </w14:textFill>
        </w:rPr>
        <w:t>的规定；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4 橡胶带应在低温、干燥和避光的地方保存，保存期应不超过12个月。</w:t>
      </w:r>
    </w:p>
    <w:p>
      <w:pPr>
        <w:widowControl w:val="0"/>
        <w:kinsoku/>
        <w:autoSpaceDE/>
        <w:autoSpaceDN/>
        <w:adjustRightInd/>
        <w:snapToGrid/>
        <w:ind w:firstLine="422"/>
        <w:jc w:val="center"/>
        <w:textAlignment w:val="auto"/>
        <w:rPr>
          <w:rFonts w:cs="Times New Roman"/>
          <w:b/>
          <w:bCs/>
          <w:snapToGrid/>
          <w:color w:val="auto"/>
          <w:kern w:val="2"/>
          <w:sz w:val="21"/>
          <w:lang w:eastAsia="zh-CN"/>
        </w:rPr>
      </w:pPr>
      <w:r>
        <w:rPr>
          <w:rFonts w:cs="Times New Roman"/>
          <w:b/>
          <w:bCs/>
          <w:snapToGrid/>
          <w:color w:val="auto"/>
          <w:kern w:val="2"/>
          <w:sz w:val="21"/>
          <w:lang w:eastAsia="zh-CN"/>
        </w:rPr>
        <w:t>表</w:t>
      </w:r>
      <w:r>
        <w:rPr>
          <w:rFonts w:hint="eastAsia" w:cs="Times New Roman"/>
          <w:b/>
          <w:bCs/>
          <w:color w:val="auto"/>
          <w:sz w:val="21"/>
          <w:lang w:eastAsia="zh-CN"/>
        </w:rPr>
        <w:t>4.2</w:t>
      </w:r>
      <w:r>
        <w:rPr>
          <w:rFonts w:cs="Times New Roman"/>
          <w:b/>
          <w:bCs/>
          <w:color w:val="auto"/>
          <w:sz w:val="21"/>
          <w:lang w:eastAsia="zh-CN"/>
        </w:rPr>
        <w:t>.</w:t>
      </w:r>
      <w:r>
        <w:rPr>
          <w:rFonts w:hint="eastAsia" w:cs="Times New Roman"/>
          <w:b/>
          <w:bCs/>
          <w:color w:val="auto"/>
          <w:sz w:val="21"/>
          <w:lang w:eastAsia="zh-CN"/>
        </w:rPr>
        <w:t>8</w:t>
      </w:r>
      <w:r>
        <w:rPr>
          <w:rFonts w:cs="Times New Roman"/>
          <w:b/>
          <w:bCs/>
          <w:snapToGrid/>
          <w:color w:val="auto"/>
          <w:kern w:val="2"/>
          <w:sz w:val="21"/>
          <w:lang w:eastAsia="zh-CN"/>
        </w:rPr>
        <w:t xml:space="preserve"> 橡胶带性能</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4"/>
        <w:gridCol w:w="1166"/>
        <w:gridCol w:w="3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74"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项目</w:t>
            </w:r>
          </w:p>
        </w:tc>
        <w:tc>
          <w:tcPr>
            <w:tcW w:w="684"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要求</w:t>
            </w:r>
          </w:p>
        </w:tc>
        <w:tc>
          <w:tcPr>
            <w:tcW w:w="2342"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974"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拉伸强度（MPa）</w:t>
            </w:r>
          </w:p>
        </w:tc>
        <w:tc>
          <w:tcPr>
            <w:tcW w:w="684"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209</w:t>
            </w:r>
          </w:p>
        </w:tc>
        <w:tc>
          <w:tcPr>
            <w:tcW w:w="2342" w:type="pct"/>
            <w:vMerge w:val="restar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bookmarkStart w:id="44" w:name="_Hlk196919757"/>
            <w:r>
              <w:rPr>
                <w:rFonts w:cs="Times New Roman"/>
                <w:snapToGrid/>
                <w:color w:val="auto"/>
                <w:kern w:val="2"/>
                <w:sz w:val="21"/>
                <w:lang w:eastAsia="zh-CN"/>
              </w:rPr>
              <w:t>《硫化橡胶或热塑性橡胶拉伸应力应变性能的测定》GB／T 528</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974"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断裂延伸率（％）</w:t>
            </w:r>
          </w:p>
        </w:tc>
        <w:tc>
          <w:tcPr>
            <w:tcW w:w="684"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≥250</w:t>
            </w:r>
          </w:p>
        </w:tc>
        <w:tc>
          <w:tcPr>
            <w:tcW w:w="2342" w:type="pct"/>
            <w:vMerge w:val="continue"/>
            <w:vAlign w:val="center"/>
          </w:tcPr>
          <w:p>
            <w:pPr>
              <w:widowControl w:val="0"/>
              <w:kinsoku/>
              <w:autoSpaceDE/>
              <w:autoSpaceDN/>
              <w:adjustRightInd/>
              <w:snapToGrid/>
              <w:ind w:firstLine="420"/>
              <w:jc w:val="center"/>
              <w:textAlignment w:val="auto"/>
              <w:rPr>
                <w:rFonts w:cs="Times New Roman"/>
                <w:snapToGrid/>
                <w:color w:val="auto"/>
                <w:kern w:val="2"/>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74"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硬度（邵尔A）</w:t>
            </w:r>
          </w:p>
        </w:tc>
        <w:tc>
          <w:tcPr>
            <w:tcW w:w="684"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60±5</w:t>
            </w:r>
          </w:p>
        </w:tc>
        <w:tc>
          <w:tcPr>
            <w:tcW w:w="2342"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bookmarkStart w:id="45" w:name="_Hlk196919761"/>
            <w:r>
              <w:rPr>
                <w:rFonts w:cs="Times New Roman"/>
                <w:snapToGrid/>
                <w:color w:val="auto"/>
                <w:kern w:val="2"/>
                <w:sz w:val="21"/>
                <w:lang w:eastAsia="zh-CN"/>
              </w:rPr>
              <w:t>《硫化橡胶或热塑性橡胶 压入硬度试验方法 第1部分：邵氏硬度计法（邵尔硬度）》GB／T 531.1</w:t>
            </w:r>
            <w:bookmarkEnd w:id="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74"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适用温度范围（℃）</w:t>
            </w:r>
          </w:p>
        </w:tc>
        <w:tc>
          <w:tcPr>
            <w:tcW w:w="684"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-5~40</w:t>
            </w:r>
          </w:p>
        </w:tc>
        <w:tc>
          <w:tcPr>
            <w:tcW w:w="2342" w:type="pct"/>
            <w:shd w:val="clear" w:color="auto" w:fill="auto"/>
            <w:vAlign w:val="center"/>
          </w:tcPr>
          <w:p>
            <w:pPr>
              <w:widowControl w:val="0"/>
              <w:kinsoku/>
              <w:autoSpaceDE/>
              <w:autoSpaceDN/>
              <w:adjustRightInd/>
              <w:snapToGrid/>
              <w:ind w:firstLine="420"/>
              <w:jc w:val="center"/>
              <w:textAlignment w:val="auto"/>
              <w:rPr>
                <w:rFonts w:cs="Times New Roman"/>
                <w:snapToGrid/>
                <w:color w:val="auto"/>
                <w:kern w:val="2"/>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74"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耐腐蚀性（500pphm：20%，48h）</w:t>
            </w:r>
          </w:p>
        </w:tc>
        <w:tc>
          <w:tcPr>
            <w:tcW w:w="684"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二级</w:t>
            </w:r>
          </w:p>
        </w:tc>
        <w:tc>
          <w:tcPr>
            <w:tcW w:w="2342" w:type="pct"/>
            <w:shd w:val="clear" w:color="auto" w:fill="auto"/>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大口径水下、水上的要求不同</w:t>
            </w:r>
          </w:p>
        </w:tc>
      </w:tr>
    </w:tbl>
    <w:p>
      <w:pPr>
        <w:widowControl w:val="0"/>
        <w:kinsoku/>
        <w:autoSpaceDE/>
        <w:autoSpaceDN/>
        <w:adjustRightInd/>
        <w:snapToGrid/>
        <w:ind w:firstLine="420"/>
        <w:jc w:val="center"/>
        <w:textAlignment w:val="auto"/>
        <w:rPr>
          <w:rFonts w:cs="Times New Roman"/>
          <w:snapToGrid/>
          <w:kern w:val="2"/>
          <w:sz w:val="21"/>
          <w:lang w:eastAsia="zh-CN"/>
        </w:rPr>
      </w:pPr>
      <w:r>
        <w:rPr>
          <w:rFonts w:cs="Times New Roman"/>
          <w:snapToGrid/>
          <w:color w:val="auto"/>
          <w:kern w:val="2"/>
          <w:sz w:val="21"/>
          <w:lang w:eastAsia="zh-CN"/>
        </w:rPr>
        <w:t>Ⅴ 不锈钢快速锁</w:t>
      </w:r>
      <w:r>
        <w:rPr>
          <w:rFonts w:hint="eastAsia" w:cs="Times New Roman"/>
          <w:snapToGrid/>
          <w:color w:val="auto"/>
          <w:kern w:val="2"/>
          <w:sz w:val="21"/>
          <w:lang w:eastAsia="zh-CN"/>
        </w:rPr>
        <w:t>法</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9</w:t>
      </w:r>
      <w:r>
        <w:rPr>
          <w:rFonts w:cs="Times New Roman"/>
          <w:color w:val="000000" w:themeColor="text1"/>
          <w:sz w:val="21"/>
          <w:lang w:eastAsia="zh-CN"/>
          <w14:textFill>
            <w14:solidFill>
              <w14:schemeClr w14:val="tx1"/>
            </w14:solidFill>
          </w14:textFill>
        </w:rPr>
        <w:t xml:space="preserve"> 不锈钢快速锁可分为气囊安装型和人工安装型。</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10</w:t>
      </w:r>
      <w:r>
        <w:rPr>
          <w:rFonts w:cs="Times New Roman"/>
          <w:color w:val="000000" w:themeColor="text1"/>
          <w:sz w:val="21"/>
          <w:lang w:eastAsia="zh-CN"/>
          <w14:textFill>
            <w14:solidFill>
              <w14:schemeClr w14:val="tx1"/>
            </w14:solidFill>
          </w14:textFill>
        </w:rPr>
        <w:t xml:space="preserve"> 不锈钢套筒的原材料应采用S31603（316或316L）不锈钢板，钢板加工前后应无影响使用的缺陷，并应符合现行国家标准</w:t>
      </w:r>
      <w:bookmarkStart w:id="46" w:name="_Hlk196919782"/>
      <w:r>
        <w:rPr>
          <w:rFonts w:cs="Times New Roman"/>
          <w:color w:val="000000" w:themeColor="text1"/>
          <w:sz w:val="21"/>
          <w:lang w:eastAsia="zh-CN"/>
          <w14:textFill>
            <w14:solidFill>
              <w14:schemeClr w14:val="tx1"/>
            </w14:solidFill>
          </w14:textFill>
        </w:rPr>
        <w:t>《不锈钢冷轧钢板和钢带》GB/T 3280</w:t>
      </w:r>
      <w:bookmarkEnd w:id="46"/>
      <w:r>
        <w:rPr>
          <w:rFonts w:cs="Times New Roman"/>
          <w:color w:val="000000" w:themeColor="text1"/>
          <w:sz w:val="21"/>
          <w:lang w:eastAsia="zh-CN"/>
          <w14:textFill>
            <w14:solidFill>
              <w14:schemeClr w14:val="tx1"/>
            </w14:solidFill>
          </w14:textFill>
        </w:rPr>
        <w:t>中6.6.2的规定。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11</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橡胶套应采用三元乙丙或丁腈橡胶，橡胶材料的性能应符合现行国家标准</w:t>
      </w:r>
      <w:bookmarkStart w:id="47" w:name="_Hlk196919795"/>
      <w:r>
        <w:rPr>
          <w:rFonts w:cs="Times New Roman"/>
          <w:color w:val="000000" w:themeColor="text1"/>
          <w:sz w:val="21"/>
          <w:lang w:eastAsia="zh-CN"/>
          <w14:textFill>
            <w14:solidFill>
              <w14:schemeClr w14:val="tx1"/>
            </w14:solidFill>
          </w14:textFill>
        </w:rPr>
        <w:t>《橡胶密封件 给、排水管及污水管道用接口密封圈 材料规范》GB/T 21873</w:t>
      </w:r>
      <w:bookmarkEnd w:id="47"/>
      <w:r>
        <w:rPr>
          <w:rFonts w:cs="Times New Roman"/>
          <w:color w:val="000000" w:themeColor="text1"/>
          <w:sz w:val="21"/>
          <w:lang w:eastAsia="zh-CN"/>
          <w14:textFill>
            <w14:solidFill>
              <w14:schemeClr w14:val="tx1"/>
            </w14:solidFill>
          </w14:textFill>
        </w:rPr>
        <w:t>中表2的规定，气囊安装型应满足硬度级别为40的要求，人工安装型应满足硬度级别为60的要求。</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12</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气囊型不锈钢快速锁由整片不锈钢板加工成型，气囊安装型快速锁锁紧机构应采用S31603（316L）不锈钢材质，齿轮轴焊接的拉伸强度不应小于500 MPa，并应符合现行国家标准</w:t>
      </w:r>
      <w:bookmarkStart w:id="48" w:name="_Hlk196919811"/>
      <w:r>
        <w:rPr>
          <w:rFonts w:cs="Times New Roman"/>
          <w:color w:val="000000" w:themeColor="text1"/>
          <w:sz w:val="21"/>
          <w:lang w:eastAsia="zh-CN"/>
          <w14:textFill>
            <w14:solidFill>
              <w14:schemeClr w14:val="tx1"/>
            </w14:solidFill>
          </w14:textFill>
        </w:rPr>
        <w:t>《不锈钢复合钢板焊接技术要求》GB/T 13148</w:t>
      </w:r>
      <w:bookmarkEnd w:id="48"/>
      <w:r>
        <w:rPr>
          <w:rFonts w:cs="Times New Roman"/>
          <w:color w:val="000000" w:themeColor="text1"/>
          <w:sz w:val="21"/>
          <w:lang w:eastAsia="zh-CN"/>
          <w14:textFill>
            <w14:solidFill>
              <w14:schemeClr w14:val="tx1"/>
            </w14:solidFill>
          </w14:textFill>
        </w:rPr>
        <w:t>的规定。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13</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人工型不锈钢快速锁由2-3片不锈钢片拼装而成，人工安装型快速锁锁紧机构的螺栓型号不应低于M10，抗折强度不应小于500 MPa，螺栓材质应为用S31603（316L）不锈钢，并应符合现行国家标准</w:t>
      </w:r>
      <w:bookmarkStart w:id="49" w:name="_Hlk196919822"/>
      <w:r>
        <w:rPr>
          <w:rFonts w:cs="Times New Roman"/>
          <w:color w:val="000000" w:themeColor="text1"/>
          <w:sz w:val="21"/>
          <w:lang w:eastAsia="zh-CN"/>
          <w14:textFill>
            <w14:solidFill>
              <w14:schemeClr w14:val="tx1"/>
            </w14:solidFill>
          </w14:textFill>
        </w:rPr>
        <w:t>《紧固件机械性能 不锈钢螺栓、螺钉和螺柱》GB/T 3098.6</w:t>
      </w:r>
      <w:bookmarkEnd w:id="49"/>
      <w:r>
        <w:rPr>
          <w:rFonts w:cs="Times New Roman"/>
          <w:color w:val="000000" w:themeColor="text1"/>
          <w:sz w:val="21"/>
          <w:lang w:eastAsia="zh-CN"/>
          <w14:textFill>
            <w14:solidFill>
              <w14:schemeClr w14:val="tx1"/>
            </w14:solidFill>
          </w14:textFill>
        </w:rPr>
        <w:t>的规定。螺帽应采用圆头螺帽，并应符合现行国家标准</w:t>
      </w:r>
      <w:bookmarkStart w:id="50" w:name="_Hlk196919827"/>
      <w:r>
        <w:rPr>
          <w:rFonts w:cs="Times New Roman"/>
          <w:color w:val="000000" w:themeColor="text1"/>
          <w:sz w:val="21"/>
          <w:lang w:eastAsia="zh-CN"/>
          <w14:textFill>
            <w14:solidFill>
              <w14:schemeClr w14:val="tx1"/>
            </w14:solidFill>
          </w14:textFill>
        </w:rPr>
        <w:t>《紧固件机械性能 不锈钢螺母》GB/T 3098.15</w:t>
      </w:r>
      <w:bookmarkEnd w:id="50"/>
      <w:r>
        <w:rPr>
          <w:rFonts w:cs="Times New Roman"/>
          <w:color w:val="000000" w:themeColor="text1"/>
          <w:sz w:val="21"/>
          <w:lang w:eastAsia="zh-CN"/>
          <w14:textFill>
            <w14:solidFill>
              <w14:schemeClr w14:val="tx1"/>
            </w14:solidFill>
          </w14:textFill>
        </w:rPr>
        <w:t>的规定。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14</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扩张工具的材质宜为Q235（碳钢）材质，并应符合现行国家标准</w:t>
      </w:r>
      <w:bookmarkStart w:id="51" w:name="_Hlk196919834"/>
      <w:r>
        <w:rPr>
          <w:rFonts w:cs="Times New Roman"/>
          <w:color w:val="000000" w:themeColor="text1"/>
          <w:sz w:val="21"/>
          <w:lang w:eastAsia="zh-CN"/>
          <w14:textFill>
            <w14:solidFill>
              <w14:schemeClr w14:val="tx1"/>
            </w14:solidFill>
          </w14:textFill>
        </w:rPr>
        <w:t>《一般工程用铸造碳钢件》GB/T 11352</w:t>
      </w:r>
      <w:bookmarkEnd w:id="51"/>
      <w:r>
        <w:rPr>
          <w:rFonts w:cs="Times New Roman"/>
          <w:color w:val="000000" w:themeColor="text1"/>
          <w:sz w:val="21"/>
          <w:lang w:eastAsia="zh-CN"/>
          <w14:textFill>
            <w14:solidFill>
              <w14:schemeClr w14:val="tx1"/>
            </w14:solidFill>
          </w14:textFill>
        </w:rPr>
        <w:t>的规定。</w:t>
      </w:r>
    </w:p>
    <w:p>
      <w:pPr>
        <w:pStyle w:val="3"/>
        <w:ind w:firstLine="560"/>
      </w:pPr>
      <w:bookmarkStart w:id="52" w:name="_Toc196915205"/>
      <w:r>
        <w:rPr>
          <w:rFonts w:hint="eastAsia"/>
        </w:rPr>
        <w:t xml:space="preserve">4.3 </w:t>
      </w:r>
      <w:r>
        <w:t>紫外光原位固化法</w:t>
      </w:r>
      <w:bookmarkEnd w:id="52"/>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原材料、半成品和成品的性能及尺寸应符合</w:t>
      </w:r>
      <w:r>
        <w:rPr>
          <w:rFonts w:hint="eastAsia" w:cs="Times New Roman"/>
          <w:color w:val="000000" w:themeColor="text1"/>
          <w:sz w:val="21"/>
          <w:lang w:eastAsia="zh-CN"/>
          <w14:textFill>
            <w14:solidFill>
              <w14:schemeClr w14:val="tx1"/>
            </w14:solidFill>
          </w14:textFill>
        </w:rPr>
        <w:t>现行</w:t>
      </w:r>
      <w:r>
        <w:rPr>
          <w:rFonts w:cs="Times New Roman"/>
          <w:color w:val="000000" w:themeColor="text1"/>
          <w:sz w:val="21"/>
          <w:lang w:eastAsia="zh-CN"/>
          <w14:textFill>
            <w14:solidFill>
              <w14:schemeClr w14:val="tx1"/>
            </w14:solidFill>
          </w14:textFill>
        </w:rPr>
        <w:t>国家标准</w:t>
      </w:r>
      <w:bookmarkStart w:id="53" w:name="_Hlk196919619"/>
      <w:r>
        <w:rPr>
          <w:rFonts w:cs="Times New Roman"/>
          <w:color w:val="000000" w:themeColor="text1"/>
          <w:sz w:val="21"/>
          <w:lang w:eastAsia="zh-CN"/>
          <w14:textFill>
            <w14:solidFill>
              <w14:schemeClr w14:val="tx1"/>
            </w14:solidFill>
          </w14:textFill>
        </w:rPr>
        <w:t>《地下无压排水管网非开挖修复用塑料管道系统第4部分：原位固化内衬法》GB/T 41666.4</w:t>
      </w:r>
      <w:bookmarkEnd w:id="53"/>
      <w:r>
        <w:rPr>
          <w:rFonts w:hint="eastAsia" w:cs="Times New Roman"/>
          <w:color w:val="000000" w:themeColor="text1"/>
          <w:sz w:val="21"/>
          <w:lang w:eastAsia="zh-CN"/>
          <w14:textFill>
            <w14:solidFill>
              <w14:schemeClr w14:val="tx1"/>
            </w14:solidFill>
          </w14:textFill>
        </w:rPr>
        <w:t>的</w:t>
      </w:r>
      <w:r>
        <w:rPr>
          <w:rFonts w:cs="Times New Roman"/>
          <w:color w:val="000000" w:themeColor="text1"/>
          <w:sz w:val="21"/>
          <w:lang w:eastAsia="zh-CN"/>
          <w14:textFill>
            <w14:solidFill>
              <w14:schemeClr w14:val="tx1"/>
            </w14:solidFill>
          </w14:textFill>
        </w:rPr>
        <w:t>规定和设计要求</w:t>
      </w:r>
      <w:r>
        <w:rPr>
          <w:rFonts w:hint="eastAsia" w:cs="Times New Roman"/>
          <w:color w:val="000000" w:themeColor="text1"/>
          <w:sz w:val="21"/>
          <w:lang w:eastAsia="zh-CN"/>
          <w14:textFill>
            <w14:solidFill>
              <w14:schemeClr w14:val="tx1"/>
            </w14:solidFill>
          </w14:textFill>
        </w:rPr>
        <w:t>。</w:t>
      </w:r>
    </w:p>
    <w:p>
      <w:pPr>
        <w:ind w:firstLine="420" w:firstLineChars="0"/>
        <w:rPr>
          <w:rFonts w:cs="Times New Roman"/>
          <w:color w:val="000000" w:themeColor="text1"/>
          <w:sz w:val="21"/>
          <w:lang w:eastAsia="zh-CN"/>
          <w14:textFill>
            <w14:solidFill>
              <w14:schemeClr w14:val="tx1"/>
            </w14:solidFill>
          </w14:textFill>
        </w:rPr>
      </w:pPr>
      <w:bookmarkStart w:id="54" w:name="OLE_LINK4"/>
      <w:r>
        <w:rPr>
          <w:rFonts w:hint="eastAsia" w:cs="Times New Roman"/>
          <w:b/>
          <w:bCs/>
          <w:color w:val="000000" w:themeColor="text1"/>
          <w:sz w:val="21"/>
          <w:lang w:eastAsia="zh-CN"/>
          <w14:textFill>
            <w14:solidFill>
              <w14:schemeClr w14:val="tx1"/>
            </w14:solidFill>
          </w14:textFill>
        </w:rPr>
        <w:t>4.3.</w:t>
      </w:r>
      <w:bookmarkEnd w:id="54"/>
      <w:r>
        <w:rPr>
          <w:rFonts w:hint="eastAsia"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内衬软管在运输、拆御和储藏过程中，应采取避光和控温措施。</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4.3.3</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内衬软管不应存在可见的流胶、缩径、壁厚不均等缺陷。</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内衬软管生产厂家应提供满足内衬管有效固化的光源种类、波长、辐照剂量、工作压力等施工参数。</w:t>
      </w:r>
    </w:p>
    <w:p>
      <w:pPr>
        <w:ind w:firstLine="420" w:firstLineChars="0"/>
        <w:rPr>
          <w:rFonts w:cs="Times New Roman"/>
          <w:color w:val="000000" w:themeColor="text1"/>
          <w:sz w:val="21"/>
          <w:lang w:eastAsia="zh-CN"/>
          <w14:textFill>
            <w14:solidFill>
              <w14:schemeClr w14:val="tx1"/>
            </w14:solidFill>
          </w14:textFill>
        </w:rPr>
      </w:pPr>
      <w:bookmarkStart w:id="55" w:name="OLE_LINK10"/>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bookmarkEnd w:id="55"/>
      <w:r>
        <w:rPr>
          <w:rFonts w:hint="eastAsia"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施工</w:t>
      </w:r>
      <w:r>
        <w:rPr>
          <w:rFonts w:cs="Times New Roman"/>
          <w:color w:val="000000" w:themeColor="text1"/>
          <w:sz w:val="21"/>
          <w:lang w:eastAsia="zh-CN"/>
          <w14:textFill>
            <w14:solidFill>
              <w14:schemeClr w14:val="tx1"/>
            </w14:solidFill>
          </w14:textFill>
        </w:rPr>
        <w:t>替换绳宜采用芳纶材料，并应符合</w:t>
      </w:r>
      <w:bookmarkStart w:id="56" w:name="_Hlk196919629"/>
      <w:r>
        <w:rPr>
          <w:rFonts w:cs="Times New Roman"/>
          <w:color w:val="000000" w:themeColor="text1"/>
          <w:sz w:val="21"/>
          <w:lang w:eastAsia="zh-CN"/>
          <w14:textFill>
            <w14:solidFill>
              <w14:schemeClr w14:val="tx1"/>
            </w14:solidFill>
          </w14:textFill>
        </w:rPr>
        <w:t>现行国家标准</w:t>
      </w:r>
      <w:bookmarkStart w:id="57" w:name="_Hlk196919849"/>
      <w:r>
        <w:rPr>
          <w:rFonts w:cs="Times New Roman"/>
          <w:color w:val="000000" w:themeColor="text1"/>
          <w:sz w:val="21"/>
          <w:lang w:eastAsia="zh-CN"/>
          <w14:textFill>
            <w14:solidFill>
              <w14:schemeClr w14:val="tx1"/>
            </w14:solidFill>
          </w14:textFill>
        </w:rPr>
        <w:t>《纤维绳索</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聚酯3股、4股、8股和12股绳索》</w:t>
      </w:r>
      <w:bookmarkStart w:id="58" w:name="OLE_LINK115"/>
      <w:r>
        <w:rPr>
          <w:rFonts w:cs="Times New Roman"/>
          <w:color w:val="000000" w:themeColor="text1"/>
          <w:sz w:val="21"/>
          <w:lang w:eastAsia="zh-CN"/>
          <w14:textFill>
            <w14:solidFill>
              <w14:schemeClr w14:val="tx1"/>
            </w14:solidFill>
          </w14:textFill>
        </w:rPr>
        <w:t>GB/T</w:t>
      </w:r>
      <w:bookmarkEnd w:id="58"/>
      <w:r>
        <w:rPr>
          <w:rFonts w:cs="Times New Roman"/>
          <w:color w:val="000000" w:themeColor="text1"/>
          <w:sz w:val="21"/>
          <w:lang w:eastAsia="zh-CN"/>
          <w14:textFill>
            <w14:solidFill>
              <w14:schemeClr w14:val="tx1"/>
            </w14:solidFill>
          </w14:textFill>
        </w:rPr>
        <w:t xml:space="preserve"> 11787</w:t>
      </w:r>
      <w:bookmarkEnd w:id="56"/>
      <w:bookmarkEnd w:id="57"/>
      <w:r>
        <w:rPr>
          <w:rFonts w:cs="Times New Roman"/>
          <w:color w:val="000000" w:themeColor="text1"/>
          <w:sz w:val="21"/>
          <w:lang w:eastAsia="zh-CN"/>
          <w14:textFill>
            <w14:solidFill>
              <w14:schemeClr w14:val="tx1"/>
            </w14:solidFill>
          </w14:textFill>
        </w:rPr>
        <w:t>的规定。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 xml:space="preserve"> 垫膜宜采用高密度聚乙烯材料，并应符合</w:t>
      </w:r>
      <w:bookmarkStart w:id="59" w:name="_Hlk196919635"/>
      <w:r>
        <w:rPr>
          <w:rFonts w:cs="Times New Roman"/>
          <w:color w:val="000000" w:themeColor="text1"/>
          <w:sz w:val="21"/>
          <w:lang w:eastAsia="zh-CN"/>
          <w14:textFill>
            <w14:solidFill>
              <w14:schemeClr w14:val="tx1"/>
            </w14:solidFill>
          </w14:textFill>
        </w:rPr>
        <w:t>现行国家标准</w:t>
      </w:r>
      <w:bookmarkStart w:id="60" w:name="_Hlk196919875"/>
      <w:r>
        <w:rPr>
          <w:rFonts w:cs="Times New Roman"/>
          <w:color w:val="000000" w:themeColor="text1"/>
          <w:sz w:val="21"/>
          <w:lang w:eastAsia="zh-CN"/>
          <w14:textFill>
            <w14:solidFill>
              <w14:schemeClr w14:val="tx1"/>
            </w14:solidFill>
          </w14:textFill>
        </w:rPr>
        <w:t>《土工合成材料聚乙烯土工膜》GB/T</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17643</w:t>
      </w:r>
      <w:bookmarkEnd w:id="59"/>
      <w:bookmarkEnd w:id="60"/>
      <w:r>
        <w:rPr>
          <w:rFonts w:cs="Times New Roman"/>
          <w:color w:val="000000" w:themeColor="text1"/>
          <w:sz w:val="21"/>
          <w:lang w:eastAsia="zh-CN"/>
          <w14:textFill>
            <w14:solidFill>
              <w14:schemeClr w14:val="tx1"/>
            </w14:solidFill>
          </w14:textFill>
        </w:rPr>
        <w:t>的规定。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 xml:space="preserve"> 灯膜宜采用与玻纤软管内膜相同材质的筒膜。</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 xml:space="preserve"> 扎头布宜采用聚乙烯复合材料，并应符合</w:t>
      </w:r>
      <w:bookmarkStart w:id="61" w:name="_Hlk196919640"/>
      <w:r>
        <w:rPr>
          <w:rFonts w:cs="Times New Roman"/>
          <w:color w:val="000000" w:themeColor="text1"/>
          <w:sz w:val="21"/>
          <w:lang w:eastAsia="zh-CN"/>
          <w14:textFill>
            <w14:solidFill>
              <w14:schemeClr w14:val="tx1"/>
            </w14:solidFill>
          </w14:textFill>
        </w:rPr>
        <w:t>现行国家标准《土工合成材料聚乙烯土工膜》GB/T</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17643</w:t>
      </w:r>
      <w:bookmarkEnd w:id="61"/>
      <w:r>
        <w:rPr>
          <w:rFonts w:cs="Times New Roman"/>
          <w:color w:val="000000" w:themeColor="text1"/>
          <w:sz w:val="21"/>
          <w:lang w:eastAsia="zh-CN"/>
          <w14:textFill>
            <w14:solidFill>
              <w14:schemeClr w14:val="tx1"/>
            </w14:solidFill>
          </w14:textFill>
        </w:rPr>
        <w:t>的规定。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树脂应符合现行国家标准</w:t>
      </w:r>
      <w:bookmarkStart w:id="62" w:name="OLE_LINK114"/>
      <w:r>
        <w:rPr>
          <w:rFonts w:cs="Times New Roman"/>
          <w:color w:val="000000" w:themeColor="text1"/>
          <w:sz w:val="21"/>
          <w:lang w:eastAsia="zh-CN"/>
          <w14:textFill>
            <w14:solidFill>
              <w14:schemeClr w14:val="tx1"/>
            </w14:solidFill>
          </w14:textFill>
        </w:rPr>
        <w:t>《纤维增强塑料用液体不饱和聚酯树脂》GB/T</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8237</w:t>
      </w:r>
      <w:bookmarkEnd w:id="62"/>
      <w:r>
        <w:rPr>
          <w:rFonts w:hint="eastAsia" w:cs="Times New Roman"/>
          <w:color w:val="000000" w:themeColor="text1"/>
          <w:sz w:val="21"/>
          <w:lang w:eastAsia="zh-CN"/>
          <w14:textFill>
            <w14:solidFill>
              <w14:schemeClr w14:val="tx1"/>
            </w14:solidFill>
          </w14:textFill>
        </w:rPr>
        <w:t>的规定，不应使用邻苯类树脂</w:t>
      </w:r>
      <w:r>
        <w:rPr>
          <w:rFonts w:cs="Times New Roman"/>
          <w:color w:val="000000" w:themeColor="text1"/>
          <w:sz w:val="21"/>
          <w:lang w:eastAsia="zh-CN"/>
          <w14:textFill>
            <w14:solidFill>
              <w14:schemeClr w14:val="tx1"/>
            </w14:solidFill>
          </w14:textFill>
        </w:rPr>
        <w:t>。</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10</w:t>
      </w:r>
      <w:r>
        <w:rPr>
          <w:rFonts w:cs="Times New Roman"/>
          <w:color w:val="000000" w:themeColor="text1"/>
          <w:sz w:val="21"/>
          <w:lang w:eastAsia="zh-CN"/>
          <w14:textFill>
            <w14:solidFill>
              <w14:schemeClr w14:val="tx1"/>
            </w14:solidFill>
          </w14:textFill>
        </w:rPr>
        <w:t xml:space="preserve"> 内衬管的短期力学性能指标应符合表</w:t>
      </w:r>
      <w:r>
        <w:rPr>
          <w:rFonts w:hint="eastAsia" w:cs="Times New Roman"/>
          <w:color w:val="000000" w:themeColor="text1"/>
          <w:sz w:val="21"/>
          <w:lang w:eastAsia="zh-CN"/>
          <w14:textFill>
            <w14:solidFill>
              <w14:schemeClr w14:val="tx1"/>
            </w14:solidFill>
          </w14:textFill>
        </w:rPr>
        <w:t>4.3</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10</w:t>
      </w:r>
      <w:r>
        <w:rPr>
          <w:rFonts w:cs="Times New Roman"/>
          <w:color w:val="000000" w:themeColor="text1"/>
          <w:sz w:val="21"/>
          <w:lang w:eastAsia="zh-CN"/>
          <w14:textFill>
            <w14:solidFill>
              <w14:schemeClr w14:val="tx1"/>
            </w14:solidFill>
          </w14:textFill>
        </w:rPr>
        <w:t>的规定。</w:t>
      </w:r>
    </w:p>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 xml:space="preserve"> 内衬管短期力学性能指标</w:t>
      </w:r>
    </w:p>
    <w:tbl>
      <w:tblPr>
        <w:tblStyle w:val="16"/>
        <w:tblW w:w="5000" w:type="pct"/>
        <w:tblInd w:w="0" w:type="dxa"/>
        <w:tblLayout w:type="autofit"/>
        <w:tblCellMar>
          <w:top w:w="0" w:type="dxa"/>
          <w:left w:w="108" w:type="dxa"/>
          <w:bottom w:w="0" w:type="dxa"/>
          <w:right w:w="108" w:type="dxa"/>
        </w:tblCellMar>
      </w:tblPr>
      <w:tblGrid>
        <w:gridCol w:w="1154"/>
        <w:gridCol w:w="1503"/>
        <w:gridCol w:w="5865"/>
      </w:tblGrid>
      <w:tr>
        <w:tblPrEx>
          <w:tblCellMar>
            <w:top w:w="0" w:type="dxa"/>
            <w:left w:w="108" w:type="dxa"/>
            <w:bottom w:w="0" w:type="dxa"/>
            <w:right w:w="108" w:type="dxa"/>
          </w:tblCellMar>
        </w:tblPrEx>
        <w:trPr>
          <w:trHeight w:val="576" w:hRule="atLeast"/>
        </w:trPr>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性能</w:t>
            </w:r>
          </w:p>
        </w:tc>
        <w:tc>
          <w:tcPr>
            <w:tcW w:w="882"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控制指标（MPa）</w:t>
            </w:r>
          </w:p>
        </w:tc>
        <w:tc>
          <w:tcPr>
            <w:tcW w:w="3441"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测试方法</w:t>
            </w:r>
          </w:p>
        </w:tc>
      </w:tr>
      <w:tr>
        <w:tblPrEx>
          <w:tblCellMar>
            <w:top w:w="0" w:type="dxa"/>
            <w:left w:w="108" w:type="dxa"/>
            <w:bottom w:w="0" w:type="dxa"/>
            <w:right w:w="108" w:type="dxa"/>
          </w:tblCellMar>
        </w:tblPrEx>
        <w:trPr>
          <w:trHeight w:val="288" w:hRule="atLeast"/>
        </w:trPr>
        <w:tc>
          <w:tcPr>
            <w:tcW w:w="67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弯曲强度</w:t>
            </w:r>
          </w:p>
        </w:tc>
        <w:tc>
          <w:tcPr>
            <w:tcW w:w="88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w:t>
            </w:r>
            <w:r>
              <w:rPr>
                <w:rFonts w:hint="eastAsia" w:cs="Times New Roman"/>
                <w:snapToGrid/>
                <w:color w:val="000000" w:themeColor="text1"/>
                <w:sz w:val="21"/>
                <w:lang w:eastAsia="zh-CN"/>
                <w14:textFill>
                  <w14:solidFill>
                    <w14:schemeClr w14:val="tx1"/>
                  </w14:solidFill>
                </w14:textFill>
              </w:rPr>
              <w:t>125</w:t>
            </w:r>
          </w:p>
        </w:tc>
        <w:tc>
          <w:tcPr>
            <w:tcW w:w="344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bookmarkStart w:id="63" w:name="_Hlk196919889"/>
            <w:r>
              <w:rPr>
                <w:rFonts w:cs="Times New Roman"/>
                <w:snapToGrid/>
                <w:color w:val="000000" w:themeColor="text1"/>
                <w:sz w:val="21"/>
                <w:lang w:eastAsia="zh-CN"/>
                <w14:textFill>
                  <w14:solidFill>
                    <w14:schemeClr w14:val="tx1"/>
                  </w14:solidFill>
                </w14:textFill>
              </w:rPr>
              <w:t>《纤维增强塑料弯曲性能试验方法》GB</w:t>
            </w: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T 1449</w:t>
            </w:r>
            <w:bookmarkEnd w:id="63"/>
          </w:p>
        </w:tc>
      </w:tr>
      <w:tr>
        <w:tblPrEx>
          <w:tblCellMar>
            <w:top w:w="0" w:type="dxa"/>
            <w:left w:w="108" w:type="dxa"/>
            <w:bottom w:w="0" w:type="dxa"/>
            <w:right w:w="108" w:type="dxa"/>
          </w:tblCellMar>
        </w:tblPrEx>
        <w:trPr>
          <w:trHeight w:val="600" w:hRule="atLeast"/>
        </w:trPr>
        <w:tc>
          <w:tcPr>
            <w:tcW w:w="67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弯曲模量</w:t>
            </w:r>
          </w:p>
        </w:tc>
        <w:tc>
          <w:tcPr>
            <w:tcW w:w="88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1</w:t>
            </w:r>
            <w:r>
              <w:rPr>
                <w:rFonts w:hint="eastAsia" w:cs="Times New Roman"/>
                <w:snapToGrid/>
                <w:color w:val="000000" w:themeColor="text1"/>
                <w:sz w:val="21"/>
                <w:lang w:eastAsia="zh-CN"/>
                <w14:textFill>
                  <w14:solidFill>
                    <w14:schemeClr w14:val="tx1"/>
                  </w14:solidFill>
                </w14:textFill>
              </w:rPr>
              <w:t>0</w:t>
            </w:r>
            <w:r>
              <w:rPr>
                <w:rFonts w:cs="Times New Roman"/>
                <w:snapToGrid/>
                <w:color w:val="000000" w:themeColor="text1"/>
                <w:sz w:val="21"/>
                <w:lang w:eastAsia="zh-CN"/>
                <w14:textFill>
                  <w14:solidFill>
                    <w14:schemeClr w14:val="tx1"/>
                  </w14:solidFill>
                </w14:textFill>
              </w:rPr>
              <w:t>000</w:t>
            </w:r>
          </w:p>
        </w:tc>
        <w:tc>
          <w:tcPr>
            <w:tcW w:w="344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bookmarkStart w:id="64" w:name="_Hlk196919894"/>
            <w:r>
              <w:rPr>
                <w:rFonts w:cs="Times New Roman"/>
                <w:snapToGrid/>
                <w:color w:val="000000" w:themeColor="text1"/>
                <w:sz w:val="21"/>
                <w:lang w:eastAsia="zh-CN"/>
                <w14:textFill>
                  <w14:solidFill>
                    <w14:schemeClr w14:val="tx1"/>
                  </w14:solidFill>
                </w14:textFill>
              </w:rPr>
              <w:t>《纤维增强塑料弯曲性能试验方法》GB</w:t>
            </w: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T 1449</w:t>
            </w:r>
            <w:bookmarkEnd w:id="64"/>
          </w:p>
        </w:tc>
      </w:tr>
      <w:tr>
        <w:tblPrEx>
          <w:tblCellMar>
            <w:top w:w="0" w:type="dxa"/>
            <w:left w:w="108" w:type="dxa"/>
            <w:bottom w:w="0" w:type="dxa"/>
            <w:right w:w="108" w:type="dxa"/>
          </w:tblCellMar>
        </w:tblPrEx>
        <w:trPr>
          <w:trHeight w:val="636" w:hRule="atLeast"/>
        </w:trPr>
        <w:tc>
          <w:tcPr>
            <w:tcW w:w="67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抗拉强度</w:t>
            </w:r>
          </w:p>
        </w:tc>
        <w:tc>
          <w:tcPr>
            <w:tcW w:w="88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≥80</w:t>
            </w:r>
          </w:p>
        </w:tc>
        <w:tc>
          <w:tcPr>
            <w:tcW w:w="344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bookmarkStart w:id="65" w:name="_Hlk196919902"/>
            <w:r>
              <w:rPr>
                <w:rFonts w:cs="Times New Roman"/>
                <w:snapToGrid/>
                <w:color w:val="000000" w:themeColor="text1"/>
                <w:sz w:val="21"/>
                <w:lang w:eastAsia="zh-CN"/>
                <w14:textFill>
                  <w14:solidFill>
                    <w14:schemeClr w14:val="tx1"/>
                  </w14:solidFill>
                </w14:textFill>
              </w:rPr>
              <w:t>《塑料 拉伸性能的测定 第4部分：各向同性和正交各向异性纤维增强复合材料的试验条件》GB/T 1040.4</w:t>
            </w:r>
            <w:bookmarkEnd w:id="65"/>
          </w:p>
        </w:tc>
      </w:tr>
    </w:tbl>
    <w:p>
      <w:pPr>
        <w:ind w:firstLine="420" w:firstLineChars="0"/>
        <w:jc w:val="left"/>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4.3.11</w:t>
      </w:r>
      <w:r>
        <w:rPr>
          <w:rFonts w:cs="Times New Roman"/>
          <w:color w:val="000000" w:themeColor="text1"/>
          <w:sz w:val="21"/>
          <w:lang w:eastAsia="zh-CN"/>
          <w14:textFill>
            <w14:solidFill>
              <w14:schemeClr w14:val="tx1"/>
            </w14:solidFill>
          </w14:textFill>
        </w:rPr>
        <w:t xml:space="preserve"> 内衬管的耐化学腐蚀性检验可按</w:t>
      </w:r>
      <w:bookmarkStart w:id="66" w:name="_Hlk196919672"/>
      <w:r>
        <w:rPr>
          <w:rFonts w:cs="Times New Roman"/>
          <w:color w:val="000000" w:themeColor="text1"/>
          <w:sz w:val="21"/>
          <w:lang w:eastAsia="zh-CN"/>
          <w14:textFill>
            <w14:solidFill>
              <w14:schemeClr w14:val="tx1"/>
            </w14:solidFill>
          </w14:textFill>
        </w:rPr>
        <w:t>现行国家标准</w:t>
      </w:r>
      <w:bookmarkStart w:id="67" w:name="_Hlk196919911"/>
      <w:r>
        <w:rPr>
          <w:rFonts w:cs="Times New Roman"/>
          <w:color w:val="000000" w:themeColor="text1"/>
          <w:sz w:val="21"/>
          <w:lang w:eastAsia="zh-CN"/>
          <w14:textFill>
            <w14:solidFill>
              <w14:schemeClr w14:val="tx1"/>
            </w14:solidFill>
          </w14:textFill>
        </w:rPr>
        <w:t>《塑料耐液体化学试剂性能的测定》GB/T 11547</w:t>
      </w:r>
      <w:bookmarkEnd w:id="66"/>
      <w:bookmarkEnd w:id="67"/>
      <w:r>
        <w:rPr>
          <w:rFonts w:cs="Times New Roman"/>
          <w:color w:val="000000" w:themeColor="text1"/>
          <w:sz w:val="21"/>
          <w:lang w:eastAsia="zh-CN"/>
          <w14:textFill>
            <w14:solidFill>
              <w14:schemeClr w14:val="tx1"/>
            </w14:solidFill>
          </w14:textFill>
        </w:rPr>
        <w:t>执行，并应符合下列规定：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耐化学性的检测浸泡时间宜为</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28d，试验温度应为23℃</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2℃；</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浸泡典型介质应按表4.3.</w:t>
      </w:r>
      <w:r>
        <w:rPr>
          <w:rFonts w:hint="eastAsia" w:cs="Times New Roman"/>
          <w:color w:val="000000" w:themeColor="text1"/>
          <w:sz w:val="21"/>
          <w:lang w:eastAsia="zh-CN"/>
          <w14:textFill>
            <w14:solidFill>
              <w14:schemeClr w14:val="tx1"/>
            </w14:solidFill>
          </w14:textFill>
        </w:rPr>
        <w:t>11</w:t>
      </w:r>
      <w:r>
        <w:rPr>
          <w:rFonts w:cs="Times New Roman"/>
          <w:color w:val="000000" w:themeColor="text1"/>
          <w:sz w:val="21"/>
          <w:lang w:eastAsia="zh-CN"/>
          <w14:textFill>
            <w14:solidFill>
              <w14:schemeClr w14:val="tx1"/>
            </w14:solidFill>
          </w14:textFill>
        </w:rPr>
        <w:t>选取</w:t>
      </w:r>
      <w:r>
        <w:rPr>
          <w:rFonts w:hint="eastAsia" w:cs="Times New Roman"/>
          <w:color w:val="000000" w:themeColor="text1"/>
          <w:sz w:val="21"/>
          <w:lang w:eastAsia="zh-CN"/>
          <w14:textFill>
            <w14:solidFill>
              <w14:schemeClr w14:val="tx1"/>
            </w14:solidFill>
          </w14:textFill>
        </w:rPr>
        <w:t>；</w:t>
      </w:r>
    </w:p>
    <w:p>
      <w:pPr>
        <w:ind w:firstLine="422"/>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11</w:t>
      </w:r>
      <w:r>
        <w:rPr>
          <w:rFonts w:cs="Times New Roman"/>
          <w:b/>
          <w:bCs/>
          <w:color w:val="000000" w:themeColor="text1"/>
          <w:sz w:val="21"/>
          <w:lang w:eastAsia="zh-CN"/>
          <w14:textFill>
            <w14:solidFill>
              <w14:schemeClr w14:val="tx1"/>
            </w14:solidFill>
          </w14:textFill>
        </w:rPr>
        <w:t xml:space="preserve"> 浸泡典型介质</w:t>
      </w:r>
    </w:p>
    <w:tbl>
      <w:tblPr>
        <w:tblStyle w:val="16"/>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5"/>
        <w:gridCol w:w="2620"/>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962" w:type="pct"/>
            <w:vAlign w:val="center"/>
          </w:tcPr>
          <w:p>
            <w:pPr>
              <w:ind w:firstLine="420"/>
              <w:jc w:val="center"/>
              <w:rPr>
                <w:rFonts w:cs="Times New Roman"/>
                <w:bCs/>
                <w:color w:val="000000" w:themeColor="text1"/>
                <w:sz w:val="21"/>
                <w:lang w:eastAsia="zh-CN"/>
                <w14:textFill>
                  <w14:solidFill>
                    <w14:schemeClr w14:val="tx1"/>
                  </w14:solidFill>
                </w14:textFill>
              </w:rPr>
            </w:pPr>
            <w:r>
              <w:rPr>
                <w:rFonts w:cs="Times New Roman"/>
                <w:bCs/>
                <w:color w:val="000000" w:themeColor="text1"/>
                <w:sz w:val="21"/>
                <w:lang w:eastAsia="zh-CN"/>
                <w14:textFill>
                  <w14:solidFill>
                    <w14:schemeClr w14:val="tx1"/>
                  </w14:solidFill>
                </w14:textFill>
              </w:rPr>
              <w:t>化合物溶液</w:t>
            </w:r>
          </w:p>
        </w:tc>
        <w:tc>
          <w:tcPr>
            <w:tcW w:w="1537" w:type="pct"/>
            <w:vAlign w:val="center"/>
          </w:tcPr>
          <w:p>
            <w:pPr>
              <w:ind w:firstLine="0" w:firstLineChars="0"/>
              <w:jc w:val="center"/>
              <w:rPr>
                <w:rFonts w:cs="Times New Roman"/>
                <w:bCs/>
                <w:color w:val="000000" w:themeColor="text1"/>
                <w:sz w:val="21"/>
                <w:lang w:eastAsia="zh-CN"/>
                <w14:textFill>
                  <w14:solidFill>
                    <w14:schemeClr w14:val="tx1"/>
                  </w14:solidFill>
                </w14:textFill>
              </w:rPr>
            </w:pPr>
            <w:r>
              <w:rPr>
                <w:rFonts w:cs="Times New Roman"/>
                <w:bCs/>
                <w:color w:val="000000" w:themeColor="text1"/>
                <w:sz w:val="21"/>
                <w:lang w:eastAsia="zh-CN"/>
                <w14:textFill>
                  <w14:solidFill>
                    <w14:schemeClr w14:val="tx1"/>
                  </w14:solidFill>
                </w14:textFill>
              </w:rPr>
              <w:t>间苯型不饱和聚酯树脂</w:t>
            </w:r>
          </w:p>
        </w:tc>
        <w:tc>
          <w:tcPr>
            <w:tcW w:w="1500" w:type="pct"/>
            <w:vAlign w:val="center"/>
          </w:tcPr>
          <w:p>
            <w:pPr>
              <w:ind w:firstLine="0" w:firstLineChars="0"/>
              <w:jc w:val="center"/>
              <w:rPr>
                <w:rFonts w:cs="Times New Roman"/>
                <w:bCs/>
                <w:color w:val="000000" w:themeColor="text1"/>
                <w:sz w:val="21"/>
                <w:lang w:eastAsia="zh-CN"/>
                <w14:textFill>
                  <w14:solidFill>
                    <w14:schemeClr w14:val="tx1"/>
                  </w14:solidFill>
                </w14:textFill>
              </w:rPr>
            </w:pPr>
            <w:r>
              <w:rPr>
                <w:rFonts w:cs="Times New Roman"/>
                <w:bCs/>
                <w:color w:val="000000" w:themeColor="text1"/>
                <w:sz w:val="21"/>
                <w:lang w:eastAsia="zh-CN"/>
                <w14:textFill>
                  <w14:solidFill>
                    <w14:schemeClr w14:val="tx1"/>
                  </w14:solidFill>
                </w14:textFill>
              </w:rPr>
              <w:t>乙烯基酯树脂/环氧树脂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right"/>
        </w:trPr>
        <w:tc>
          <w:tcPr>
            <w:tcW w:w="1962" w:type="pct"/>
            <w:vAlign w:val="center"/>
          </w:tcPr>
          <w:p>
            <w:pPr>
              <w:ind w:firstLine="0" w:firstLineChars="0"/>
              <w:jc w:val="center"/>
              <w:rPr>
                <w:rFonts w:cs="Times New Roman"/>
                <w:bCs/>
                <w:color w:val="000000" w:themeColor="text1"/>
                <w:sz w:val="21"/>
                <w:lang w:eastAsia="zh-CN"/>
                <w14:textFill>
                  <w14:solidFill>
                    <w14:schemeClr w14:val="tx1"/>
                  </w14:solidFill>
                </w14:textFill>
              </w:rPr>
            </w:pPr>
            <w:r>
              <w:rPr>
                <w:rFonts w:cs="Times New Roman"/>
                <w:bCs/>
                <w:color w:val="000000" w:themeColor="text1"/>
                <w:sz w:val="21"/>
                <w:lang w:eastAsia="zh-CN"/>
                <w14:textFill>
                  <w14:solidFill>
                    <w14:schemeClr w14:val="tx1"/>
                  </w14:solidFill>
                </w14:textFill>
              </w:rPr>
              <w:t>5.0%浓度pH为</w:t>
            </w:r>
            <w:r>
              <w:rPr>
                <w:rFonts w:hint="eastAsia" w:cs="Times New Roman"/>
                <w:bCs/>
                <w:color w:val="000000" w:themeColor="text1"/>
                <w:sz w:val="21"/>
                <w:lang w:eastAsia="zh-CN"/>
                <w14:textFill>
                  <w14:solidFill>
                    <w14:schemeClr w14:val="tx1"/>
                  </w14:solidFill>
                </w14:textFill>
              </w:rPr>
              <w:t xml:space="preserve"> </w:t>
            </w:r>
            <w:r>
              <w:rPr>
                <w:rFonts w:cs="Times New Roman"/>
                <w:bCs/>
                <w:color w:val="000000" w:themeColor="text1"/>
                <w:sz w:val="21"/>
                <w:lang w:eastAsia="zh-CN"/>
                <w14:textFill>
                  <w14:solidFill>
                    <w14:schemeClr w14:val="tx1"/>
                  </w14:solidFill>
                </w14:textFill>
              </w:rPr>
              <w:t>1</w:t>
            </w:r>
            <w:r>
              <w:rPr>
                <w:rFonts w:hint="eastAsia" w:cs="Times New Roman"/>
                <w:bCs/>
                <w:color w:val="000000" w:themeColor="text1"/>
                <w:sz w:val="21"/>
                <w:lang w:eastAsia="zh-CN"/>
                <w14:textFill>
                  <w14:solidFill>
                    <w14:schemeClr w14:val="tx1"/>
                  </w14:solidFill>
                </w14:textFill>
              </w:rPr>
              <w:t xml:space="preserve"> </w:t>
            </w:r>
            <w:r>
              <w:rPr>
                <w:rFonts w:cs="Times New Roman"/>
                <w:bCs/>
                <w:color w:val="000000" w:themeColor="text1"/>
                <w:sz w:val="21"/>
                <w:lang w:eastAsia="zh-CN"/>
                <w14:textFill>
                  <w14:solidFill>
                    <w14:schemeClr w14:val="tx1"/>
                  </w14:solidFill>
                </w14:textFill>
              </w:rPr>
              <w:t>的H</w:t>
            </w:r>
            <w:r>
              <w:rPr>
                <w:rFonts w:cs="Times New Roman"/>
                <w:bCs/>
                <w:color w:val="000000" w:themeColor="text1"/>
                <w:sz w:val="21"/>
                <w:vertAlign w:val="subscript"/>
                <w:lang w:eastAsia="zh-CN"/>
                <w14:textFill>
                  <w14:solidFill>
                    <w14:schemeClr w14:val="tx1"/>
                  </w14:solidFill>
                </w14:textFill>
              </w:rPr>
              <w:t>2</w:t>
            </w:r>
            <w:r>
              <w:rPr>
                <w:rFonts w:cs="Times New Roman"/>
                <w:bCs/>
                <w:color w:val="000000" w:themeColor="text1"/>
                <w:sz w:val="21"/>
                <w:lang w:eastAsia="zh-CN"/>
                <w14:textFill>
                  <w14:solidFill>
                    <w14:schemeClr w14:val="tx1"/>
                  </w14:solidFill>
                </w14:textFill>
              </w:rPr>
              <w:t>SO</w:t>
            </w:r>
            <w:r>
              <w:rPr>
                <w:rFonts w:cs="Times New Roman"/>
                <w:bCs/>
                <w:color w:val="000000" w:themeColor="text1"/>
                <w:sz w:val="21"/>
                <w:vertAlign w:val="subscript"/>
                <w:lang w:eastAsia="zh-CN"/>
                <w14:textFill>
                  <w14:solidFill>
                    <w14:schemeClr w14:val="tx1"/>
                  </w14:solidFill>
                </w14:textFill>
              </w:rPr>
              <w:t>4</w:t>
            </w:r>
            <w:r>
              <w:rPr>
                <w:rFonts w:cs="Times New Roman"/>
                <w:bCs/>
                <w:color w:val="000000" w:themeColor="text1"/>
                <w:sz w:val="21"/>
                <w:lang w:eastAsia="zh-CN"/>
                <w14:textFill>
                  <w14:solidFill>
                    <w14:schemeClr w14:val="tx1"/>
                  </w14:solidFill>
                </w14:textFill>
              </w:rPr>
              <w:t>溶液</w:t>
            </w:r>
          </w:p>
        </w:tc>
        <w:tc>
          <w:tcPr>
            <w:tcW w:w="1537" w:type="pct"/>
            <w:vAlign w:val="center"/>
          </w:tcPr>
          <w:p>
            <w:pPr>
              <w:ind w:firstLine="420"/>
              <w:jc w:val="center"/>
              <w:rPr>
                <w:rFonts w:cs="Times New Roman"/>
                <w:bCs/>
                <w:color w:val="000000" w:themeColor="text1"/>
                <w:sz w:val="21"/>
                <w:lang w:eastAsia="zh-CN"/>
                <w14:textFill>
                  <w14:solidFill>
                    <w14:schemeClr w14:val="tx1"/>
                  </w14:solidFill>
                </w14:textFill>
              </w:rPr>
            </w:pPr>
            <w:r>
              <w:rPr>
                <w:rFonts w:cs="Times New Roman"/>
                <w:bCs/>
                <w:color w:val="000000" w:themeColor="text1"/>
                <w:sz w:val="21"/>
                <w:lang w:eastAsia="zh-CN"/>
                <w14:textFill>
                  <w14:solidFill>
                    <w14:schemeClr w14:val="tx1"/>
                  </w14:solidFill>
                </w14:textFill>
              </w:rPr>
              <w:t>选测</w:t>
            </w:r>
          </w:p>
        </w:tc>
        <w:tc>
          <w:tcPr>
            <w:tcW w:w="1500" w:type="pct"/>
            <w:vAlign w:val="center"/>
          </w:tcPr>
          <w:p>
            <w:pPr>
              <w:ind w:firstLine="420"/>
              <w:jc w:val="center"/>
              <w:rPr>
                <w:rFonts w:cs="Times New Roman"/>
                <w:bCs/>
                <w:color w:val="000000" w:themeColor="text1"/>
                <w:sz w:val="21"/>
                <w:lang w:eastAsia="zh-CN"/>
                <w14:textFill>
                  <w14:solidFill>
                    <w14:schemeClr w14:val="tx1"/>
                  </w14:solidFill>
                </w14:textFill>
              </w:rPr>
            </w:pPr>
            <w:r>
              <w:rPr>
                <w:rFonts w:cs="Times New Roman"/>
                <w:bCs/>
                <w:color w:val="000000" w:themeColor="text1"/>
                <w:sz w:val="21"/>
                <w:lang w:eastAsia="zh-CN"/>
                <w14:textFill>
                  <w14:solidFill>
                    <w14:schemeClr w14:val="tx1"/>
                  </w14:solidFill>
                </w14:textFill>
              </w:rPr>
              <w:t>选测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962" w:type="pct"/>
            <w:vAlign w:val="center"/>
          </w:tcPr>
          <w:p>
            <w:pPr>
              <w:ind w:firstLine="0" w:firstLineChars="0"/>
              <w:jc w:val="center"/>
              <w:rPr>
                <w:rFonts w:cs="Times New Roman"/>
                <w:bCs/>
                <w:color w:val="000000" w:themeColor="text1"/>
                <w:sz w:val="21"/>
                <w:lang w:eastAsia="zh-CN"/>
                <w14:textFill>
                  <w14:solidFill>
                    <w14:schemeClr w14:val="tx1"/>
                  </w14:solidFill>
                </w14:textFill>
              </w:rPr>
            </w:pPr>
            <w:r>
              <w:rPr>
                <w:rFonts w:cs="Times New Roman"/>
                <w:bCs/>
                <w:color w:val="000000" w:themeColor="text1"/>
                <w:sz w:val="21"/>
                <w:lang w:eastAsia="zh-CN"/>
                <w14:textFill>
                  <w14:solidFill>
                    <w14:schemeClr w14:val="tx1"/>
                  </w14:solidFill>
                </w14:textFill>
              </w:rPr>
              <w:t>0.5%浓度pH为</w:t>
            </w:r>
            <w:r>
              <w:rPr>
                <w:rFonts w:hint="eastAsia" w:cs="Times New Roman"/>
                <w:bCs/>
                <w:color w:val="000000" w:themeColor="text1"/>
                <w:sz w:val="21"/>
                <w:lang w:eastAsia="zh-CN"/>
                <w14:textFill>
                  <w14:solidFill>
                    <w14:schemeClr w14:val="tx1"/>
                  </w14:solidFill>
                </w14:textFill>
              </w:rPr>
              <w:t xml:space="preserve"> </w:t>
            </w:r>
            <w:r>
              <w:rPr>
                <w:rFonts w:cs="Times New Roman"/>
                <w:bCs/>
                <w:color w:val="000000" w:themeColor="text1"/>
                <w:sz w:val="21"/>
                <w:lang w:eastAsia="zh-CN"/>
                <w14:textFill>
                  <w14:solidFill>
                    <w14:schemeClr w14:val="tx1"/>
                  </w14:solidFill>
                </w14:textFill>
              </w:rPr>
              <w:t>10</w:t>
            </w:r>
            <w:r>
              <w:rPr>
                <w:rFonts w:hint="eastAsia" w:cs="Times New Roman"/>
                <w:bCs/>
                <w:color w:val="000000" w:themeColor="text1"/>
                <w:sz w:val="21"/>
                <w:lang w:eastAsia="zh-CN"/>
                <w14:textFill>
                  <w14:solidFill>
                    <w14:schemeClr w14:val="tx1"/>
                  </w14:solidFill>
                </w14:textFill>
              </w:rPr>
              <w:t xml:space="preserve"> </w:t>
            </w:r>
            <w:r>
              <w:rPr>
                <w:rFonts w:cs="Times New Roman"/>
                <w:bCs/>
                <w:color w:val="000000" w:themeColor="text1"/>
                <w:sz w:val="21"/>
                <w:lang w:eastAsia="zh-CN"/>
                <w14:textFill>
                  <w14:solidFill>
                    <w14:schemeClr w14:val="tx1"/>
                  </w14:solidFill>
                </w14:textFill>
              </w:rPr>
              <w:t>的NaOH溶液</w:t>
            </w:r>
          </w:p>
        </w:tc>
        <w:tc>
          <w:tcPr>
            <w:tcW w:w="1537" w:type="pct"/>
            <w:vAlign w:val="center"/>
          </w:tcPr>
          <w:p>
            <w:pPr>
              <w:ind w:firstLine="420"/>
              <w:jc w:val="center"/>
              <w:rPr>
                <w:rFonts w:cs="Times New Roman"/>
                <w:bCs/>
                <w:color w:val="000000" w:themeColor="text1"/>
                <w:sz w:val="21"/>
                <w:lang w:eastAsia="zh-CN"/>
                <w14:textFill>
                  <w14:solidFill>
                    <w14:schemeClr w14:val="tx1"/>
                  </w14:solidFill>
                </w14:textFill>
              </w:rPr>
            </w:pPr>
            <w:r>
              <w:rPr>
                <w:rFonts w:cs="Times New Roman"/>
                <w:bCs/>
                <w:color w:val="000000" w:themeColor="text1"/>
                <w:sz w:val="21"/>
                <w:lang w:eastAsia="zh-CN"/>
                <w14:textFill>
                  <w14:solidFill>
                    <w14:schemeClr w14:val="tx1"/>
                  </w14:solidFill>
                </w14:textFill>
              </w:rPr>
              <w:t>选测</w:t>
            </w:r>
          </w:p>
        </w:tc>
        <w:tc>
          <w:tcPr>
            <w:tcW w:w="1500" w:type="pct"/>
            <w:vAlign w:val="center"/>
          </w:tcPr>
          <w:p>
            <w:pPr>
              <w:ind w:firstLine="420"/>
              <w:jc w:val="center"/>
              <w:rPr>
                <w:rFonts w:cs="Times New Roman"/>
                <w:bCs/>
                <w:color w:val="000000" w:themeColor="text1"/>
                <w:sz w:val="21"/>
                <w:lang w:eastAsia="zh-CN"/>
                <w14:textFill>
                  <w14:solidFill>
                    <w14:schemeClr w14:val="tx1"/>
                  </w14:solidFill>
                </w14:textFill>
              </w:rPr>
            </w:pPr>
            <w:r>
              <w:rPr>
                <w:rFonts w:cs="Times New Roman"/>
                <w:bCs/>
                <w:color w:val="000000" w:themeColor="text1"/>
                <w:sz w:val="21"/>
                <w:lang w:eastAsia="zh-CN"/>
                <w14:textFill>
                  <w14:solidFill>
                    <w14:schemeClr w14:val="tx1"/>
                  </w14:solidFill>
                </w14:textFill>
              </w:rPr>
              <w:t>选测</w:t>
            </w:r>
          </w:p>
        </w:tc>
      </w:tr>
    </w:tbl>
    <w:p>
      <w:pPr>
        <w:ind w:firstLine="420" w:firstLineChars="0"/>
        <w:rPr>
          <w:rFonts w:cs="Times New Roman"/>
          <w:color w:val="000000" w:themeColor="text1"/>
          <w:sz w:val="21"/>
          <w:lang w:eastAsia="zh-CN"/>
          <w14:textFill>
            <w14:solidFill>
              <w14:schemeClr w14:val="tx1"/>
            </w14:solidFill>
          </w14:textFill>
        </w:rPr>
      </w:pPr>
      <w:bookmarkStart w:id="68" w:name="OLE_LINK19"/>
      <w:r>
        <w:rPr>
          <w:rFonts w:cs="Times New Roman"/>
          <w:color w:val="000000" w:themeColor="text1"/>
          <w:sz w:val="21"/>
          <w:lang w:eastAsia="zh-CN"/>
          <w14:textFill>
            <w14:solidFill>
              <w14:schemeClr w14:val="tx1"/>
            </w14:solidFill>
          </w14:textFill>
        </w:rPr>
        <w:t>注：化合物溶液的浓度为质量分数。</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试件浸泡完成后，应分别按本文件第</w:t>
      </w:r>
      <w:r>
        <w:rPr>
          <w:rFonts w:hint="eastAsia" w:cs="Times New Roman"/>
          <w:color w:val="000000" w:themeColor="text1"/>
          <w:sz w:val="21"/>
          <w:lang w:eastAsia="zh-CN"/>
          <w14:textFill>
            <w14:solidFill>
              <w14:schemeClr w14:val="tx1"/>
            </w14:solidFill>
          </w14:textFill>
        </w:rPr>
        <w:t>4.3.10</w:t>
      </w:r>
      <w:r>
        <w:rPr>
          <w:rFonts w:cs="Times New Roman"/>
          <w:color w:val="000000" w:themeColor="text1"/>
          <w:sz w:val="21"/>
          <w:lang w:eastAsia="zh-CN"/>
          <w14:textFill>
            <w14:solidFill>
              <w14:schemeClr w14:val="tx1"/>
            </w14:solidFill>
          </w14:textFill>
        </w:rPr>
        <w:t>条规定检测试样的弯曲强度和弯曲模量，检测结果不应小于内衬管初始弯曲强度和弯曲模量的80%。</w:t>
      </w:r>
    </w:p>
    <w:bookmarkEnd w:id="68"/>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12</w:t>
      </w:r>
      <w:r>
        <w:rPr>
          <w:rFonts w:cs="Times New Roman"/>
          <w:b/>
          <w:bCs/>
          <w:color w:val="000000" w:themeColor="text1"/>
          <w:sz w:val="21"/>
          <w:lang w:eastAsia="zh-CN"/>
          <w14:textFill>
            <w14:solidFill>
              <w14:schemeClr w14:val="tx1"/>
            </w14:solidFill>
          </w14:textFill>
        </w:rPr>
        <w:t xml:space="preserve"> </w:t>
      </w:r>
      <w:bookmarkStart w:id="69" w:name="OLE_LINK18"/>
      <w:r>
        <w:rPr>
          <w:rFonts w:hint="eastAsia" w:cs="Times New Roman"/>
          <w:color w:val="000000" w:themeColor="text1"/>
          <w:sz w:val="21"/>
          <w:lang w:eastAsia="zh-CN"/>
          <w14:textFill>
            <w14:solidFill>
              <w14:schemeClr w14:val="tx1"/>
            </w14:solidFill>
          </w14:textFill>
        </w:rPr>
        <w:t>紫外光原位固化修复设备</w:t>
      </w:r>
      <w:bookmarkEnd w:id="69"/>
      <w:r>
        <w:rPr>
          <w:rFonts w:hint="eastAsia" w:cs="Times New Roman"/>
          <w:color w:val="000000" w:themeColor="text1"/>
          <w:sz w:val="21"/>
          <w:lang w:eastAsia="zh-CN"/>
          <w14:textFill>
            <w14:solidFill>
              <w14:schemeClr w14:val="tx1"/>
            </w14:solidFill>
          </w14:textFill>
        </w:rPr>
        <w:t>使用应符合下列规定：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施工前，应对紫外光灯架外观进行检查，灯架及脚轮应无异物或树脂残留，并应对紫外光灯管进行清洁处理。</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紫外光灯宜采用波长范围为</w:t>
      </w:r>
      <w:r>
        <w:rPr>
          <w:rFonts w:cs="Times New Roman"/>
          <w:color w:val="000000" w:themeColor="text1"/>
          <w:sz w:val="21"/>
          <w:lang w:eastAsia="zh-CN"/>
          <w14:textFill>
            <w14:solidFill>
              <w14:schemeClr w14:val="tx1"/>
            </w14:solidFill>
          </w14:textFill>
        </w:rPr>
        <w:t>315</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nm</w:t>
      </w:r>
      <w:r>
        <w:rPr>
          <w:rFonts w:hint="eastAsia" w:cs="Times New Roman"/>
          <w:color w:val="000000" w:themeColor="text1"/>
          <w:sz w:val="21"/>
          <w:lang w:eastAsia="zh-CN"/>
          <w14:textFill>
            <w14:solidFill>
              <w14:schemeClr w14:val="tx1"/>
            </w14:solidFill>
          </w14:textFill>
        </w:rPr>
        <w:t xml:space="preserve"> ～ </w:t>
      </w:r>
      <w:r>
        <w:rPr>
          <w:rFonts w:cs="Times New Roman"/>
          <w:color w:val="000000" w:themeColor="text1"/>
          <w:sz w:val="21"/>
          <w:lang w:eastAsia="zh-CN"/>
          <w14:textFill>
            <w14:solidFill>
              <w14:schemeClr w14:val="tx1"/>
            </w14:solidFill>
          </w14:textFill>
        </w:rPr>
        <w:t>420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nm</w:t>
      </w:r>
      <w:r>
        <w:rPr>
          <w:rFonts w:hint="eastAsia" w:cs="Times New Roman"/>
          <w:color w:val="000000" w:themeColor="text1"/>
          <w:sz w:val="21"/>
          <w:lang w:eastAsia="zh-CN"/>
          <w14:textFill>
            <w14:solidFill>
              <w14:schemeClr w14:val="tx1"/>
            </w14:solidFill>
          </w14:textFill>
        </w:rPr>
        <w:t>的高压汞灯，并应配备在线辐照计。</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紫外光运行</w:t>
      </w:r>
      <w:r>
        <w:rPr>
          <w:rFonts w:cs="Times New Roman"/>
          <w:color w:val="000000" w:themeColor="text1"/>
          <w:sz w:val="21"/>
          <w:lang w:eastAsia="zh-CN"/>
          <w14:textFill>
            <w14:solidFill>
              <w14:schemeClr w14:val="tx1"/>
            </w14:solidFill>
          </w14:textFill>
        </w:rPr>
        <w:t>150h</w:t>
      </w:r>
      <w:r>
        <w:rPr>
          <w:rFonts w:hint="eastAsia" w:cs="Times New Roman"/>
          <w:color w:val="000000" w:themeColor="text1"/>
          <w:sz w:val="21"/>
          <w:lang w:eastAsia="zh-CN"/>
          <w14:textFill>
            <w14:solidFill>
              <w14:schemeClr w14:val="tx1"/>
            </w14:solidFill>
          </w14:textFill>
        </w:rPr>
        <w:t>后应检查一次，当辐照强度衰减超过</w:t>
      </w:r>
      <w:r>
        <w:rPr>
          <w:rFonts w:cs="Times New Roman"/>
          <w:color w:val="000000" w:themeColor="text1"/>
          <w:sz w:val="21"/>
          <w:lang w:eastAsia="zh-CN"/>
          <w14:textFill>
            <w14:solidFill>
              <w14:schemeClr w14:val="tx1"/>
            </w14:solidFill>
          </w14:textFill>
        </w:rPr>
        <w:t>30%</w:t>
      </w:r>
      <w:r>
        <w:rPr>
          <w:rFonts w:hint="eastAsia" w:cs="Times New Roman"/>
          <w:color w:val="000000" w:themeColor="text1"/>
          <w:sz w:val="21"/>
          <w:lang w:eastAsia="zh-CN"/>
          <w14:textFill>
            <w14:solidFill>
              <w14:schemeClr w14:val="tx1"/>
            </w14:solidFill>
          </w14:textFill>
        </w:rPr>
        <w:t>时，应更换紫外光灯管。</w:t>
      </w:r>
    </w:p>
    <w:p>
      <w:pPr>
        <w:ind w:left="420" w:firstLine="422"/>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hint="eastAsia" w:cs="Times New Roman"/>
          <w:color w:val="000000" w:themeColor="text1"/>
          <w:sz w:val="21"/>
          <w:lang w:eastAsia="zh-CN"/>
          <w14:textFill>
            <w14:solidFill>
              <w14:schemeClr w14:val="tx1"/>
            </w14:solidFill>
          </w14:textFill>
        </w:rPr>
        <w:t xml:space="preserve"> 紫外光灯的检测记录应包括批号、编码代号、首次使用时间、运行时间、检查日期、测量值及检测结果等内容。</w:t>
      </w:r>
      <w:r>
        <w:rPr>
          <w:rFonts w:cs="Times New Roman"/>
          <w:b/>
          <w:bCs/>
          <w:color w:val="000000" w:themeColor="text1"/>
          <w:sz w:val="21"/>
          <w:lang w:eastAsia="zh-CN"/>
          <w14:textFill>
            <w14:solidFill>
              <w14:schemeClr w14:val="tx1"/>
            </w14:solidFill>
          </w14:textFill>
        </w:rPr>
        <w:t xml:space="preserve"> </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13</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紫外光原位固化修复设备应具备采集和存储施工过程中静态和动态数据的功能。</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14</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在扎头上应配备压缩空气接口、辅助气体接口、调压阀及压力传感器接口，扎头应与内衬软管尺寸相匹配。</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 xml:space="preserve">15 </w:t>
      </w:r>
      <w:r>
        <w:rPr>
          <w:rFonts w:hint="eastAsia" w:cs="Times New Roman"/>
          <w:color w:val="000000" w:themeColor="text1"/>
          <w:sz w:val="21"/>
          <w:lang w:eastAsia="zh-CN"/>
          <w14:textFill>
            <w14:solidFill>
              <w14:schemeClr w14:val="tx1"/>
            </w14:solidFill>
          </w14:textFill>
        </w:rPr>
        <w:t>风机应具备气压调节功能，气压范围宜为</w:t>
      </w:r>
      <w:r>
        <w:rPr>
          <w:rFonts w:cs="Times New Roman"/>
          <w:color w:val="000000" w:themeColor="text1"/>
          <w:sz w:val="21"/>
          <w:lang w:eastAsia="zh-CN"/>
          <w14:textFill>
            <w14:solidFill>
              <w14:schemeClr w14:val="tx1"/>
            </w14:solidFill>
          </w14:textFill>
        </w:rPr>
        <w:t>20</w:t>
      </w:r>
      <w:r>
        <w:rPr>
          <w:rFonts w:hint="eastAsia" w:cs="Times New Roman"/>
          <w:color w:val="000000" w:themeColor="text1"/>
          <w:sz w:val="21"/>
          <w:lang w:eastAsia="zh-CN"/>
          <w14:textFill>
            <w14:solidFill>
              <w14:schemeClr w14:val="tx1"/>
            </w14:solidFill>
          </w14:textFill>
        </w:rPr>
        <w:t xml:space="preserve"> K</w:t>
      </w:r>
      <w:r>
        <w:rPr>
          <w:rFonts w:cs="Times New Roman"/>
          <w:color w:val="000000" w:themeColor="text1"/>
          <w:sz w:val="21"/>
          <w:lang w:eastAsia="zh-CN"/>
          <w14:textFill>
            <w14:solidFill>
              <w14:schemeClr w14:val="tx1"/>
            </w14:solidFill>
          </w14:textFill>
        </w:rPr>
        <w:t>pa</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 100</w:t>
      </w:r>
      <w:r>
        <w:rPr>
          <w:rFonts w:hint="eastAsia" w:cs="Times New Roman"/>
          <w:color w:val="000000" w:themeColor="text1"/>
          <w:sz w:val="21"/>
          <w:lang w:eastAsia="zh-CN"/>
          <w14:textFill>
            <w14:solidFill>
              <w14:schemeClr w14:val="tx1"/>
            </w14:solidFill>
          </w14:textFill>
        </w:rPr>
        <w:t xml:space="preserve"> K</w:t>
      </w:r>
      <w:r>
        <w:rPr>
          <w:rFonts w:cs="Times New Roman"/>
          <w:color w:val="000000" w:themeColor="text1"/>
          <w:sz w:val="21"/>
          <w:lang w:eastAsia="zh-CN"/>
          <w14:textFill>
            <w14:solidFill>
              <w14:schemeClr w14:val="tx1"/>
            </w14:solidFill>
          </w14:textFill>
        </w:rPr>
        <w:t>Pa</w:t>
      </w:r>
      <w:r>
        <w:rPr>
          <w:rFonts w:hint="eastAsia" w:cs="Times New Roman"/>
          <w:color w:val="000000" w:themeColor="text1"/>
          <w:sz w:val="21"/>
          <w:lang w:eastAsia="zh-CN"/>
          <w14:textFill>
            <w14:solidFill>
              <w14:schemeClr w14:val="tx1"/>
            </w14:solidFill>
          </w14:textFill>
        </w:rPr>
        <w:t>。</w:t>
      </w:r>
    </w:p>
    <w:p>
      <w:pPr>
        <w:ind w:firstLine="422"/>
        <w:rPr>
          <w:rFonts w:cs="Times New Roman"/>
          <w:b/>
          <w:bCs/>
          <w:color w:val="000000" w:themeColor="text1"/>
          <w:sz w:val="21"/>
          <w:lang w:eastAsia="zh-CN"/>
          <w14:textFill>
            <w14:solidFill>
              <w14:schemeClr w14:val="tx1"/>
            </w14:solidFill>
          </w14:textFill>
        </w:rPr>
      </w:pPr>
      <w:r>
        <w:rPr>
          <w:rFonts w:hint="eastAsia" w:cs="Times New Roman"/>
          <w:b/>
          <w:color w:val="000000" w:themeColor="text1"/>
          <w:sz w:val="21"/>
          <w:lang w:eastAsia="zh-CN"/>
          <w14:textFill>
            <w14:solidFill>
              <w14:schemeClr w14:val="tx1"/>
            </w14:solidFill>
          </w14:textFill>
        </w:rPr>
        <w:t>4.3</w:t>
      </w:r>
      <w:r>
        <w:rPr>
          <w:rFonts w:cs="Times New Roman"/>
          <w:b/>
          <w:color w:val="000000" w:themeColor="text1"/>
          <w:sz w:val="21"/>
          <w:lang w:eastAsia="zh-CN"/>
          <w14:textFill>
            <w14:solidFill>
              <w14:schemeClr w14:val="tx1"/>
            </w14:solidFill>
          </w14:textFill>
        </w:rPr>
        <w:t>.</w:t>
      </w:r>
      <w:r>
        <w:rPr>
          <w:rFonts w:hint="eastAsia" w:cs="Times New Roman"/>
          <w:b/>
          <w:color w:val="000000" w:themeColor="text1"/>
          <w:sz w:val="21"/>
          <w:lang w:eastAsia="zh-CN"/>
          <w14:textFill>
            <w14:solidFill>
              <w14:schemeClr w14:val="tx1"/>
            </w14:solidFill>
          </w14:textFill>
        </w:rPr>
        <w:t>16</w:t>
      </w:r>
      <w:r>
        <w:rPr>
          <w:rFonts w:cs="Times New Roman"/>
          <w:b/>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供电设备在运转前应保证支垫平稳，运转过程中严禁移动，应配备防雨防风设施；供电设备仪器仪表应定期进行检查，确保在固化过程中持续稳定供电。</w:t>
      </w:r>
    </w:p>
    <w:p>
      <w:pPr>
        <w:pStyle w:val="3"/>
        <w:ind w:firstLine="560"/>
      </w:pPr>
      <w:bookmarkStart w:id="70" w:name="_Toc196915206"/>
      <w:bookmarkStart w:id="71" w:name="OLE_LINK55"/>
      <w:r>
        <w:t>4.</w:t>
      </w:r>
      <w:r>
        <w:rPr>
          <w:rFonts w:hint="eastAsia"/>
        </w:rPr>
        <w:t>4</w:t>
      </w:r>
      <w:r>
        <w:t xml:space="preserve"> 翻转式原位固化法</w:t>
      </w:r>
      <w:bookmarkEnd w:id="70"/>
    </w:p>
    <w:bookmarkEnd w:id="71"/>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hint="eastAsia" w:cs="Times New Roman"/>
          <w:b/>
          <w:bCs/>
          <w:color w:val="000000" w:themeColor="text1"/>
          <w:sz w:val="21"/>
          <w:lang w:eastAsia="zh-CN"/>
          <w14:textFill>
            <w14:solidFill>
              <w14:schemeClr w14:val="tx1"/>
            </w14:solidFill>
          </w14:textFill>
        </w:rPr>
        <w:t>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w:t>
      </w:r>
      <w:bookmarkStart w:id="72" w:name="OLE_LINK3"/>
      <w:r>
        <w:rPr>
          <w:rFonts w:hint="eastAsia" w:cs="Times New Roman"/>
          <w:b/>
          <w:bCs/>
          <w:color w:val="000000" w:themeColor="text1"/>
          <w:sz w:val="21"/>
          <w:lang w:eastAsia="zh-CN"/>
          <w14:textFill>
            <w14:solidFill>
              <w14:schemeClr w14:val="tx1"/>
            </w14:solidFill>
          </w14:textFill>
        </w:rPr>
        <w:t xml:space="preserve"> </w:t>
      </w:r>
      <w:r>
        <w:rPr>
          <w:rFonts w:cs="Times New Roman"/>
          <w:bCs/>
          <w:color w:val="000000" w:themeColor="text1"/>
          <w:sz w:val="21"/>
          <w:lang w:eastAsia="zh-CN"/>
          <w14:textFill>
            <w14:solidFill>
              <w14:schemeClr w14:val="tx1"/>
            </w14:solidFill>
          </w14:textFill>
        </w:rPr>
        <w:t>原材料、半成品和成品的性能及尺寸应符合</w:t>
      </w:r>
      <w:bookmarkStart w:id="73" w:name="_Hlk196919680"/>
      <w:r>
        <w:rPr>
          <w:rFonts w:hint="eastAsia" w:cs="Times New Roman"/>
          <w:bCs/>
          <w:color w:val="000000" w:themeColor="text1"/>
          <w:sz w:val="21"/>
          <w:lang w:eastAsia="zh-CN"/>
          <w14:textFill>
            <w14:solidFill>
              <w14:schemeClr w14:val="tx1"/>
            </w14:solidFill>
          </w14:textFill>
        </w:rPr>
        <w:t>现行</w:t>
      </w:r>
      <w:r>
        <w:rPr>
          <w:rFonts w:cs="Times New Roman"/>
          <w:bCs/>
          <w:color w:val="000000" w:themeColor="text1"/>
          <w:sz w:val="21"/>
          <w:lang w:eastAsia="zh-CN"/>
          <w14:textFill>
            <w14:solidFill>
              <w14:schemeClr w14:val="tx1"/>
            </w14:solidFill>
          </w14:textFill>
        </w:rPr>
        <w:t>国家标准《地下无压排水管网非开挖修复用塑料管道系统第4部分：原位固化内衬法》GB/T 41666.4</w:t>
      </w:r>
      <w:bookmarkEnd w:id="73"/>
      <w:r>
        <w:rPr>
          <w:rFonts w:hint="eastAsia" w:cs="Times New Roman"/>
          <w:bCs/>
          <w:color w:val="000000" w:themeColor="text1"/>
          <w:sz w:val="21"/>
          <w:lang w:eastAsia="zh-CN"/>
          <w14:textFill>
            <w14:solidFill>
              <w14:schemeClr w14:val="tx1"/>
            </w14:solidFill>
          </w14:textFill>
        </w:rPr>
        <w:t>的</w:t>
      </w:r>
      <w:r>
        <w:rPr>
          <w:rFonts w:cs="Times New Roman"/>
          <w:bCs/>
          <w:color w:val="000000" w:themeColor="text1"/>
          <w:sz w:val="21"/>
          <w:lang w:eastAsia="zh-CN"/>
          <w14:textFill>
            <w14:solidFill>
              <w14:schemeClr w14:val="tx1"/>
            </w14:solidFill>
          </w14:textFill>
        </w:rPr>
        <w:t>规定和设计要求</w:t>
      </w:r>
    </w:p>
    <w:p>
      <w:pPr>
        <w:ind w:firstLine="420" w:firstLineChars="0"/>
        <w:rPr>
          <w:rFonts w:cs="Times New Roman"/>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w:t>
      </w:r>
      <w:bookmarkEnd w:id="72"/>
      <w:r>
        <w:rPr>
          <w:rFonts w:hint="eastAsia" w:cs="Times New Roman"/>
          <w:b/>
          <w:bCs/>
          <w:color w:val="000000" w:themeColor="text1"/>
          <w:sz w:val="21"/>
          <w:lang w:eastAsia="zh-CN"/>
          <w14:textFill>
            <w14:solidFill>
              <w14:schemeClr w14:val="tx1"/>
            </w14:solidFill>
          </w14:textFill>
        </w:rPr>
        <w:t>4.2</w:t>
      </w:r>
      <w:r>
        <w:rPr>
          <w:rFonts w:hint="eastAsia" w:cs="Times New Roman"/>
          <w:bCs/>
          <w:color w:val="000000" w:themeColor="text1"/>
          <w:sz w:val="21"/>
          <w:lang w:eastAsia="zh-CN"/>
          <w14:textFill>
            <w14:solidFill>
              <w14:schemeClr w14:val="tx1"/>
            </w14:solidFill>
          </w14:textFill>
        </w:rPr>
        <w:t xml:space="preserve"> </w:t>
      </w:r>
      <w:r>
        <w:rPr>
          <w:rFonts w:cs="Times New Roman"/>
          <w:bCs/>
          <w:color w:val="000000" w:themeColor="text1"/>
          <w:sz w:val="21"/>
          <w:lang w:eastAsia="zh-CN"/>
          <w14:textFill>
            <w14:solidFill>
              <w14:schemeClr w14:val="tx1"/>
            </w14:solidFill>
          </w14:textFill>
        </w:rPr>
        <w:t>树脂包括</w:t>
      </w:r>
      <w:r>
        <w:rPr>
          <w:rFonts w:hint="eastAsia" w:cs="Times New Roman"/>
          <w:bCs/>
          <w:color w:val="000000" w:themeColor="text1"/>
          <w:sz w:val="21"/>
          <w:lang w:eastAsia="zh-CN"/>
          <w14:textFill>
            <w14:solidFill>
              <w14:schemeClr w14:val="tx1"/>
            </w14:solidFill>
          </w14:textFill>
        </w:rPr>
        <w:t>间苯型</w:t>
      </w:r>
      <w:r>
        <w:rPr>
          <w:rFonts w:cs="Times New Roman"/>
          <w:snapToGrid/>
          <w:color w:val="000000" w:themeColor="text1"/>
          <w:sz w:val="21"/>
          <w:lang w:eastAsia="zh-CN"/>
          <w14:textFill>
            <w14:solidFill>
              <w14:schemeClr w14:val="tx1"/>
            </w14:solidFill>
          </w14:textFill>
        </w:rPr>
        <w:t>不饱和聚酯树脂</w:t>
      </w: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UP</w:t>
      </w:r>
      <w:r>
        <w:rPr>
          <w:rFonts w:hint="eastAsia" w:cs="Times New Roman"/>
          <w:snapToGrid/>
          <w:color w:val="000000" w:themeColor="text1"/>
          <w:sz w:val="21"/>
          <w:lang w:eastAsia="zh-CN"/>
          <w14:textFill>
            <w14:solidFill>
              <w14:schemeClr w14:val="tx1"/>
            </w14:solidFill>
          </w14:textFill>
        </w:rPr>
        <w:t>）</w:t>
      </w:r>
      <w:r>
        <w:rPr>
          <w:rFonts w:cs="Times New Roman"/>
          <w:bCs/>
          <w:color w:val="000000" w:themeColor="text1"/>
          <w:sz w:val="21"/>
          <w:lang w:eastAsia="zh-CN"/>
          <w14:textFill>
            <w14:solidFill>
              <w14:schemeClr w14:val="tx1"/>
            </w14:solidFill>
          </w14:textFill>
        </w:rPr>
        <w:t>、乙烯基酯树脂（VE）或者环氧树脂（EP），树脂应具有良好的浸润性及触变性能且初始固化温度应低于60℃。</w:t>
      </w:r>
    </w:p>
    <w:p>
      <w:pPr>
        <w:ind w:firstLine="420" w:firstLineChars="0"/>
        <w:rPr>
          <w:rFonts w:cs="Times New Roman"/>
          <w:bCs/>
          <w:color w:val="000000" w:themeColor="text1"/>
          <w:sz w:val="21"/>
          <w:lang w:eastAsia="zh-CN"/>
          <w14:textFill>
            <w14:solidFill>
              <w14:schemeClr w14:val="tx1"/>
            </w14:solidFill>
          </w14:textFill>
        </w:rPr>
      </w:pPr>
      <w:r>
        <w:rPr>
          <w:rFonts w:hint="eastAsia" w:cs="Times New Roman"/>
          <w:b/>
          <w:color w:val="000000" w:themeColor="text1"/>
          <w:sz w:val="21"/>
          <w:lang w:eastAsia="zh-CN"/>
          <w14:textFill>
            <w14:solidFill>
              <w14:schemeClr w14:val="tx1"/>
            </w14:solidFill>
          </w14:textFill>
        </w:rPr>
        <w:t>4.4</w:t>
      </w:r>
      <w:r>
        <w:rPr>
          <w:rFonts w:cs="Times New Roman"/>
          <w:b/>
          <w:color w:val="000000" w:themeColor="text1"/>
          <w:sz w:val="21"/>
          <w:lang w:eastAsia="zh-CN"/>
          <w14:textFill>
            <w14:solidFill>
              <w14:schemeClr w14:val="tx1"/>
            </w14:solidFill>
          </w14:textFill>
        </w:rPr>
        <w:t>.</w:t>
      </w:r>
      <w:r>
        <w:rPr>
          <w:rFonts w:hint="eastAsia" w:cs="Times New Roman"/>
          <w:b/>
          <w:color w:val="000000" w:themeColor="text1"/>
          <w:sz w:val="21"/>
          <w:lang w:eastAsia="zh-CN"/>
          <w14:textFill>
            <w14:solidFill>
              <w14:schemeClr w14:val="tx1"/>
            </w14:solidFill>
          </w14:textFill>
        </w:rPr>
        <w:t>3</w:t>
      </w:r>
      <w:r>
        <w:rPr>
          <w:rFonts w:cs="Times New Roman"/>
          <w:bCs/>
          <w:color w:val="000000" w:themeColor="text1"/>
          <w:sz w:val="21"/>
          <w:lang w:eastAsia="zh-CN"/>
          <w14:textFill>
            <w14:solidFill>
              <w14:schemeClr w14:val="tx1"/>
            </w14:solidFill>
          </w14:textFill>
        </w:rPr>
        <w:t xml:space="preserve"> 根据管道水质优先选用树脂类型宜按表</w:t>
      </w:r>
      <w:r>
        <w:rPr>
          <w:rFonts w:hint="eastAsia" w:cs="Times New Roman"/>
          <w:bCs/>
          <w:color w:val="000000" w:themeColor="text1"/>
          <w:sz w:val="21"/>
          <w:lang w:eastAsia="zh-CN"/>
          <w14:textFill>
            <w14:solidFill>
              <w14:schemeClr w14:val="tx1"/>
            </w14:solidFill>
          </w14:textFill>
        </w:rPr>
        <w:t>4.4</w:t>
      </w:r>
      <w:r>
        <w:rPr>
          <w:rFonts w:cs="Times New Roman"/>
          <w:bCs/>
          <w:color w:val="000000" w:themeColor="text1"/>
          <w:sz w:val="21"/>
          <w:lang w:eastAsia="zh-CN"/>
          <w14:textFill>
            <w14:solidFill>
              <w14:schemeClr w14:val="tx1"/>
            </w14:solidFill>
          </w14:textFill>
        </w:rPr>
        <w:t>.</w:t>
      </w:r>
      <w:r>
        <w:rPr>
          <w:rFonts w:hint="eastAsia" w:cs="Times New Roman"/>
          <w:bCs/>
          <w:color w:val="000000" w:themeColor="text1"/>
          <w:sz w:val="21"/>
          <w:lang w:eastAsia="zh-CN"/>
          <w14:textFill>
            <w14:solidFill>
              <w14:schemeClr w14:val="tx1"/>
            </w14:solidFill>
          </w14:textFill>
        </w:rPr>
        <w:t>3</w:t>
      </w:r>
      <w:r>
        <w:rPr>
          <w:rFonts w:cs="Times New Roman"/>
          <w:bCs/>
          <w:color w:val="000000" w:themeColor="text1"/>
          <w:sz w:val="21"/>
          <w:lang w:eastAsia="zh-CN"/>
          <w14:textFill>
            <w14:solidFill>
              <w14:schemeClr w14:val="tx1"/>
            </w14:solidFill>
          </w14:textFill>
        </w:rPr>
        <w:t>确定。</w:t>
      </w:r>
    </w:p>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4.4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 xml:space="preserve"> 根据管道内排水性质选用树脂</w:t>
      </w:r>
    </w:p>
    <w:tbl>
      <w:tblPr>
        <w:tblStyle w:val="16"/>
        <w:tblW w:w="5000" w:type="pct"/>
        <w:jc w:val="center"/>
        <w:tblLayout w:type="autofit"/>
        <w:tblCellMar>
          <w:top w:w="0" w:type="dxa"/>
          <w:left w:w="108" w:type="dxa"/>
          <w:bottom w:w="0" w:type="dxa"/>
          <w:right w:w="108" w:type="dxa"/>
        </w:tblCellMar>
      </w:tblPr>
      <w:tblGrid>
        <w:gridCol w:w="4218"/>
        <w:gridCol w:w="4304"/>
      </w:tblGrid>
      <w:tr>
        <w:tblPrEx>
          <w:tblCellMar>
            <w:top w:w="0" w:type="dxa"/>
            <w:left w:w="108" w:type="dxa"/>
            <w:bottom w:w="0" w:type="dxa"/>
            <w:right w:w="108" w:type="dxa"/>
          </w:tblCellMar>
        </w:tblPrEx>
        <w:trPr>
          <w:trHeight w:val="288" w:hRule="atLeast"/>
          <w:jc w:val="center"/>
        </w:trPr>
        <w:tc>
          <w:tcPr>
            <w:tcW w:w="2475" w:type="pct"/>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管道水质条件</w:t>
            </w:r>
          </w:p>
        </w:tc>
        <w:tc>
          <w:tcPr>
            <w:tcW w:w="2525"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优先树脂类型</w:t>
            </w:r>
          </w:p>
        </w:tc>
      </w:tr>
      <w:tr>
        <w:tblPrEx>
          <w:tblCellMar>
            <w:top w:w="0" w:type="dxa"/>
            <w:left w:w="108" w:type="dxa"/>
            <w:bottom w:w="0" w:type="dxa"/>
            <w:right w:w="108" w:type="dxa"/>
          </w:tblCellMar>
        </w:tblPrEx>
        <w:trPr>
          <w:trHeight w:val="288" w:hRule="atLeast"/>
          <w:jc w:val="center"/>
        </w:trPr>
        <w:tc>
          <w:tcPr>
            <w:tcW w:w="2475"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雨水</w:t>
            </w:r>
          </w:p>
        </w:tc>
        <w:tc>
          <w:tcPr>
            <w:tcW w:w="25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bCs/>
                <w:color w:val="000000" w:themeColor="text1"/>
                <w:sz w:val="21"/>
                <w:lang w:eastAsia="zh-CN"/>
                <w14:textFill>
                  <w14:solidFill>
                    <w14:schemeClr w14:val="tx1"/>
                  </w14:solidFill>
                </w14:textFill>
              </w:rPr>
              <w:t>UP</w:t>
            </w:r>
          </w:p>
        </w:tc>
      </w:tr>
      <w:tr>
        <w:tblPrEx>
          <w:tblCellMar>
            <w:top w:w="0" w:type="dxa"/>
            <w:left w:w="108" w:type="dxa"/>
            <w:bottom w:w="0" w:type="dxa"/>
            <w:right w:w="108" w:type="dxa"/>
          </w:tblCellMar>
        </w:tblPrEx>
        <w:trPr>
          <w:trHeight w:val="288" w:hRule="atLeast"/>
          <w:jc w:val="center"/>
        </w:trPr>
        <w:tc>
          <w:tcPr>
            <w:tcW w:w="2475"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生活污水</w:t>
            </w:r>
          </w:p>
        </w:tc>
        <w:tc>
          <w:tcPr>
            <w:tcW w:w="25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UP和EP</w:t>
            </w:r>
          </w:p>
        </w:tc>
      </w:tr>
      <w:tr>
        <w:tblPrEx>
          <w:tblCellMar>
            <w:top w:w="0" w:type="dxa"/>
            <w:left w:w="108" w:type="dxa"/>
            <w:bottom w:w="0" w:type="dxa"/>
            <w:right w:w="108" w:type="dxa"/>
          </w:tblCellMar>
        </w:tblPrEx>
        <w:trPr>
          <w:trHeight w:val="576" w:hRule="atLeast"/>
          <w:jc w:val="center"/>
        </w:trPr>
        <w:tc>
          <w:tcPr>
            <w:tcW w:w="2475"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pH＞8或者温度高于40℃的工业排水</w:t>
            </w:r>
          </w:p>
        </w:tc>
        <w:tc>
          <w:tcPr>
            <w:tcW w:w="25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VE，EP，须树脂供应商出具其可以用于该用途排水的适用报告</w:t>
            </w:r>
          </w:p>
        </w:tc>
      </w:tr>
    </w:tbl>
    <w:p>
      <w:pPr>
        <w:ind w:firstLine="420" w:firstLineChars="0"/>
        <w:rPr>
          <w:rFonts w:cs="Times New Roman"/>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w:t>
      </w:r>
      <w:r>
        <w:rPr>
          <w:rFonts w:cs="Times New Roman"/>
          <w:b/>
          <w:bCs/>
          <w:color w:val="000000" w:themeColor="text1"/>
          <w:sz w:val="21"/>
          <w:lang w:eastAsia="zh-CN"/>
          <w14:textFill>
            <w14:solidFill>
              <w14:schemeClr w14:val="tx1"/>
            </w14:solidFill>
          </w14:textFill>
        </w:rPr>
        <w:t xml:space="preserve"> </w:t>
      </w:r>
      <w:r>
        <w:rPr>
          <w:rFonts w:cs="Times New Roman"/>
          <w:bCs/>
          <w:color w:val="000000" w:themeColor="text1"/>
          <w:sz w:val="21"/>
          <w:lang w:eastAsia="zh-CN"/>
          <w14:textFill>
            <w14:solidFill>
              <w14:schemeClr w14:val="tx1"/>
            </w14:solidFill>
          </w14:textFill>
        </w:rPr>
        <w:t>翻转式原位固化法用树脂系统浇铸体性能要求应符合表</w:t>
      </w:r>
      <w:r>
        <w:rPr>
          <w:rFonts w:hint="eastAsia" w:cs="Times New Roman"/>
          <w:bCs/>
          <w:color w:val="000000" w:themeColor="text1"/>
          <w:sz w:val="21"/>
          <w:lang w:eastAsia="zh-CN"/>
          <w14:textFill>
            <w14:solidFill>
              <w14:schemeClr w14:val="tx1"/>
            </w14:solidFill>
          </w14:textFill>
        </w:rPr>
        <w:t>4.4</w:t>
      </w:r>
      <w:r>
        <w:rPr>
          <w:rFonts w:cs="Times New Roman"/>
          <w:bCs/>
          <w:color w:val="000000" w:themeColor="text1"/>
          <w:sz w:val="21"/>
          <w:lang w:eastAsia="zh-CN"/>
          <w14:textFill>
            <w14:solidFill>
              <w14:schemeClr w14:val="tx1"/>
            </w14:solidFill>
          </w14:textFill>
        </w:rPr>
        <w:t>.</w:t>
      </w:r>
      <w:r>
        <w:rPr>
          <w:rFonts w:hint="eastAsia" w:cs="Times New Roman"/>
          <w:bCs/>
          <w:color w:val="000000" w:themeColor="text1"/>
          <w:sz w:val="21"/>
          <w:lang w:eastAsia="zh-CN"/>
          <w14:textFill>
            <w14:solidFill>
              <w14:schemeClr w14:val="tx1"/>
            </w14:solidFill>
          </w14:textFill>
        </w:rPr>
        <w:t>4</w:t>
      </w:r>
      <w:r>
        <w:rPr>
          <w:rFonts w:cs="Times New Roman"/>
          <w:bCs/>
          <w:color w:val="000000" w:themeColor="text1"/>
          <w:sz w:val="21"/>
          <w:lang w:eastAsia="zh-CN"/>
          <w14:textFill>
            <w14:solidFill>
              <w14:schemeClr w14:val="tx1"/>
            </w14:solidFill>
          </w14:textFill>
        </w:rPr>
        <w:t>。</w:t>
      </w:r>
    </w:p>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4.4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w:t>
      </w:r>
      <w:r>
        <w:rPr>
          <w:rFonts w:cs="Times New Roman"/>
          <w:b/>
          <w:bCs/>
          <w:color w:val="000000" w:themeColor="text1"/>
          <w:sz w:val="21"/>
          <w:lang w:eastAsia="zh-CN"/>
          <w14:textFill>
            <w14:solidFill>
              <w14:schemeClr w14:val="tx1"/>
            </w14:solidFill>
          </w14:textFill>
        </w:rPr>
        <w:t xml:space="preserve"> 翻转式原位固化法用树脂浇铸体性能要求</w:t>
      </w:r>
    </w:p>
    <w:tbl>
      <w:tblPr>
        <w:tblStyle w:val="16"/>
        <w:tblW w:w="5000" w:type="pct"/>
        <w:jc w:val="center"/>
        <w:tblLayout w:type="autofit"/>
        <w:tblCellMar>
          <w:top w:w="0" w:type="dxa"/>
          <w:left w:w="108" w:type="dxa"/>
          <w:bottom w:w="0" w:type="dxa"/>
          <w:right w:w="108" w:type="dxa"/>
        </w:tblCellMar>
      </w:tblPr>
      <w:tblGrid>
        <w:gridCol w:w="2026"/>
        <w:gridCol w:w="1759"/>
        <w:gridCol w:w="1490"/>
        <w:gridCol w:w="1217"/>
        <w:gridCol w:w="2030"/>
      </w:tblGrid>
      <w:tr>
        <w:tblPrEx>
          <w:tblCellMar>
            <w:top w:w="0" w:type="dxa"/>
            <w:left w:w="108" w:type="dxa"/>
            <w:bottom w:w="0" w:type="dxa"/>
            <w:right w:w="108" w:type="dxa"/>
          </w:tblCellMar>
        </w:tblPrEx>
        <w:trPr>
          <w:trHeight w:val="576" w:hRule="atLeast"/>
          <w:jc w:val="center"/>
        </w:trPr>
        <w:tc>
          <w:tcPr>
            <w:tcW w:w="1189" w:type="pct"/>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纯树脂性能</w:t>
            </w:r>
          </w:p>
        </w:tc>
        <w:tc>
          <w:tcPr>
            <w:tcW w:w="1032"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bCs/>
                <w:color w:val="000000" w:themeColor="text1"/>
                <w:sz w:val="21"/>
                <w:lang w:eastAsia="zh-CN"/>
                <w14:textFill>
                  <w14:solidFill>
                    <w14:schemeClr w14:val="tx1"/>
                  </w14:solidFill>
                </w14:textFill>
              </w:rPr>
              <w:t>间苯型不饱和聚酯树脂</w:t>
            </w:r>
            <w:r>
              <w:rPr>
                <w:rFonts w:hint="eastAsia" w:cs="Times New Roman"/>
                <w:bCs/>
                <w:color w:val="000000" w:themeColor="text1"/>
                <w:sz w:val="21"/>
                <w:lang w:eastAsia="zh-CN"/>
                <w14:textFill>
                  <w14:solidFill>
                    <w14:schemeClr w14:val="tx1"/>
                  </w14:solidFill>
                </w14:textFill>
              </w:rPr>
              <w:t>（</w:t>
            </w:r>
            <w:r>
              <w:rPr>
                <w:rFonts w:hint="eastAsia" w:cs="Times New Roman"/>
                <w:snapToGrid/>
                <w:color w:val="000000" w:themeColor="text1"/>
                <w:sz w:val="21"/>
                <w:lang w:eastAsia="zh-CN"/>
                <w14:textFill>
                  <w14:solidFill>
                    <w14:schemeClr w14:val="tx1"/>
                  </w14:solidFill>
                </w14:textFill>
              </w:rPr>
              <w:t>UP）</w:t>
            </w:r>
          </w:p>
        </w:tc>
        <w:tc>
          <w:tcPr>
            <w:tcW w:w="874"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乙烯基酯树脂</w:t>
            </w: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VE</w:t>
            </w:r>
            <w:r>
              <w:rPr>
                <w:rFonts w:hint="eastAsia" w:cs="Times New Roman"/>
                <w:snapToGrid/>
                <w:color w:val="000000" w:themeColor="text1"/>
                <w:sz w:val="21"/>
                <w:lang w:eastAsia="zh-CN"/>
                <w14:textFill>
                  <w14:solidFill>
                    <w14:schemeClr w14:val="tx1"/>
                  </w14:solidFill>
                </w14:textFill>
              </w:rPr>
              <w:t>)</w:t>
            </w:r>
          </w:p>
        </w:tc>
        <w:tc>
          <w:tcPr>
            <w:tcW w:w="714"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环氧树脂</w:t>
            </w: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EP</w:t>
            </w:r>
            <w:r>
              <w:rPr>
                <w:rFonts w:hint="eastAsia" w:cs="Times New Roman"/>
                <w:snapToGrid/>
                <w:color w:val="000000" w:themeColor="text1"/>
                <w:sz w:val="21"/>
                <w:lang w:eastAsia="zh-CN"/>
                <w14:textFill>
                  <w14:solidFill>
                    <w14:schemeClr w14:val="tx1"/>
                  </w14:solidFill>
                </w14:textFill>
              </w:rPr>
              <w:t>)</w:t>
            </w:r>
          </w:p>
        </w:tc>
        <w:tc>
          <w:tcPr>
            <w:tcW w:w="1191"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试验方法</w:t>
            </w:r>
          </w:p>
        </w:tc>
      </w:tr>
      <w:tr>
        <w:tblPrEx>
          <w:tblCellMar>
            <w:top w:w="0" w:type="dxa"/>
            <w:left w:w="108" w:type="dxa"/>
            <w:bottom w:w="0" w:type="dxa"/>
            <w:right w:w="108" w:type="dxa"/>
          </w:tblCellMar>
        </w:tblPrEx>
        <w:trPr>
          <w:trHeight w:val="288" w:hRule="atLeast"/>
          <w:jc w:val="center"/>
        </w:trPr>
        <w:tc>
          <w:tcPr>
            <w:tcW w:w="1189"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弯曲强度（MPa）</w:t>
            </w:r>
          </w:p>
        </w:tc>
        <w:tc>
          <w:tcPr>
            <w:tcW w:w="103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90</w:t>
            </w:r>
          </w:p>
        </w:tc>
        <w:tc>
          <w:tcPr>
            <w:tcW w:w="874"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100</w:t>
            </w:r>
          </w:p>
        </w:tc>
        <w:tc>
          <w:tcPr>
            <w:tcW w:w="714"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100</w:t>
            </w:r>
          </w:p>
        </w:tc>
        <w:tc>
          <w:tcPr>
            <w:tcW w:w="1191" w:type="pct"/>
            <w:vMerge w:val="restar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bookmarkStart w:id="74" w:name="_Hlk196919921"/>
            <w:r>
              <w:rPr>
                <w:rFonts w:cs="Times New Roman"/>
                <w:snapToGrid/>
                <w:color w:val="000000" w:themeColor="text1"/>
                <w:sz w:val="21"/>
                <w:lang w:eastAsia="zh-CN"/>
                <w14:textFill>
                  <w14:solidFill>
                    <w14:schemeClr w14:val="tx1"/>
                  </w14:solidFill>
                </w14:textFill>
              </w:rPr>
              <w:t>《树脂浇铸体性能试验方法》GB/T 2567</w:t>
            </w:r>
            <w:bookmarkEnd w:id="74"/>
          </w:p>
        </w:tc>
      </w:tr>
      <w:tr>
        <w:tblPrEx>
          <w:tblCellMar>
            <w:top w:w="0" w:type="dxa"/>
            <w:left w:w="108" w:type="dxa"/>
            <w:bottom w:w="0" w:type="dxa"/>
            <w:right w:w="108" w:type="dxa"/>
          </w:tblCellMar>
        </w:tblPrEx>
        <w:trPr>
          <w:trHeight w:val="288" w:hRule="atLeast"/>
          <w:jc w:val="center"/>
        </w:trPr>
        <w:tc>
          <w:tcPr>
            <w:tcW w:w="1189"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弯曲模量（MPa）</w:t>
            </w:r>
          </w:p>
        </w:tc>
        <w:tc>
          <w:tcPr>
            <w:tcW w:w="1032" w:type="pct"/>
            <w:tcBorders>
              <w:top w:val="nil"/>
              <w:left w:val="nil"/>
              <w:bottom w:val="single" w:color="auto" w:sz="4" w:space="0"/>
              <w:right w:val="single" w:color="auto" w:sz="4" w:space="0"/>
            </w:tcBorders>
            <w:shd w:val="clear" w:color="auto" w:fill="auto"/>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3000</w:t>
            </w:r>
          </w:p>
        </w:tc>
        <w:tc>
          <w:tcPr>
            <w:tcW w:w="874" w:type="pct"/>
            <w:tcBorders>
              <w:top w:val="nil"/>
              <w:left w:val="nil"/>
              <w:bottom w:val="single" w:color="auto" w:sz="4" w:space="0"/>
              <w:right w:val="single" w:color="auto" w:sz="4" w:space="0"/>
            </w:tcBorders>
            <w:shd w:val="clear" w:color="auto" w:fill="auto"/>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3000</w:t>
            </w:r>
          </w:p>
        </w:tc>
        <w:tc>
          <w:tcPr>
            <w:tcW w:w="714"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3000</w:t>
            </w:r>
          </w:p>
        </w:tc>
        <w:tc>
          <w:tcPr>
            <w:tcW w:w="1191" w:type="pct"/>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1189"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拉伸强度（MPa）</w:t>
            </w:r>
          </w:p>
        </w:tc>
        <w:tc>
          <w:tcPr>
            <w:tcW w:w="103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60</w:t>
            </w:r>
          </w:p>
        </w:tc>
        <w:tc>
          <w:tcPr>
            <w:tcW w:w="874"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80</w:t>
            </w:r>
          </w:p>
        </w:tc>
        <w:tc>
          <w:tcPr>
            <w:tcW w:w="714"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80</w:t>
            </w:r>
          </w:p>
        </w:tc>
        <w:tc>
          <w:tcPr>
            <w:tcW w:w="1191" w:type="pct"/>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1189" w:type="pct"/>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拉伸弹性模量（MPa）</w:t>
            </w:r>
          </w:p>
        </w:tc>
        <w:tc>
          <w:tcPr>
            <w:tcW w:w="1032"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bookmarkStart w:id="75" w:name="OLE_LINK13"/>
            <w:r>
              <w:rPr>
                <w:rFonts w:hint="eastAsia" w:cs="Times New Roman"/>
                <w:snapToGrid/>
                <w:color w:val="000000" w:themeColor="text1"/>
                <w:sz w:val="21"/>
                <w:lang w:eastAsia="zh-CN"/>
                <w14:textFill>
                  <w14:solidFill>
                    <w14:schemeClr w14:val="tx1"/>
                  </w14:solidFill>
                </w14:textFill>
              </w:rPr>
              <w:t>≥</w:t>
            </w:r>
            <w:bookmarkEnd w:id="75"/>
            <w:r>
              <w:rPr>
                <w:rFonts w:cs="Times New Roman"/>
                <w:snapToGrid/>
                <w:color w:val="000000" w:themeColor="text1"/>
                <w:sz w:val="21"/>
                <w:lang w:eastAsia="zh-CN"/>
                <w14:textFill>
                  <w14:solidFill>
                    <w14:schemeClr w14:val="tx1"/>
                  </w14:solidFill>
                </w14:textFill>
              </w:rPr>
              <w:t>3000</w:t>
            </w:r>
          </w:p>
        </w:tc>
        <w:tc>
          <w:tcPr>
            <w:tcW w:w="874"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3000</w:t>
            </w:r>
          </w:p>
        </w:tc>
        <w:tc>
          <w:tcPr>
            <w:tcW w:w="714"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3000</w:t>
            </w:r>
          </w:p>
        </w:tc>
        <w:tc>
          <w:tcPr>
            <w:tcW w:w="1191" w:type="pct"/>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1189"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断裂延伸率（％）</w:t>
            </w:r>
          </w:p>
        </w:tc>
        <w:tc>
          <w:tcPr>
            <w:tcW w:w="103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2</w:t>
            </w:r>
          </w:p>
        </w:tc>
        <w:tc>
          <w:tcPr>
            <w:tcW w:w="874"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4</w:t>
            </w:r>
          </w:p>
        </w:tc>
        <w:tc>
          <w:tcPr>
            <w:tcW w:w="714"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4</w:t>
            </w:r>
          </w:p>
        </w:tc>
        <w:tc>
          <w:tcPr>
            <w:tcW w:w="1191" w:type="pct"/>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1189"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热变形温度（℃）</w:t>
            </w:r>
          </w:p>
        </w:tc>
        <w:tc>
          <w:tcPr>
            <w:tcW w:w="103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88</w:t>
            </w:r>
          </w:p>
        </w:tc>
        <w:tc>
          <w:tcPr>
            <w:tcW w:w="874"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93</w:t>
            </w:r>
          </w:p>
        </w:tc>
        <w:tc>
          <w:tcPr>
            <w:tcW w:w="714"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85</w:t>
            </w:r>
          </w:p>
        </w:tc>
        <w:tc>
          <w:tcPr>
            <w:tcW w:w="119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bookmarkStart w:id="76" w:name="_Hlk196919927"/>
            <w:r>
              <w:rPr>
                <w:rFonts w:cs="Times New Roman"/>
                <w:snapToGrid/>
                <w:color w:val="000000" w:themeColor="text1"/>
                <w:sz w:val="21"/>
                <w:lang w:eastAsia="zh-CN"/>
                <w14:textFill>
                  <w14:solidFill>
                    <w14:schemeClr w14:val="tx1"/>
                  </w14:solidFill>
                </w14:textFill>
              </w:rPr>
              <w:t>《塑料 负荷变形温度的测定 第2部分：塑料和硬橡胶GB/T 163</w:t>
            </w:r>
            <w:r>
              <w:rPr>
                <w:rFonts w:hint="eastAsia" w:cs="Times New Roman"/>
                <w:snapToGrid/>
                <w:color w:val="000000" w:themeColor="text1"/>
                <w:sz w:val="21"/>
                <w:lang w:eastAsia="zh-CN"/>
                <w14:textFill>
                  <w14:solidFill>
                    <w14:schemeClr w14:val="tx1"/>
                  </w14:solidFill>
                </w14:textFill>
              </w:rPr>
              <w:t>4.4</w:t>
            </w:r>
            <w:bookmarkEnd w:id="76"/>
          </w:p>
        </w:tc>
      </w:tr>
    </w:tbl>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翻转式原位固化法用树脂的耐腐蚀性要求和试验方法应符合表</w:t>
      </w:r>
      <w:r>
        <w:rPr>
          <w:rFonts w:hint="eastAsia" w:cs="Times New Roman"/>
          <w:color w:val="000000" w:themeColor="text1"/>
          <w:sz w:val="21"/>
          <w:lang w:eastAsia="zh-CN"/>
          <w14:textFill>
            <w14:solidFill>
              <w14:schemeClr w14:val="tx1"/>
            </w14:solidFill>
          </w14:textFill>
        </w:rPr>
        <w:t>4.4</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w:t>
      </w:r>
    </w:p>
    <w:p>
      <w:pPr>
        <w:ind w:firstLine="422"/>
        <w:jc w:val="center"/>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4.4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5</w:t>
      </w:r>
      <w:r>
        <w:rPr>
          <w:rFonts w:cs="Times New Roman"/>
          <w:b/>
          <w:bCs/>
          <w:color w:val="000000" w:themeColor="text1"/>
          <w:sz w:val="21"/>
          <w:lang w:eastAsia="zh-CN"/>
          <w14:textFill>
            <w14:solidFill>
              <w14:schemeClr w14:val="tx1"/>
            </w14:solidFill>
          </w14:textFill>
        </w:rPr>
        <w:t xml:space="preserve"> 翻转式原位固化</w:t>
      </w:r>
      <w:r>
        <w:rPr>
          <w:rFonts w:hint="eastAsia" w:cs="Times New Roman"/>
          <w:b/>
          <w:bCs/>
          <w:color w:val="000000" w:themeColor="text1"/>
          <w:sz w:val="21"/>
          <w:lang w:eastAsia="zh-CN"/>
          <w14:textFill>
            <w14:solidFill>
              <w14:schemeClr w14:val="tx1"/>
            </w14:solidFill>
          </w14:textFill>
        </w:rPr>
        <w:t>修复</w:t>
      </w:r>
      <w:r>
        <w:rPr>
          <w:rFonts w:cs="Times New Roman"/>
          <w:b/>
          <w:bCs/>
          <w:color w:val="000000" w:themeColor="text1"/>
          <w:sz w:val="21"/>
          <w:lang w:eastAsia="zh-CN"/>
          <w14:textFill>
            <w14:solidFill>
              <w14:schemeClr w14:val="tx1"/>
            </w14:solidFill>
          </w14:textFill>
        </w:rPr>
        <w:t>法用树脂的耐腐蚀性要求和试验方法</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2"/>
        <w:gridCol w:w="1328"/>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9" w:type="pct"/>
            <w:shd w:val="clear" w:color="auto" w:fill="auto"/>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化合物溶液</w:t>
            </w:r>
          </w:p>
        </w:tc>
        <w:tc>
          <w:tcPr>
            <w:tcW w:w="779"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浓度</w:t>
            </w:r>
          </w:p>
        </w:tc>
        <w:tc>
          <w:tcPr>
            <w:tcW w:w="1832" w:type="pct"/>
            <w:shd w:val="clear" w:color="auto" w:fill="auto"/>
            <w:vAlign w:val="center"/>
          </w:tcPr>
          <w:p>
            <w:pPr>
              <w:ind w:firstLine="42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9" w:type="pct"/>
            <w:shd w:val="clear" w:color="auto" w:fill="auto"/>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硝酸</w:t>
            </w:r>
          </w:p>
        </w:tc>
        <w:tc>
          <w:tcPr>
            <w:tcW w:w="779"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1.0%</w:t>
            </w:r>
          </w:p>
        </w:tc>
        <w:tc>
          <w:tcPr>
            <w:tcW w:w="1832" w:type="pct"/>
            <w:vMerge w:val="restar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bookmarkStart w:id="77" w:name="_Hlk196919934"/>
            <w:r>
              <w:rPr>
                <w:rFonts w:cs="Times New Roman"/>
                <w:color w:val="000000" w:themeColor="text1"/>
                <w:sz w:val="21"/>
                <w:lang w:eastAsia="zh-CN"/>
                <w14:textFill>
                  <w14:solidFill>
                    <w14:schemeClr w14:val="tx1"/>
                  </w14:solidFill>
                </w14:textFill>
              </w:rPr>
              <w:t>《玻璃纤维增强热固性塑料耐化学介质性能试验方法》GB/T 3857</w:t>
            </w:r>
            <w:bookmarkEnd w:id="77"/>
            <w:r>
              <w:rPr>
                <w:rFonts w:cs="Times New Roman"/>
                <w:color w:val="000000" w:themeColor="text1"/>
                <w:sz w:val="21"/>
                <w:lang w:eastAsia="zh-CN"/>
                <w14:textFill>
                  <w14:solidFill>
                    <w14:schemeClr w14:val="tx1"/>
                  </w14:solidFill>
                </w14:textFill>
              </w:rPr>
              <w:t>：</w:t>
            </w:r>
          </w:p>
          <w:p>
            <w:pPr>
              <w:ind w:firstLine="0" w:firstLineChars="0"/>
              <w:jc w:val="center"/>
              <w:rPr>
                <w:rFonts w:cs="Times New Roman"/>
                <w:bCs/>
                <w:color w:val="000000" w:themeColor="text1"/>
                <w:sz w:val="21"/>
                <w:lang w:eastAsia="zh-CN"/>
                <w14:textFill>
                  <w14:solidFill>
                    <w14:schemeClr w14:val="tx1"/>
                  </w14:solidFill>
                </w14:textFill>
              </w:rPr>
            </w:pPr>
            <w:r>
              <w:rPr>
                <w:rFonts w:cs="Times New Roman"/>
                <w:bCs/>
                <w:color w:val="000000" w:themeColor="text1"/>
                <w:sz w:val="21"/>
                <w:lang w:eastAsia="zh-CN"/>
                <w14:textFill>
                  <w14:solidFill>
                    <w14:schemeClr w14:val="tx1"/>
                  </w14:solidFill>
                </w14:textFill>
              </w:rPr>
              <w:t>加温至60℃条件下，28天期龄的弯曲强度保留率与弯曲模量保留率的平均值大于70%，同时样品外观无劣化视为耐，否则为不耐。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9" w:type="pct"/>
            <w:shd w:val="clear" w:color="auto" w:fill="auto"/>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硫酸</w:t>
            </w:r>
          </w:p>
        </w:tc>
        <w:tc>
          <w:tcPr>
            <w:tcW w:w="779"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5.0%</w:t>
            </w:r>
          </w:p>
        </w:tc>
        <w:tc>
          <w:tcPr>
            <w:tcW w:w="1832" w:type="pct"/>
            <w:vMerge w:val="continue"/>
            <w:shd w:val="clear" w:color="auto" w:fill="auto"/>
            <w:vAlign w:val="center"/>
          </w:tcPr>
          <w:p>
            <w:pPr>
              <w:ind w:firstLine="420"/>
              <w:jc w:val="center"/>
              <w:rPr>
                <w:rFonts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9" w:type="pct"/>
            <w:shd w:val="clear" w:color="auto" w:fill="auto"/>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燃料油</w:t>
            </w:r>
          </w:p>
        </w:tc>
        <w:tc>
          <w:tcPr>
            <w:tcW w:w="779"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100%</w:t>
            </w:r>
          </w:p>
        </w:tc>
        <w:tc>
          <w:tcPr>
            <w:tcW w:w="1832" w:type="pct"/>
            <w:vMerge w:val="continue"/>
            <w:shd w:val="clear" w:color="auto" w:fill="auto"/>
            <w:vAlign w:val="center"/>
          </w:tcPr>
          <w:p>
            <w:pPr>
              <w:ind w:firstLine="420"/>
              <w:jc w:val="center"/>
              <w:rPr>
                <w:rFonts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9" w:type="pct"/>
            <w:shd w:val="clear" w:color="auto" w:fill="auto"/>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氢氧化钠</w:t>
            </w:r>
          </w:p>
        </w:tc>
        <w:tc>
          <w:tcPr>
            <w:tcW w:w="779"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0.5%</w:t>
            </w:r>
          </w:p>
        </w:tc>
        <w:tc>
          <w:tcPr>
            <w:tcW w:w="1832" w:type="pct"/>
            <w:vMerge w:val="continue"/>
            <w:shd w:val="clear" w:color="auto" w:fill="auto"/>
            <w:vAlign w:val="center"/>
          </w:tcPr>
          <w:p>
            <w:pPr>
              <w:ind w:firstLine="420"/>
              <w:jc w:val="center"/>
              <w:rPr>
                <w:rFonts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9"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蔬菜油</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棉籽油、谷物油或矿物油</w:t>
            </w:r>
            <w:r>
              <w:rPr>
                <w:rFonts w:hint="eastAsia" w:cs="Times New Roman"/>
                <w:color w:val="000000" w:themeColor="text1"/>
                <w:sz w:val="21"/>
                <w:lang w:eastAsia="zh-CN"/>
                <w14:textFill>
                  <w14:solidFill>
                    <w14:schemeClr w14:val="tx1"/>
                  </w14:solidFill>
                </w14:textFill>
              </w:rPr>
              <w:t>）</w:t>
            </w:r>
          </w:p>
        </w:tc>
        <w:tc>
          <w:tcPr>
            <w:tcW w:w="779"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100%</w:t>
            </w:r>
          </w:p>
        </w:tc>
        <w:tc>
          <w:tcPr>
            <w:tcW w:w="1832" w:type="pct"/>
            <w:vMerge w:val="continue"/>
            <w:shd w:val="clear" w:color="auto" w:fill="auto"/>
            <w:vAlign w:val="center"/>
          </w:tcPr>
          <w:p>
            <w:pPr>
              <w:ind w:firstLine="420"/>
              <w:jc w:val="center"/>
              <w:rPr>
                <w:rFonts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9" w:type="pct"/>
            <w:shd w:val="clear" w:color="auto" w:fill="auto"/>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洗涤剂</w:t>
            </w:r>
          </w:p>
        </w:tc>
        <w:tc>
          <w:tcPr>
            <w:tcW w:w="779"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0.1%</w:t>
            </w:r>
          </w:p>
        </w:tc>
        <w:tc>
          <w:tcPr>
            <w:tcW w:w="1832" w:type="pct"/>
            <w:vMerge w:val="continue"/>
            <w:shd w:val="clear" w:color="auto" w:fill="auto"/>
            <w:vAlign w:val="center"/>
          </w:tcPr>
          <w:p>
            <w:pPr>
              <w:ind w:firstLine="420"/>
              <w:jc w:val="center"/>
              <w:rPr>
                <w:rFonts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9" w:type="pct"/>
            <w:shd w:val="clear" w:color="auto" w:fill="auto"/>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肥皂水</w:t>
            </w:r>
          </w:p>
        </w:tc>
        <w:tc>
          <w:tcPr>
            <w:tcW w:w="779"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0.1%</w:t>
            </w:r>
          </w:p>
        </w:tc>
        <w:tc>
          <w:tcPr>
            <w:tcW w:w="1832" w:type="pct"/>
            <w:vMerge w:val="continue"/>
            <w:shd w:val="clear" w:color="auto" w:fill="auto"/>
            <w:vAlign w:val="center"/>
          </w:tcPr>
          <w:p>
            <w:pPr>
              <w:ind w:firstLine="420"/>
              <w:jc w:val="center"/>
              <w:rPr>
                <w:rFonts w:cs="Times New Roman"/>
                <w:color w:val="000000" w:themeColor="text1"/>
                <w:sz w:val="21"/>
                <w14:textFill>
                  <w14:solidFill>
                    <w14:schemeClr w14:val="tx1"/>
                  </w14:solidFill>
                </w14:textFill>
              </w:rPr>
            </w:pPr>
          </w:p>
        </w:tc>
      </w:tr>
    </w:tbl>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 xml:space="preserve"> </w:t>
      </w:r>
      <w:bookmarkStart w:id="78" w:name="OLE_LINK8"/>
      <w:r>
        <w:rPr>
          <w:rFonts w:hint="eastAsia" w:cs="Times New Roman"/>
          <w:color w:val="000000" w:themeColor="text1"/>
          <w:sz w:val="21"/>
          <w:lang w:eastAsia="zh-CN"/>
          <w14:textFill>
            <w14:solidFill>
              <w14:schemeClr w14:val="tx1"/>
            </w14:solidFill>
          </w14:textFill>
        </w:rPr>
        <w:t>内衬管</w:t>
      </w:r>
      <w:bookmarkEnd w:id="78"/>
      <w:r>
        <w:rPr>
          <w:rFonts w:cs="Times New Roman"/>
          <w:color w:val="000000" w:themeColor="text1"/>
          <w:sz w:val="21"/>
          <w:lang w:eastAsia="zh-CN"/>
          <w14:textFill>
            <w14:solidFill>
              <w14:schemeClr w14:val="tx1"/>
            </w14:solidFill>
          </w14:textFill>
        </w:rPr>
        <w:t>外观应符合下列规定：</w:t>
      </w:r>
    </w:p>
    <w:p>
      <w:pPr>
        <w:ind w:left="420" w:firstLine="422"/>
        <w:rPr>
          <w:rFonts w:cs="Times New Roman"/>
          <w:bCs/>
          <w:color w:val="000000" w:themeColor="text1"/>
          <w:sz w:val="21"/>
          <w:lang w:eastAsia="zh-CN"/>
          <w14:textFill>
            <w14:solidFill>
              <w14:schemeClr w14:val="tx1"/>
            </w14:solidFill>
          </w14:textFill>
        </w:rPr>
      </w:pPr>
      <w:r>
        <w:rPr>
          <w:rFonts w:cs="Times New Roman"/>
          <w:b/>
          <w:color w:val="000000" w:themeColor="text1"/>
          <w:sz w:val="21"/>
          <w:lang w:eastAsia="zh-CN"/>
          <w14:textFill>
            <w14:solidFill>
              <w14:schemeClr w14:val="tx1"/>
            </w14:solidFill>
          </w14:textFill>
        </w:rPr>
        <w:t>1</w:t>
      </w:r>
      <w:r>
        <w:rPr>
          <w:rFonts w:cs="Times New Roman"/>
          <w:bCs/>
          <w:color w:val="000000" w:themeColor="text1"/>
          <w:sz w:val="21"/>
          <w:lang w:eastAsia="zh-CN"/>
          <w14:textFill>
            <w14:solidFill>
              <w14:schemeClr w14:val="tx1"/>
            </w14:solidFill>
          </w14:textFill>
        </w:rPr>
        <w:t xml:space="preserve"> </w:t>
      </w:r>
      <w:r>
        <w:rPr>
          <w:rFonts w:hint="eastAsia" w:cs="Times New Roman"/>
          <w:bCs/>
          <w:color w:val="000000" w:themeColor="text1"/>
          <w:sz w:val="21"/>
          <w:lang w:eastAsia="zh-CN"/>
          <w14:textFill>
            <w14:solidFill>
              <w14:schemeClr w14:val="tx1"/>
            </w14:solidFill>
          </w14:textFill>
        </w:rPr>
        <w:t>内衬</w:t>
      </w:r>
      <w:r>
        <w:rPr>
          <w:rFonts w:cs="Times New Roman"/>
          <w:bCs/>
          <w:color w:val="000000" w:themeColor="text1"/>
          <w:sz w:val="21"/>
          <w:lang w:eastAsia="zh-CN"/>
          <w14:textFill>
            <w14:solidFill>
              <w14:schemeClr w14:val="tx1"/>
            </w14:solidFill>
          </w14:textFill>
        </w:rPr>
        <w:t>管厚度均匀；</w:t>
      </w:r>
    </w:p>
    <w:p>
      <w:pPr>
        <w:ind w:left="420" w:firstLine="422"/>
        <w:rPr>
          <w:rFonts w:cs="Times New Roman"/>
          <w:bCs/>
          <w:color w:val="000000" w:themeColor="text1"/>
          <w:sz w:val="21"/>
          <w:lang w:eastAsia="zh-CN"/>
          <w14:textFill>
            <w14:solidFill>
              <w14:schemeClr w14:val="tx1"/>
            </w14:solidFill>
          </w14:textFill>
        </w:rPr>
      </w:pPr>
      <w:r>
        <w:rPr>
          <w:rFonts w:cs="Times New Roman"/>
          <w:b/>
          <w:color w:val="000000" w:themeColor="text1"/>
          <w:sz w:val="21"/>
          <w:lang w:eastAsia="zh-CN"/>
          <w14:textFill>
            <w14:solidFill>
              <w14:schemeClr w14:val="tx1"/>
            </w14:solidFill>
          </w14:textFill>
        </w:rPr>
        <w:t>2</w:t>
      </w:r>
      <w:r>
        <w:rPr>
          <w:rFonts w:cs="Times New Roman"/>
          <w:bCs/>
          <w:color w:val="000000" w:themeColor="text1"/>
          <w:sz w:val="21"/>
          <w:lang w:eastAsia="zh-CN"/>
          <w14:textFill>
            <w14:solidFill>
              <w14:schemeClr w14:val="tx1"/>
            </w14:solidFill>
          </w14:textFill>
        </w:rPr>
        <w:t xml:space="preserve"> 表面光滑平整、无褶皱；</w:t>
      </w:r>
    </w:p>
    <w:p>
      <w:pPr>
        <w:ind w:left="420" w:firstLine="422"/>
        <w:rPr>
          <w:rFonts w:cs="Times New Roman"/>
          <w:bCs/>
          <w:color w:val="000000" w:themeColor="text1"/>
          <w:sz w:val="21"/>
          <w:lang w:eastAsia="zh-CN"/>
          <w14:textFill>
            <w14:solidFill>
              <w14:schemeClr w14:val="tx1"/>
            </w14:solidFill>
          </w14:textFill>
        </w:rPr>
      </w:pPr>
      <w:r>
        <w:rPr>
          <w:rFonts w:cs="Times New Roman"/>
          <w:b/>
          <w:color w:val="000000" w:themeColor="text1"/>
          <w:sz w:val="21"/>
          <w:lang w:eastAsia="zh-CN"/>
          <w14:textFill>
            <w14:solidFill>
              <w14:schemeClr w14:val="tx1"/>
            </w14:solidFill>
          </w14:textFill>
        </w:rPr>
        <w:t xml:space="preserve">3 </w:t>
      </w:r>
      <w:r>
        <w:rPr>
          <w:rFonts w:cs="Times New Roman"/>
          <w:bCs/>
          <w:color w:val="000000" w:themeColor="text1"/>
          <w:sz w:val="21"/>
          <w:lang w:eastAsia="zh-CN"/>
          <w14:textFill>
            <w14:solidFill>
              <w14:schemeClr w14:val="tx1"/>
            </w14:solidFill>
          </w14:textFill>
        </w:rPr>
        <w:t>表面色泽均匀、无破损；</w:t>
      </w:r>
    </w:p>
    <w:p>
      <w:pPr>
        <w:ind w:left="420" w:firstLine="420" w:firstLineChars="0"/>
        <w:rPr>
          <w:rFonts w:cs="Times New Roman"/>
          <w:bCs/>
          <w:color w:val="000000" w:themeColor="text1"/>
          <w:sz w:val="21"/>
          <w:lang w:eastAsia="zh-CN"/>
          <w14:textFill>
            <w14:solidFill>
              <w14:schemeClr w14:val="tx1"/>
            </w14:solidFill>
          </w14:textFill>
        </w:rPr>
      </w:pPr>
      <w:r>
        <w:rPr>
          <w:rFonts w:cs="Times New Roman"/>
          <w:b/>
          <w:color w:val="000000" w:themeColor="text1"/>
          <w:sz w:val="21"/>
          <w:lang w:eastAsia="zh-CN"/>
          <w14:textFill>
            <w14:solidFill>
              <w14:schemeClr w14:val="tx1"/>
            </w14:solidFill>
          </w14:textFill>
        </w:rPr>
        <w:t xml:space="preserve">4 </w:t>
      </w:r>
      <w:r>
        <w:rPr>
          <w:rFonts w:cs="Times New Roman"/>
          <w:bCs/>
          <w:color w:val="000000" w:themeColor="text1"/>
          <w:sz w:val="21"/>
          <w:lang w:eastAsia="zh-CN"/>
          <w14:textFill>
            <w14:solidFill>
              <w14:schemeClr w14:val="tx1"/>
            </w14:solidFill>
          </w14:textFill>
        </w:rPr>
        <w:t>表面无干斑或气泡。</w:t>
      </w:r>
    </w:p>
    <w:p>
      <w:pPr>
        <w:ind w:firstLine="420" w:firstLineChars="0"/>
        <w:rPr>
          <w:rFonts w:cs="Times New Roman"/>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7</w:t>
      </w:r>
      <w:r>
        <w:rPr>
          <w:rFonts w:cs="Times New Roman"/>
          <w:bCs/>
          <w:color w:val="000000" w:themeColor="text1"/>
          <w:sz w:val="21"/>
          <w:lang w:eastAsia="zh-CN"/>
          <w14:textFill>
            <w14:solidFill>
              <w14:schemeClr w14:val="tx1"/>
            </w14:solidFill>
          </w14:textFill>
        </w:rPr>
        <w:t xml:space="preserve"> </w:t>
      </w:r>
      <w:r>
        <w:rPr>
          <w:rFonts w:hint="eastAsia" w:cs="Times New Roman"/>
          <w:bCs/>
          <w:color w:val="000000" w:themeColor="text1"/>
          <w:sz w:val="21"/>
          <w:lang w:eastAsia="zh-CN"/>
          <w14:textFill>
            <w14:solidFill>
              <w14:schemeClr w14:val="tx1"/>
            </w14:solidFill>
          </w14:textFill>
        </w:rPr>
        <w:t>内衬管</w:t>
      </w:r>
      <w:r>
        <w:rPr>
          <w:rFonts w:cs="Times New Roman"/>
          <w:bCs/>
          <w:color w:val="000000" w:themeColor="text1"/>
          <w:sz w:val="21"/>
          <w:lang w:eastAsia="zh-CN"/>
          <w14:textFill>
            <w14:solidFill>
              <w14:schemeClr w14:val="tx1"/>
            </w14:solidFill>
          </w14:textFill>
        </w:rPr>
        <w:t>应标记设计厚度、适用管径、长度等参数。</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 xml:space="preserve"> 内衬管的短期力学性能指标应符合表</w:t>
      </w:r>
      <w:r>
        <w:rPr>
          <w:rFonts w:hint="eastAsia" w:cs="Times New Roman"/>
          <w:color w:val="000000" w:themeColor="text1"/>
          <w:sz w:val="21"/>
          <w:lang w:eastAsia="zh-CN"/>
          <w14:textFill>
            <w14:solidFill>
              <w14:schemeClr w14:val="tx1"/>
            </w14:solidFill>
          </w14:textFill>
        </w:rPr>
        <w:t>4.4</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 xml:space="preserve"> 的规定。</w:t>
      </w:r>
    </w:p>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4.4.8</w:t>
      </w:r>
      <w:r>
        <w:rPr>
          <w:rFonts w:cs="Times New Roman"/>
          <w:b/>
          <w:bCs/>
          <w:color w:val="000000" w:themeColor="text1"/>
          <w:sz w:val="21"/>
          <w:lang w:eastAsia="zh-CN"/>
          <w14:textFill>
            <w14:solidFill>
              <w14:schemeClr w14:val="tx1"/>
            </w14:solidFill>
          </w14:textFill>
        </w:rPr>
        <w:t xml:space="preserve"> 内衬管短期力学性能指标</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6"/>
        <w:gridCol w:w="1981"/>
        <w:gridCol w:w="1894"/>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2" w:type="pct"/>
            <w:vMerge w:val="restar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测试项目</w:t>
            </w:r>
          </w:p>
        </w:tc>
        <w:tc>
          <w:tcPr>
            <w:tcW w:w="2273" w:type="pct"/>
            <w:gridSpan w:val="2"/>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技术要求</w:t>
            </w:r>
          </w:p>
        </w:tc>
        <w:tc>
          <w:tcPr>
            <w:tcW w:w="1585" w:type="pct"/>
            <w:vMerge w:val="restar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2" w:type="pct"/>
            <w:vMerge w:val="continue"/>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p>
        </w:tc>
        <w:tc>
          <w:tcPr>
            <w:tcW w:w="1162"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聚酯纤维毡内衬管</w:t>
            </w:r>
          </w:p>
        </w:tc>
        <w:tc>
          <w:tcPr>
            <w:tcW w:w="1111"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含50%及以上玻璃纤维内衬管</w:t>
            </w:r>
          </w:p>
        </w:tc>
        <w:tc>
          <w:tcPr>
            <w:tcW w:w="1585" w:type="pct"/>
            <w:vMerge w:val="continue"/>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2"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弯曲强度（MPa）</w:t>
            </w:r>
          </w:p>
        </w:tc>
        <w:tc>
          <w:tcPr>
            <w:tcW w:w="1162"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bookmarkStart w:id="79" w:name="OLE_LINK9"/>
            <w:r>
              <w:rPr>
                <w:rFonts w:hint="eastAsia" w:cs="Times New Roman"/>
                <w:color w:val="000000" w:themeColor="text1"/>
                <w:sz w:val="21"/>
                <w:lang w:eastAsia="zh-CN"/>
                <w14:textFill>
                  <w14:solidFill>
                    <w14:schemeClr w14:val="tx1"/>
                  </w14:solidFill>
                </w14:textFill>
              </w:rPr>
              <w:t>≥</w:t>
            </w:r>
            <w:bookmarkEnd w:id="79"/>
            <w:r>
              <w:rPr>
                <w:rFonts w:cs="Times New Roman"/>
                <w:color w:val="000000" w:themeColor="text1"/>
                <w:sz w:val="21"/>
                <w:lang w:eastAsia="zh-CN"/>
                <w14:textFill>
                  <w14:solidFill>
                    <w14:schemeClr w14:val="tx1"/>
                  </w14:solidFill>
                </w14:textFill>
              </w:rPr>
              <w:t>31</w:t>
            </w:r>
          </w:p>
        </w:tc>
        <w:tc>
          <w:tcPr>
            <w:tcW w:w="1111"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≥62</w:t>
            </w:r>
          </w:p>
        </w:tc>
        <w:tc>
          <w:tcPr>
            <w:tcW w:w="1585" w:type="pct"/>
            <w:vMerge w:val="restar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bookmarkStart w:id="80" w:name="_Toc165892966"/>
            <w:bookmarkStart w:id="81" w:name="_Hlk196919953"/>
            <w:r>
              <w:rPr>
                <w:rFonts w:cs="Times New Roman"/>
                <w:color w:val="000000" w:themeColor="text1"/>
                <w:sz w:val="21"/>
                <w:lang w:eastAsia="zh-CN"/>
                <w14:textFill>
                  <w14:solidFill>
                    <w14:schemeClr w14:val="tx1"/>
                  </w14:solidFill>
                </w14:textFill>
              </w:rPr>
              <w:t>《</w:t>
            </w:r>
            <w:r>
              <w:rPr>
                <w:rFonts w:ascii="Helvetica" w:hAnsi="Helvetica"/>
                <w:color w:val="333333"/>
                <w:sz w:val="21"/>
                <w:lang w:eastAsia="zh-CN"/>
              </w:rPr>
              <w:t>纤维增强塑料弯曲性能试验方法</w:t>
            </w:r>
            <w:r>
              <w:rPr>
                <w:rFonts w:cs="Times New Roman"/>
                <w:color w:val="000000" w:themeColor="text1"/>
                <w:sz w:val="21"/>
                <w:lang w:eastAsia="zh-CN"/>
                <w14:textFill>
                  <w14:solidFill>
                    <w14:schemeClr w14:val="tx1"/>
                  </w14:solidFill>
                </w14:textFill>
              </w:rPr>
              <w:t>》</w:t>
            </w:r>
            <w:bookmarkEnd w:id="80"/>
            <w:r>
              <w:rPr>
                <w:rFonts w:cs="Times New Roman"/>
                <w:color w:val="000000" w:themeColor="text1"/>
                <w:sz w:val="21"/>
                <w:lang w:eastAsia="zh-CN"/>
                <w14:textFill>
                  <w14:solidFill>
                    <w14:schemeClr w14:val="tx1"/>
                  </w14:solidFill>
                </w14:textFill>
              </w:rPr>
              <w:t>GB</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 xml:space="preserve">T </w:t>
            </w:r>
            <w:r>
              <w:rPr>
                <w:rFonts w:hint="eastAsia" w:cs="Times New Roman"/>
                <w:color w:val="000000" w:themeColor="text1"/>
                <w:sz w:val="21"/>
                <w:lang w:eastAsia="zh-CN"/>
                <w14:textFill>
                  <w14:solidFill>
                    <w14:schemeClr w14:val="tx1"/>
                  </w14:solidFill>
                </w14:textFill>
              </w:rPr>
              <w:t>1449</w:t>
            </w:r>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2"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弯曲模量（MPa）</w:t>
            </w:r>
          </w:p>
        </w:tc>
        <w:tc>
          <w:tcPr>
            <w:tcW w:w="1162"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2000</w:t>
            </w:r>
          </w:p>
        </w:tc>
        <w:tc>
          <w:tcPr>
            <w:tcW w:w="1111"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4000</w:t>
            </w:r>
          </w:p>
        </w:tc>
        <w:tc>
          <w:tcPr>
            <w:tcW w:w="1585" w:type="pct"/>
            <w:vMerge w:val="continue"/>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142"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抗拉强度（MPa）</w:t>
            </w:r>
          </w:p>
        </w:tc>
        <w:tc>
          <w:tcPr>
            <w:tcW w:w="1162"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21</w:t>
            </w:r>
          </w:p>
        </w:tc>
        <w:tc>
          <w:tcPr>
            <w:tcW w:w="1111"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≥42</w:t>
            </w:r>
          </w:p>
        </w:tc>
        <w:tc>
          <w:tcPr>
            <w:tcW w:w="1585"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bookmarkStart w:id="82" w:name="_Hlk196919958"/>
            <w:r>
              <w:rPr>
                <w:rFonts w:cs="Times New Roman"/>
                <w:color w:val="000000" w:themeColor="text1"/>
                <w:sz w:val="21"/>
                <w:lang w:eastAsia="zh-CN"/>
                <w14:textFill>
                  <w14:solidFill>
                    <w14:schemeClr w14:val="tx1"/>
                  </w14:solidFill>
                </w14:textFill>
              </w:rPr>
              <w:t>《塑料 拉伸性能的测定 第2部分：模塑和挤塑塑料的试验条件》GB/T 1040.2</w:t>
            </w:r>
            <w:bookmarkEnd w:id="82"/>
          </w:p>
        </w:tc>
      </w:tr>
    </w:tbl>
    <w:p>
      <w:pPr>
        <w:ind w:firstLine="420" w:firstLineChars="0"/>
        <w:jc w:val="left"/>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9</w:t>
      </w:r>
      <w:r>
        <w:rPr>
          <w:rFonts w:cs="Times New Roman"/>
          <w:color w:val="000000" w:themeColor="text1"/>
          <w:sz w:val="21"/>
          <w:lang w:eastAsia="zh-CN"/>
          <w14:textFill>
            <w14:solidFill>
              <w14:schemeClr w14:val="tx1"/>
            </w14:solidFill>
          </w14:textFill>
        </w:rPr>
        <w:t xml:space="preserve"> 内衬管的长期力学性能应根据设计要求进行测试，且不应小于初始性能的50%。</w:t>
      </w:r>
    </w:p>
    <w:p>
      <w:pPr>
        <w:ind w:firstLine="420" w:firstLineChars="0"/>
        <w:jc w:val="left"/>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w:t>
      </w:r>
      <w:r>
        <w:rPr>
          <w:rFonts w:cs="Times New Roman"/>
          <w:b/>
          <w:bCs/>
          <w:color w:val="000000" w:themeColor="text1"/>
          <w:sz w:val="21"/>
          <w:lang w:eastAsia="zh-CN"/>
          <w14:textFill>
            <w14:solidFill>
              <w14:schemeClr w14:val="tx1"/>
            </w14:solidFill>
          </w14:textFill>
        </w:rPr>
        <w:t>.10</w:t>
      </w:r>
      <w:r>
        <w:rPr>
          <w:rFonts w:cs="Times New Roman"/>
          <w:color w:val="000000" w:themeColor="text1"/>
          <w:sz w:val="21"/>
          <w:lang w:eastAsia="zh-CN"/>
          <w14:textFill>
            <w14:solidFill>
              <w14:schemeClr w14:val="tx1"/>
            </w14:solidFill>
          </w14:textFill>
        </w:rPr>
        <w:t xml:space="preserve"> 内衬管的耐化学腐蚀性检验可按</w:t>
      </w:r>
      <w:bookmarkStart w:id="83" w:name="_Hlk196919687"/>
      <w:r>
        <w:rPr>
          <w:rFonts w:cs="Times New Roman"/>
          <w:color w:val="000000" w:themeColor="text1"/>
          <w:sz w:val="21"/>
          <w:lang w:eastAsia="zh-CN"/>
          <w14:textFill>
            <w14:solidFill>
              <w14:schemeClr w14:val="tx1"/>
            </w14:solidFill>
          </w14:textFill>
        </w:rPr>
        <w:t>现行国家标准</w:t>
      </w:r>
      <w:bookmarkStart w:id="84" w:name="_Hlk196919964"/>
      <w:r>
        <w:rPr>
          <w:rFonts w:cs="Times New Roman"/>
          <w:color w:val="000000" w:themeColor="text1"/>
          <w:sz w:val="21"/>
          <w:lang w:eastAsia="zh-CN"/>
          <w14:textFill>
            <w14:solidFill>
              <w14:schemeClr w14:val="tx1"/>
            </w14:solidFill>
          </w14:textFill>
        </w:rPr>
        <w:t>《塑料耐液体化学试剂性能的测定》GB/T 11547</w:t>
      </w:r>
      <w:bookmarkEnd w:id="83"/>
      <w:bookmarkEnd w:id="84"/>
      <w:r>
        <w:rPr>
          <w:rFonts w:cs="Times New Roman"/>
          <w:color w:val="000000" w:themeColor="text1"/>
          <w:sz w:val="21"/>
          <w:lang w:eastAsia="zh-CN"/>
          <w14:textFill>
            <w14:solidFill>
              <w14:schemeClr w14:val="tx1"/>
            </w14:solidFill>
          </w14:textFill>
        </w:rPr>
        <w:t>执行，并应符合下列规定：</w:t>
      </w:r>
    </w:p>
    <w:p>
      <w:pPr>
        <w:ind w:left="420" w:firstLine="420" w:firstLineChars="0"/>
        <w:jc w:val="left"/>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耐化学性的检测浸泡时间宜为28d，试验温度应为23℃±2℃</w:t>
      </w:r>
      <w:r>
        <w:rPr>
          <w:rFonts w:hint="eastAsia" w:cs="Times New Roman"/>
          <w:color w:val="000000" w:themeColor="text1"/>
          <w:sz w:val="21"/>
          <w:lang w:eastAsia="zh-CN"/>
          <w14:textFill>
            <w14:solidFill>
              <w14:schemeClr w14:val="tx1"/>
            </w14:solidFill>
          </w14:textFill>
        </w:rPr>
        <w:t>；</w:t>
      </w:r>
    </w:p>
    <w:p>
      <w:pPr>
        <w:ind w:left="420" w:firstLine="420" w:firstLineChars="0"/>
        <w:jc w:val="left"/>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浸泡典型介质应按表</w:t>
      </w:r>
      <w:r>
        <w:rPr>
          <w:rFonts w:hint="eastAsia" w:cs="Times New Roman"/>
          <w:color w:val="000000" w:themeColor="text1"/>
          <w:sz w:val="21"/>
          <w:lang w:eastAsia="zh-CN"/>
          <w14:textFill>
            <w14:solidFill>
              <w14:schemeClr w14:val="tx1"/>
            </w14:solidFill>
          </w14:textFill>
        </w:rPr>
        <w:t>4.4.10</w:t>
      </w:r>
      <w:r>
        <w:rPr>
          <w:rFonts w:cs="Times New Roman"/>
          <w:color w:val="000000" w:themeColor="text1"/>
          <w:sz w:val="21"/>
          <w:lang w:eastAsia="zh-CN"/>
          <w14:textFill>
            <w14:solidFill>
              <w14:schemeClr w14:val="tx1"/>
            </w14:solidFill>
          </w14:textFill>
        </w:rPr>
        <w:t xml:space="preserve"> 选取</w:t>
      </w:r>
      <w:r>
        <w:rPr>
          <w:rFonts w:hint="eastAsia" w:cs="Times New Roman"/>
          <w:color w:val="000000" w:themeColor="text1"/>
          <w:sz w:val="21"/>
          <w:lang w:eastAsia="zh-CN"/>
          <w14:textFill>
            <w14:solidFill>
              <w14:schemeClr w14:val="tx1"/>
            </w14:solidFill>
          </w14:textFill>
        </w:rPr>
        <w:t>；</w:t>
      </w:r>
    </w:p>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4.4.10</w:t>
      </w:r>
      <w:r>
        <w:rPr>
          <w:rFonts w:cs="Times New Roman"/>
          <w:b/>
          <w:bCs/>
          <w:color w:val="000000" w:themeColor="text1"/>
          <w:sz w:val="21"/>
          <w:lang w:eastAsia="zh-CN"/>
          <w14:textFill>
            <w14:solidFill>
              <w14:schemeClr w14:val="tx1"/>
            </w14:solidFill>
          </w14:textFill>
        </w:rPr>
        <w:t xml:space="preserve"> 浸泡典型介质</w:t>
      </w:r>
    </w:p>
    <w:tbl>
      <w:tblPr>
        <w:tblStyle w:val="16"/>
        <w:tblW w:w="5000" w:type="pct"/>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620"/>
        <w:gridCol w:w="2451"/>
        <w:gridCol w:w="24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2124"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化合物溶液</w:t>
            </w:r>
          </w:p>
        </w:tc>
        <w:tc>
          <w:tcPr>
            <w:tcW w:w="1438"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间苯型不饱和聚酯树脂</w:t>
            </w:r>
          </w:p>
        </w:tc>
        <w:tc>
          <w:tcPr>
            <w:tcW w:w="1438"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乙烯基酯树脂/环氧树脂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2124"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5.0%浓度pH为1的H2SO4溶液</w:t>
            </w:r>
          </w:p>
        </w:tc>
        <w:tc>
          <w:tcPr>
            <w:tcW w:w="1438"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选测</w:t>
            </w:r>
          </w:p>
        </w:tc>
        <w:tc>
          <w:tcPr>
            <w:tcW w:w="1438"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选测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2124"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0.5%浓度pH为10的NaOH溶液</w:t>
            </w:r>
          </w:p>
        </w:tc>
        <w:tc>
          <w:tcPr>
            <w:tcW w:w="1438"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选测</w:t>
            </w:r>
          </w:p>
        </w:tc>
        <w:tc>
          <w:tcPr>
            <w:tcW w:w="1438" w:type="pct"/>
            <w:vAlign w:val="center"/>
          </w:tcPr>
          <w:p>
            <w:pPr>
              <w:spacing w:line="240" w:lineRule="auto"/>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选测</w:t>
            </w:r>
          </w:p>
        </w:tc>
      </w:tr>
    </w:tbl>
    <w:p>
      <w:pPr>
        <w:ind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注：化合物溶液的浓度为质量分数。</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试件浸泡完成后，应分别按本文件第</w:t>
      </w:r>
      <w:r>
        <w:rPr>
          <w:rFonts w:hint="eastAsia" w:cs="Times New Roman"/>
          <w:color w:val="000000" w:themeColor="text1"/>
          <w:sz w:val="21"/>
          <w:lang w:eastAsia="zh-CN"/>
          <w14:textFill>
            <w14:solidFill>
              <w14:schemeClr w14:val="tx1"/>
            </w14:solidFill>
          </w14:textFill>
        </w:rPr>
        <w:t>4.4.8</w:t>
      </w:r>
      <w:r>
        <w:rPr>
          <w:rFonts w:cs="Times New Roman"/>
          <w:color w:val="000000" w:themeColor="text1"/>
          <w:sz w:val="21"/>
          <w:lang w:eastAsia="zh-CN"/>
          <w14:textFill>
            <w14:solidFill>
              <w14:schemeClr w14:val="tx1"/>
            </w14:solidFill>
          </w14:textFill>
        </w:rPr>
        <w:t>条规定检测试样的弯曲强度和弯曲模量，检测结果不应小于内衬管初始弯曲强度和弯曲模量的80%。</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11</w:t>
      </w:r>
      <w:r>
        <w:rPr>
          <w:rFonts w:cs="Times New Roman"/>
          <w:color w:val="000000" w:themeColor="text1"/>
          <w:sz w:val="21"/>
          <w:lang w:eastAsia="zh-CN"/>
          <w14:textFill>
            <w14:solidFill>
              <w14:schemeClr w14:val="tx1"/>
            </w14:solidFill>
          </w14:textFill>
        </w:rPr>
        <w:t xml:space="preserve"> 产品生产企业应提供内衬管的长期力学性能型式检验报告。</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4.4</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12</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热源供应装置应为</w:t>
      </w:r>
      <w:r>
        <w:rPr>
          <w:rFonts w:cs="Times New Roman"/>
          <w:color w:val="000000" w:themeColor="text1"/>
          <w:sz w:val="21"/>
          <w:lang w:eastAsia="zh-CN"/>
          <w14:textFill>
            <w14:solidFill>
              <w14:schemeClr w14:val="tx1"/>
            </w14:solidFill>
          </w14:textFill>
        </w:rPr>
        <w:t>D</w:t>
      </w:r>
      <w:r>
        <w:rPr>
          <w:rFonts w:hint="eastAsia" w:cs="Times New Roman"/>
          <w:color w:val="000000" w:themeColor="text1"/>
          <w:sz w:val="21"/>
          <w:lang w:eastAsia="zh-CN"/>
          <w14:textFill>
            <w14:solidFill>
              <w14:schemeClr w14:val="tx1"/>
            </w14:solidFill>
          </w14:textFill>
        </w:rPr>
        <w:t>级无压锅炉，出水温度≤</w:t>
      </w:r>
      <w:r>
        <w:rPr>
          <w:rFonts w:cs="Times New Roman"/>
          <w:color w:val="000000" w:themeColor="text1"/>
          <w:sz w:val="21"/>
          <w:lang w:eastAsia="zh-CN"/>
          <w14:textFill>
            <w14:solidFill>
              <w14:schemeClr w14:val="tx1"/>
            </w14:solidFill>
          </w14:textFill>
        </w:rPr>
        <w:t>95</w:t>
      </w:r>
      <w:r>
        <w:rPr>
          <w:rFonts w:hint="eastAsia" w:cs="Times New Roman"/>
          <w:color w:val="000000" w:themeColor="text1"/>
          <w:sz w:val="21"/>
          <w:lang w:eastAsia="zh-CN"/>
          <w14:textFill>
            <w14:solidFill>
              <w14:schemeClr w14:val="tx1"/>
            </w14:solidFill>
          </w14:textFill>
        </w:rPr>
        <w:t>℃，且应满足《锅炉安全技术规程》</w:t>
      </w:r>
      <w:r>
        <w:rPr>
          <w:rFonts w:cs="Times New Roman"/>
          <w:color w:val="000000" w:themeColor="text1"/>
          <w:sz w:val="21"/>
          <w:lang w:eastAsia="zh-CN"/>
          <w14:textFill>
            <w14:solidFill>
              <w14:schemeClr w14:val="tx1"/>
            </w14:solidFill>
          </w14:textFill>
        </w:rPr>
        <w:t>TSG 11</w:t>
      </w:r>
      <w:r>
        <w:rPr>
          <w:rFonts w:hint="eastAsia" w:cs="Times New Roman"/>
          <w:color w:val="000000" w:themeColor="text1"/>
          <w:sz w:val="21"/>
          <w:lang w:eastAsia="zh-CN"/>
          <w14:textFill>
            <w14:solidFill>
              <w14:schemeClr w14:val="tx1"/>
            </w14:solidFill>
          </w14:textFill>
        </w:rPr>
        <w:t>中相关的规定，且应配备</w:t>
      </w:r>
      <w:r>
        <w:rPr>
          <w:rFonts w:cs="Times New Roman"/>
          <w:color w:val="000000" w:themeColor="text1"/>
          <w:sz w:val="21"/>
          <w:lang w:eastAsia="zh-CN"/>
          <w14:textFill>
            <w14:solidFill>
              <w14:schemeClr w14:val="tx1"/>
            </w14:solidFill>
          </w14:textFill>
        </w:rPr>
        <w:t>温度和压力测量仪表，固化过程中应对温度和压力进行测量和监控。</w:t>
      </w:r>
    </w:p>
    <w:p>
      <w:pPr>
        <w:pStyle w:val="3"/>
        <w:ind w:firstLine="560"/>
      </w:pPr>
      <w:bookmarkStart w:id="85" w:name="_Toc196915207"/>
      <w:r>
        <w:rPr>
          <w:rFonts w:hint="eastAsia"/>
        </w:rPr>
        <w:t>4.5</w:t>
      </w:r>
      <w:r>
        <w:t xml:space="preserve"> </w:t>
      </w:r>
      <w:bookmarkStart w:id="86" w:name="_Hlk174126020"/>
      <w:r>
        <w:t>原位热塑成型</w:t>
      </w:r>
      <w:bookmarkEnd w:id="86"/>
      <w:r>
        <w:t>法</w:t>
      </w:r>
      <w:bookmarkEnd w:id="85"/>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4.5.1</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材料</w:t>
      </w:r>
      <w:r>
        <w:rPr>
          <w:rFonts w:hint="eastAsia" w:cs="Times New Roman"/>
          <w:color w:val="000000" w:themeColor="text1"/>
          <w:sz w:val="21"/>
          <w:lang w:eastAsia="zh-CN"/>
          <w14:textFill>
            <w14:solidFill>
              <w14:schemeClr w14:val="tx1"/>
            </w14:solidFill>
          </w14:textFill>
        </w:rPr>
        <w:t>性能</w:t>
      </w:r>
      <w:r>
        <w:rPr>
          <w:rFonts w:cs="Times New Roman"/>
          <w:color w:val="000000" w:themeColor="text1"/>
          <w:sz w:val="21"/>
          <w:lang w:eastAsia="zh-CN"/>
          <w14:textFill>
            <w14:solidFill>
              <w14:schemeClr w14:val="tx1"/>
            </w14:solidFill>
          </w14:textFill>
        </w:rPr>
        <w:t>应符合</w:t>
      </w:r>
      <w:bookmarkStart w:id="87" w:name="_Hlk196919694"/>
      <w:r>
        <w:rPr>
          <w:rFonts w:cs="Times New Roman"/>
          <w:color w:val="000000" w:themeColor="text1"/>
          <w:sz w:val="21"/>
          <w:lang w:eastAsia="zh-CN"/>
          <w14:textFill>
            <w14:solidFill>
              <w14:schemeClr w14:val="tx1"/>
            </w14:solidFill>
          </w14:textFill>
        </w:rPr>
        <w:t>现行国家标准</w:t>
      </w:r>
      <w:bookmarkStart w:id="88" w:name="OLE_LINK26"/>
      <w:r>
        <w:rPr>
          <w:rFonts w:cs="Times New Roman"/>
          <w:color w:val="000000" w:themeColor="text1"/>
          <w:sz w:val="21"/>
          <w:lang w:eastAsia="zh-CN"/>
          <w14:textFill>
            <w14:solidFill>
              <w14:schemeClr w14:val="tx1"/>
            </w14:solidFill>
          </w14:textFill>
        </w:rPr>
        <w:t>《地下无压排水管网非开挖修复用塑料管道系统第3部分：紧密贴合内衬法》GBT41666.</w:t>
      </w:r>
      <w:bookmarkEnd w:id="88"/>
      <w:r>
        <w:rPr>
          <w:rFonts w:hint="eastAsia" w:cs="Times New Roman"/>
          <w:color w:val="000000" w:themeColor="text1"/>
          <w:sz w:val="21"/>
          <w:lang w:eastAsia="zh-CN"/>
          <w14:textFill>
            <w14:solidFill>
              <w14:schemeClr w14:val="tx1"/>
            </w14:solidFill>
          </w14:textFill>
        </w:rPr>
        <w:t>3</w:t>
      </w:r>
      <w:bookmarkEnd w:id="87"/>
      <w:r>
        <w:rPr>
          <w:rFonts w:cs="Times New Roman"/>
          <w:color w:val="000000" w:themeColor="text1"/>
          <w:sz w:val="21"/>
          <w:lang w:eastAsia="zh-CN"/>
          <w14:textFill>
            <w14:solidFill>
              <w14:schemeClr w14:val="tx1"/>
            </w14:solidFill>
          </w14:textFill>
        </w:rPr>
        <w:t>的规定</w:t>
      </w:r>
      <w:r>
        <w:rPr>
          <w:rFonts w:hint="eastAsia" w:cs="Times New Roman"/>
          <w:color w:val="000000" w:themeColor="text1"/>
          <w:sz w:val="21"/>
          <w:lang w:eastAsia="zh-CN"/>
          <w14:textFill>
            <w14:solidFill>
              <w14:schemeClr w14:val="tx1"/>
            </w14:solidFill>
          </w14:textFill>
        </w:rPr>
        <w:t>和设计要求</w:t>
      </w:r>
      <w:r>
        <w:rPr>
          <w:rFonts w:cs="Times New Roman"/>
          <w:color w:val="000000" w:themeColor="text1"/>
          <w:sz w:val="21"/>
          <w:lang w:eastAsia="zh-CN"/>
          <w14:textFill>
            <w14:solidFill>
              <w14:schemeClr w14:val="tx1"/>
            </w14:solidFill>
          </w14:textFill>
        </w:rPr>
        <w:t>。</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4.5.2 </w:t>
      </w:r>
      <w:r>
        <w:rPr>
          <w:rFonts w:hint="eastAsia" w:cs="Times New Roman"/>
          <w:color w:val="000000" w:themeColor="text1"/>
          <w:sz w:val="21"/>
          <w:lang w:eastAsia="zh-CN"/>
          <w14:textFill>
            <w14:solidFill>
              <w14:schemeClr w14:val="tx1"/>
            </w14:solidFill>
          </w14:textFill>
        </w:rPr>
        <w:t>材料的标志、包装、贮存与运输应符合下列规定：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内衬管宜按米设置标志，每</w:t>
      </w:r>
      <w:r>
        <w:rPr>
          <w:rFonts w:cs="Times New Roman"/>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米设置</w:t>
      </w:r>
      <w:r>
        <w:rPr>
          <w:rFonts w:cs="Times New Roman"/>
          <w:color w:val="000000" w:themeColor="text1"/>
          <w:sz w:val="21"/>
          <w:lang w:eastAsia="zh-CN"/>
          <w14:textFill>
            <w14:solidFill>
              <w14:schemeClr w14:val="tx1"/>
            </w14:solidFill>
          </w14:textFill>
        </w:rPr>
        <w:t xml:space="preserve"> 1 </w:t>
      </w:r>
      <w:r>
        <w:rPr>
          <w:rFonts w:hint="eastAsia" w:cs="Times New Roman"/>
          <w:color w:val="000000" w:themeColor="text1"/>
          <w:sz w:val="21"/>
          <w:lang w:eastAsia="zh-CN"/>
          <w14:textFill>
            <w14:solidFill>
              <w14:schemeClr w14:val="tx1"/>
            </w14:solidFill>
          </w14:textFill>
        </w:rPr>
        <w:t>处标志，标志应包括产品标准编号、产品名称、生产厂名或商标、公称外径和壁厚等内容；</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内衬管宜采用卷盘式包装，卷盘宽度和外圆直径宜大于</w:t>
      </w:r>
      <w:r>
        <w:rPr>
          <w:rFonts w:cs="Times New Roman"/>
          <w:color w:val="000000" w:themeColor="text1"/>
          <w:sz w:val="21"/>
          <w:lang w:eastAsia="zh-CN"/>
          <w14:textFill>
            <w14:solidFill>
              <w14:schemeClr w14:val="tx1"/>
            </w14:solidFill>
          </w14:textFill>
        </w:rPr>
        <w:t>1800 mm</w:t>
      </w:r>
      <w:r>
        <w:rPr>
          <w:rFonts w:hint="eastAsia"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内衬管与卷盘之间应设置柔性隔离缓冲材料；</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内衬管应在</w:t>
      </w:r>
      <w:r>
        <w:rPr>
          <w:rFonts w:cs="Times New Roman"/>
          <w:color w:val="000000" w:themeColor="text1"/>
          <w:sz w:val="21"/>
          <w:lang w:eastAsia="zh-CN"/>
          <w14:textFill>
            <w14:solidFill>
              <w14:schemeClr w14:val="tx1"/>
            </w14:solidFill>
          </w14:textFill>
        </w:rPr>
        <w:t>-15℃~40℃</w:t>
      </w:r>
      <w:r>
        <w:rPr>
          <w:rFonts w:hint="eastAsia" w:cs="Times New Roman"/>
          <w:color w:val="000000" w:themeColor="text1"/>
          <w:sz w:val="21"/>
          <w:lang w:eastAsia="zh-CN"/>
          <w14:textFill>
            <w14:solidFill>
              <w14:schemeClr w14:val="tx1"/>
            </w14:solidFill>
          </w14:textFill>
        </w:rPr>
        <w:t>的环境温度下贮存，远离热源，避免挤压变形；露天存放时，应遮盖，避免曝晒。</w:t>
      </w:r>
    </w:p>
    <w:p>
      <w:pPr>
        <w:ind w:firstLine="420" w:firstLineChars="0"/>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4.5.3</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折叠内衬管截面宜为</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H</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形或</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U</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形</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内外表面应光滑、平整，无裂口、凹陷或其他影响内衬管性能的表面缺陷。内衬管中不得有可见杂物。</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4.5</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 xml:space="preserve">4 </w:t>
      </w:r>
      <w:r>
        <w:rPr>
          <w:rFonts w:cs="Times New Roman"/>
          <w:color w:val="000000" w:themeColor="text1"/>
          <w:sz w:val="21"/>
          <w:lang w:eastAsia="zh-CN"/>
          <w14:textFill>
            <w14:solidFill>
              <w14:schemeClr w14:val="tx1"/>
            </w14:solidFill>
          </w14:textFill>
        </w:rPr>
        <w:t>衬管长度不应有负偏差。出厂时，衬管截面周长应为原有管道内周长的</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80%~90%。</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4.5</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内衬管壁厚应大于设计壁厚，壁厚不均匀度应低于5 %</w:t>
      </w:r>
      <w:r>
        <w:rPr>
          <w:rFonts w:hint="eastAsia" w:cs="Times New Roman"/>
          <w:color w:val="000000" w:themeColor="text1"/>
          <w:sz w:val="21"/>
          <w:lang w:eastAsia="zh-CN"/>
          <w14:textFill>
            <w14:solidFill>
              <w14:schemeClr w14:val="tx1"/>
            </w14:solidFill>
          </w14:textFill>
        </w:rPr>
        <w:t>。</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4.5</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 xml:space="preserve"> 内衬管</w:t>
      </w:r>
      <w:r>
        <w:rPr>
          <w:rFonts w:hint="eastAsia" w:cs="Times New Roman"/>
          <w:color w:val="000000" w:themeColor="text1"/>
          <w:sz w:val="21"/>
          <w:lang w:eastAsia="zh-CN"/>
          <w14:textFill>
            <w14:solidFill>
              <w14:schemeClr w14:val="tx1"/>
            </w14:solidFill>
          </w14:textFill>
        </w:rPr>
        <w:t>的初始</w:t>
      </w:r>
      <w:r>
        <w:rPr>
          <w:rFonts w:cs="Times New Roman"/>
          <w:color w:val="000000" w:themeColor="text1"/>
          <w:sz w:val="21"/>
          <w:lang w:eastAsia="zh-CN"/>
          <w14:textFill>
            <w14:solidFill>
              <w14:schemeClr w14:val="tx1"/>
            </w14:solidFill>
          </w14:textFill>
        </w:rPr>
        <w:t>力学性能应符合表</w:t>
      </w:r>
      <w:r>
        <w:rPr>
          <w:rFonts w:hint="eastAsia" w:cs="Times New Roman"/>
          <w:color w:val="000000" w:themeColor="text1"/>
          <w:sz w:val="21"/>
          <w:lang w:eastAsia="zh-CN"/>
          <w14:textFill>
            <w14:solidFill>
              <w14:schemeClr w14:val="tx1"/>
            </w14:solidFill>
          </w14:textFill>
        </w:rPr>
        <w:t>4.5</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的规定。</w:t>
      </w:r>
    </w:p>
    <w:p>
      <w:pPr>
        <w:ind w:firstLine="422"/>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4.5</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 xml:space="preserve"> 内衬管短期力学性能指标</w:t>
      </w:r>
    </w:p>
    <w:tbl>
      <w:tblPr>
        <w:tblStyle w:val="1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52"/>
        <w:gridCol w:w="2052"/>
        <w:gridCol w:w="45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检测项目</w:t>
            </w:r>
          </w:p>
        </w:tc>
        <w:tc>
          <w:tcPr>
            <w:tcW w:w="1204"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技术指标</w:t>
            </w:r>
          </w:p>
        </w:tc>
        <w:tc>
          <w:tcPr>
            <w:tcW w:w="2651" w:type="pct"/>
            <w:vAlign w:val="center"/>
          </w:tcPr>
          <w:p>
            <w:pPr>
              <w:ind w:firstLine="0" w:firstLineChars="0"/>
              <w:jc w:val="center"/>
              <w:rPr>
                <w:rFonts w:cs="Times New Roman"/>
                <w:color w:val="000000" w:themeColor="text1"/>
                <w:sz w:val="21"/>
                <w:highlight w:val="yellow"/>
                <w14:textFill>
                  <w14:solidFill>
                    <w14:schemeClr w14:val="tx1"/>
                  </w14:solidFill>
                </w14:textFill>
              </w:rPr>
            </w:pPr>
            <w:r>
              <w:rPr>
                <w:rFonts w:cs="Times New Roman"/>
                <w:color w:val="000000" w:themeColor="text1"/>
                <w:sz w:val="21"/>
                <w14:textFill>
                  <w14:solidFill>
                    <w14:schemeClr w14:val="tx1"/>
                  </w14:solidFill>
                </w14:textFill>
              </w:rPr>
              <w:t>测试标准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拉伸强度（MPa）</w:t>
            </w:r>
          </w:p>
        </w:tc>
        <w:tc>
          <w:tcPr>
            <w:tcW w:w="1204" w:type="pct"/>
            <w:vAlign w:val="center"/>
          </w:tcPr>
          <w:p>
            <w:pPr>
              <w:ind w:firstLine="0" w:firstLineChars="0"/>
              <w:jc w:val="center"/>
              <w:rPr>
                <w:rFonts w:cs="Times New Roman"/>
                <w:color w:val="000000" w:themeColor="text1"/>
                <w:sz w:val="21"/>
                <w14:textFill>
                  <w14:solidFill>
                    <w14:schemeClr w14:val="tx1"/>
                  </w14:solidFill>
                </w14:textFill>
              </w:rPr>
            </w:pPr>
            <w:r>
              <w:rPr>
                <w:rFonts w:hint="eastAsia" w:cs="Times New Roman" w:asciiTheme="minorEastAsia" w:hAnsiTheme="minorEastAsia" w:eastAsiaTheme="minorEastAsia"/>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3</w:t>
            </w:r>
            <w:r>
              <w:rPr>
                <w:rFonts w:cs="Times New Roman"/>
                <w:color w:val="000000" w:themeColor="text1"/>
                <w:sz w:val="21"/>
                <w14:textFill>
                  <w14:solidFill>
                    <w14:schemeClr w14:val="tx1"/>
                  </w14:solidFill>
                </w14:textFill>
              </w:rPr>
              <w:t>0</w:t>
            </w:r>
          </w:p>
        </w:tc>
        <w:tc>
          <w:tcPr>
            <w:tcW w:w="2651" w:type="pct"/>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现行国家标准</w:t>
            </w:r>
            <w:bookmarkStart w:id="89" w:name="_Hlk196919704"/>
            <w:r>
              <w:rPr>
                <w:rFonts w:hint="eastAsia" w:cs="Times New Roman"/>
                <w:color w:val="000000" w:themeColor="text1"/>
                <w:sz w:val="21"/>
                <w:lang w:eastAsia="zh-CN"/>
                <w14:textFill>
                  <w14:solidFill>
                    <w14:schemeClr w14:val="tx1"/>
                  </w14:solidFill>
                </w14:textFill>
              </w:rPr>
              <w:t>《热塑性塑料管材</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拉伸性能测定</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第</w:t>
            </w:r>
            <w:r>
              <w:rPr>
                <w:rFonts w:cs="Times New Roman"/>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部分</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硬聚氯乙烯（</w:t>
            </w:r>
            <w:r>
              <w:rPr>
                <w:rFonts w:cs="Times New Roman"/>
                <w:color w:val="000000" w:themeColor="text1"/>
                <w:sz w:val="21"/>
                <w:lang w:eastAsia="zh-CN"/>
                <w14:textFill>
                  <w14:solidFill>
                    <w14:schemeClr w14:val="tx1"/>
                  </w14:solidFill>
                </w14:textFill>
              </w:rPr>
              <w:t>PVC-U</w:t>
            </w:r>
            <w:r>
              <w:rPr>
                <w:rFonts w:hint="eastAsia" w:cs="Times New Roman"/>
                <w:color w:val="000000" w:themeColor="text1"/>
                <w:sz w:val="21"/>
                <w:lang w:eastAsia="zh-CN"/>
                <w14:textFill>
                  <w14:solidFill>
                    <w14:schemeClr w14:val="tx1"/>
                  </w14:solidFill>
                </w14:textFill>
              </w:rPr>
              <w:t>）、氯化聚氯乙烯（</w:t>
            </w:r>
            <w:r>
              <w:rPr>
                <w:rFonts w:cs="Times New Roman"/>
                <w:color w:val="000000" w:themeColor="text1"/>
                <w:sz w:val="21"/>
                <w:lang w:eastAsia="zh-CN"/>
                <w14:textFill>
                  <w14:solidFill>
                    <w14:schemeClr w14:val="tx1"/>
                  </w14:solidFill>
                </w14:textFill>
              </w:rPr>
              <w:t>PVC-C</w:t>
            </w:r>
            <w:r>
              <w:rPr>
                <w:rFonts w:hint="eastAsia" w:cs="Times New Roman"/>
                <w:color w:val="000000" w:themeColor="text1"/>
                <w:sz w:val="21"/>
                <w:lang w:eastAsia="zh-CN"/>
                <w14:textFill>
                  <w14:solidFill>
                    <w14:schemeClr w14:val="tx1"/>
                  </w14:solidFill>
                </w14:textFill>
              </w:rPr>
              <w:t>）和高抗冲聚氯乙烯（</w:t>
            </w:r>
            <w:r>
              <w:rPr>
                <w:rFonts w:cs="Times New Roman"/>
                <w:color w:val="000000" w:themeColor="text1"/>
                <w:sz w:val="21"/>
                <w:lang w:eastAsia="zh-CN"/>
                <w14:textFill>
                  <w14:solidFill>
                    <w14:schemeClr w14:val="tx1"/>
                  </w14:solidFill>
                </w14:textFill>
              </w:rPr>
              <w:t>PVC-HI</w:t>
            </w:r>
            <w:r>
              <w:rPr>
                <w:rFonts w:hint="eastAsia" w:cs="Times New Roman"/>
                <w:color w:val="000000" w:themeColor="text1"/>
                <w:sz w:val="21"/>
                <w:lang w:eastAsia="zh-CN"/>
                <w14:textFill>
                  <w14:solidFill>
                    <w14:schemeClr w14:val="tx1"/>
                  </w14:solidFill>
                </w14:textFill>
              </w:rPr>
              <w:t>）管材》</w:t>
            </w:r>
            <w:r>
              <w:rPr>
                <w:rFonts w:cs="Times New Roman"/>
                <w:color w:val="000000" w:themeColor="text1"/>
                <w:sz w:val="21"/>
                <w:lang w:eastAsia="zh-CN"/>
                <w14:textFill>
                  <w14:solidFill>
                    <w14:schemeClr w14:val="tx1"/>
                  </w14:solidFill>
                </w14:textFill>
              </w:rPr>
              <w:t>GB/T 880</w:t>
            </w:r>
            <w:r>
              <w:rPr>
                <w:rFonts w:hint="eastAsia" w:cs="Times New Roman"/>
                <w:color w:val="000000" w:themeColor="text1"/>
                <w:sz w:val="21"/>
                <w:lang w:eastAsia="zh-CN"/>
                <w14:textFill>
                  <w14:solidFill>
                    <w14:schemeClr w14:val="tx1"/>
                  </w14:solidFill>
                </w14:textFill>
              </w:rPr>
              <w:t>4.3</w:t>
            </w:r>
            <w:bookmarkEnd w:id="8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vAlign w:val="center"/>
          </w:tcPr>
          <w:p>
            <w:pPr>
              <w:ind w:firstLine="0" w:firstLineChars="0"/>
              <w:jc w:val="center"/>
              <w:rPr>
                <w:rFonts w:cs="Times New Roman"/>
                <w:color w:val="000000" w:themeColor="text1"/>
                <w:sz w:val="21"/>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断裂伸长率（%）</w:t>
            </w:r>
          </w:p>
        </w:tc>
        <w:tc>
          <w:tcPr>
            <w:tcW w:w="1204" w:type="pct"/>
            <w:vAlign w:val="center"/>
          </w:tcPr>
          <w:p>
            <w:pPr>
              <w:ind w:firstLine="0" w:firstLineChars="0"/>
              <w:jc w:val="center"/>
              <w:rPr>
                <w:rFonts w:cs="Times New Roman" w:eastAsiaTheme="minorEastAsia"/>
                <w:color w:val="000000" w:themeColor="text1"/>
                <w:sz w:val="21"/>
                <w:lang w:eastAsia="zh-CN"/>
                <w14:textFill>
                  <w14:solidFill>
                    <w14:schemeClr w14:val="tx1"/>
                  </w14:solidFill>
                </w14:textFill>
              </w:rPr>
            </w:pPr>
            <w:r>
              <w:rPr>
                <w:rFonts w:ascii="宋体" w:hAnsi="宋体" w:cs="Times New Roman"/>
                <w:color w:val="000000" w:themeColor="text1"/>
                <w:sz w:val="21"/>
                <w:lang w:eastAsia="zh-CN"/>
                <w14:textFill>
                  <w14:solidFill>
                    <w14:schemeClr w14:val="tx1"/>
                  </w14:solidFill>
                </w14:textFill>
              </w:rPr>
              <w:t>≥</w:t>
            </w:r>
            <w:r>
              <w:rPr>
                <w:rFonts w:cs="Times New Roman" w:eastAsiaTheme="minorEastAsia"/>
                <w:color w:val="000000" w:themeColor="text1"/>
                <w:sz w:val="21"/>
                <w:lang w:eastAsia="zh-CN"/>
                <w14:textFill>
                  <w14:solidFill>
                    <w14:schemeClr w14:val="tx1"/>
                  </w14:solidFill>
                </w14:textFill>
              </w:rPr>
              <w:t>25</w:t>
            </w:r>
          </w:p>
        </w:tc>
        <w:tc>
          <w:tcPr>
            <w:tcW w:w="2651" w:type="pct"/>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拉伸模量（MPa）</w:t>
            </w:r>
          </w:p>
        </w:tc>
        <w:tc>
          <w:tcPr>
            <w:tcW w:w="1204" w:type="pct"/>
            <w:vAlign w:val="center"/>
          </w:tcPr>
          <w:p>
            <w:pPr>
              <w:ind w:firstLine="0" w:firstLineChars="0"/>
              <w:jc w:val="center"/>
              <w:rPr>
                <w:rFonts w:cs="Times New Roman"/>
                <w:color w:val="000000" w:themeColor="text1"/>
                <w:sz w:val="21"/>
                <w14:textFill>
                  <w14:solidFill>
                    <w14:schemeClr w14:val="tx1"/>
                  </w14:solidFill>
                </w14:textFill>
              </w:rPr>
            </w:pPr>
            <w:r>
              <w:rPr>
                <w:rFonts w:hint="eastAsia" w:cs="Times New Roman" w:asciiTheme="minorEastAsia" w:hAnsiTheme="minorEastAsia" w:eastAsiaTheme="minorEastAsia"/>
                <w:color w:val="000000" w:themeColor="text1"/>
                <w:sz w:val="21"/>
                <w:lang w:eastAsia="zh-CN"/>
                <w14:textFill>
                  <w14:solidFill>
                    <w14:schemeClr w14:val="tx1"/>
                  </w14:solidFill>
                </w14:textFill>
              </w:rPr>
              <w:t>≥</w:t>
            </w:r>
            <w:r>
              <w:rPr>
                <w:rFonts w:cs="Times New Roman"/>
                <w:color w:val="000000" w:themeColor="text1"/>
                <w:sz w:val="21"/>
                <w14:textFill>
                  <w14:solidFill>
                    <w14:schemeClr w14:val="tx1"/>
                  </w14:solidFill>
                </w14:textFill>
              </w:rPr>
              <w:t>1200</w:t>
            </w:r>
          </w:p>
        </w:tc>
        <w:tc>
          <w:tcPr>
            <w:tcW w:w="2651" w:type="pc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现行国家标准</w:t>
            </w:r>
            <w:bookmarkStart w:id="90" w:name="_Hlk196919710"/>
            <w:r>
              <w:rPr>
                <w:rFonts w:cs="Times New Roman"/>
                <w:color w:val="000000" w:themeColor="text1"/>
                <w:sz w:val="21"/>
                <w:lang w:eastAsia="zh-CN"/>
                <w14:textFill>
                  <w14:solidFill>
                    <w14:schemeClr w14:val="tx1"/>
                  </w14:solidFill>
                </w14:textFill>
              </w:rPr>
              <w:t>《塑料 拉伸性能的测定 第2部分:模塑和挤塑塑料的试验条件》GB/T 1040.2</w:t>
            </w:r>
            <w:bookmarkEnd w:id="9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弯曲模量（MPa）</w:t>
            </w:r>
          </w:p>
        </w:tc>
        <w:tc>
          <w:tcPr>
            <w:tcW w:w="1204" w:type="pc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hint="eastAsia" w:cs="Times New Roman" w:asciiTheme="minorEastAsia" w:hAnsiTheme="minorEastAsia" w:eastAsiaTheme="minorEastAsia"/>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1600</w:t>
            </w:r>
          </w:p>
        </w:tc>
        <w:tc>
          <w:tcPr>
            <w:tcW w:w="2651" w:type="pct"/>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现行国家标准</w:t>
            </w:r>
            <w:bookmarkStart w:id="91" w:name="_Hlk196919725"/>
            <w:r>
              <w:rPr>
                <w:rFonts w:cs="Times New Roman"/>
                <w:color w:val="000000" w:themeColor="text1"/>
                <w:sz w:val="21"/>
                <w:lang w:eastAsia="zh-CN"/>
                <w14:textFill>
                  <w14:solidFill>
                    <w14:schemeClr w14:val="tx1"/>
                  </w14:solidFill>
                </w14:textFill>
              </w:rPr>
              <w:t>《塑料 弯曲性能的测定》GB/T 9341</w:t>
            </w:r>
            <w:bookmarkEnd w:id="9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弯曲强度（MPa）</w:t>
            </w:r>
          </w:p>
        </w:tc>
        <w:tc>
          <w:tcPr>
            <w:tcW w:w="1204" w:type="pct"/>
            <w:vAlign w:val="center"/>
          </w:tcPr>
          <w:p>
            <w:pPr>
              <w:ind w:firstLine="0" w:firstLineChars="0"/>
              <w:jc w:val="center"/>
              <w:rPr>
                <w:rFonts w:cs="Times New Roman"/>
                <w:color w:val="000000" w:themeColor="text1"/>
                <w:sz w:val="21"/>
                <w14:textFill>
                  <w14:solidFill>
                    <w14:schemeClr w14:val="tx1"/>
                  </w14:solidFill>
                </w14:textFill>
              </w:rPr>
            </w:pPr>
            <w:r>
              <w:rPr>
                <w:rFonts w:hint="eastAsia" w:cs="Times New Roman" w:asciiTheme="minorEastAsia" w:hAnsiTheme="minorEastAsia" w:eastAsiaTheme="minorEastAsia"/>
                <w:color w:val="000000" w:themeColor="text1"/>
                <w:sz w:val="21"/>
                <w:lang w:eastAsia="zh-CN"/>
                <w14:textFill>
                  <w14:solidFill>
                    <w14:schemeClr w14:val="tx1"/>
                  </w14:solidFill>
                </w14:textFill>
              </w:rPr>
              <w:t>≥</w:t>
            </w:r>
            <w:r>
              <w:rPr>
                <w:rFonts w:cs="Times New Roman"/>
                <w:color w:val="000000" w:themeColor="text1"/>
                <w:sz w:val="21"/>
                <w14:textFill>
                  <w14:solidFill>
                    <w14:schemeClr w14:val="tx1"/>
                  </w14:solidFill>
                </w14:textFill>
              </w:rPr>
              <w:t>40</w:t>
            </w:r>
          </w:p>
        </w:tc>
        <w:tc>
          <w:tcPr>
            <w:tcW w:w="2651" w:type="pct"/>
            <w:vMerge w:val="continue"/>
            <w:vAlign w:val="center"/>
          </w:tcPr>
          <w:p>
            <w:pPr>
              <w:ind w:firstLine="0" w:firstLineChars="0"/>
              <w:jc w:val="center"/>
              <w:rPr>
                <w:rFonts w:cs="Times New Roman"/>
                <w:color w:val="000000" w:themeColor="text1"/>
                <w:sz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73" w:hRule="atLeast"/>
          <w:jc w:val="center"/>
        </w:trPr>
        <w:tc>
          <w:tcPr>
            <w:tcW w:w="1145" w:type="pct"/>
            <w:vAlign w:val="center"/>
          </w:tcPr>
          <w:p>
            <w:pPr>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蠕变比率</w:t>
            </w:r>
          </w:p>
        </w:tc>
        <w:tc>
          <w:tcPr>
            <w:tcW w:w="1204" w:type="pct"/>
            <w:vAlign w:val="center"/>
          </w:tcPr>
          <w:p>
            <w:pPr>
              <w:ind w:firstLine="0" w:firstLineChars="0"/>
              <w:jc w:val="center"/>
              <w:rPr>
                <w:rFonts w:cs="Times New Roman"/>
                <w:color w:val="000000" w:themeColor="text1"/>
                <w:sz w:val="21"/>
                <w14:textFill>
                  <w14:solidFill>
                    <w14:schemeClr w14:val="tx1"/>
                  </w14:solidFill>
                </w14:textFill>
              </w:rPr>
            </w:pPr>
            <w:r>
              <w:rPr>
                <w:rFonts w:hint="eastAsia" w:cs="Times New Roman" w:asciiTheme="minorEastAsia" w:hAnsiTheme="minorEastAsia" w:eastAsiaTheme="minorEastAsia"/>
                <w:color w:val="000000" w:themeColor="text1"/>
                <w:sz w:val="21"/>
                <w:lang w:eastAsia="zh-CN"/>
                <w14:textFill>
                  <w14:solidFill>
                    <w14:schemeClr w14:val="tx1"/>
                  </w14:solidFill>
                </w14:textFill>
              </w:rPr>
              <w:t>≤</w:t>
            </w:r>
            <w:r>
              <w:rPr>
                <w:rFonts w:cs="Times New Roman"/>
                <w:color w:val="000000" w:themeColor="text1"/>
                <w:sz w:val="21"/>
                <w14:textFill>
                  <w14:solidFill>
                    <w14:schemeClr w14:val="tx1"/>
                  </w14:solidFill>
                </w14:textFill>
              </w:rPr>
              <w:t>4.0</w:t>
            </w:r>
          </w:p>
        </w:tc>
        <w:tc>
          <w:tcPr>
            <w:tcW w:w="2651" w:type="pc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现行国家标准</w:t>
            </w:r>
            <w:bookmarkStart w:id="92" w:name="_Hlk196919730"/>
            <w:r>
              <w:rPr>
                <w:rFonts w:cs="Times New Roman"/>
                <w:color w:val="000000" w:themeColor="text1"/>
                <w:sz w:val="21"/>
                <w:lang w:eastAsia="zh-CN"/>
                <w14:textFill>
                  <w14:solidFill>
                    <w14:schemeClr w14:val="tx1"/>
                  </w14:solidFill>
                </w14:textFill>
              </w:rPr>
              <w:t>《热塑性塑料管材蠕变比率的试验方法》GB/T 18042</w:t>
            </w:r>
            <w:bookmarkEnd w:id="92"/>
          </w:p>
        </w:tc>
      </w:tr>
    </w:tbl>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4.5</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 xml:space="preserve"> 内衬管耐化学腐蚀性能型式检验的试件浸泡应符合本标准第</w:t>
      </w:r>
      <w:r>
        <w:rPr>
          <w:rFonts w:hint="eastAsia" w:cs="Times New Roman"/>
          <w:color w:val="000000" w:themeColor="text1"/>
          <w:sz w:val="21"/>
          <w:lang w:eastAsia="zh-CN"/>
          <w14:textFill>
            <w14:solidFill>
              <w14:schemeClr w14:val="tx1"/>
            </w14:solidFill>
          </w14:textFill>
        </w:rPr>
        <w:t xml:space="preserve"> 4.3.11 </w:t>
      </w:r>
      <w:r>
        <w:rPr>
          <w:rFonts w:cs="Times New Roman"/>
          <w:color w:val="000000" w:themeColor="text1"/>
          <w:sz w:val="21"/>
          <w:lang w:eastAsia="zh-CN"/>
          <w14:textFill>
            <w14:solidFill>
              <w14:schemeClr w14:val="tx1"/>
            </w14:solidFill>
          </w14:textFill>
        </w:rPr>
        <w:t>条的规定。试件浸泡完成后，应按本标准第</w:t>
      </w:r>
      <w:r>
        <w:rPr>
          <w:rFonts w:hint="eastAsia" w:cs="Times New Roman"/>
          <w:color w:val="000000" w:themeColor="text1"/>
          <w:sz w:val="21"/>
          <w:lang w:eastAsia="zh-CN"/>
          <w14:textFill>
            <w14:solidFill>
              <w14:schemeClr w14:val="tx1"/>
            </w14:solidFill>
          </w14:textFill>
        </w:rPr>
        <w:t xml:space="preserve"> 4.5.6</w:t>
      </w:r>
      <w:r>
        <w:rPr>
          <w:rFonts w:cs="Times New Roman"/>
          <w:color w:val="000000" w:themeColor="text1"/>
          <w:sz w:val="21"/>
          <w:lang w:eastAsia="zh-CN"/>
          <w14:textFill>
            <w14:solidFill>
              <w14:schemeClr w14:val="tx1"/>
            </w14:solidFill>
          </w14:textFill>
        </w:rPr>
        <w:t>条的规定检测其弯曲强度和弯曲模量，检测结果不应小于内衬管初始</w:t>
      </w:r>
      <w:r>
        <w:rPr>
          <w:rFonts w:hint="eastAsia" w:cs="Times New Roman"/>
          <w:color w:val="000000" w:themeColor="text1"/>
          <w:sz w:val="21"/>
          <w:lang w:eastAsia="zh-CN"/>
          <w14:textFill>
            <w14:solidFill>
              <w14:schemeClr w14:val="tx1"/>
            </w14:solidFill>
          </w14:textFill>
        </w:rPr>
        <w:t>值</w:t>
      </w:r>
      <w:r>
        <w:rPr>
          <w:rFonts w:cs="Times New Roman"/>
          <w:color w:val="000000" w:themeColor="text1"/>
          <w:sz w:val="21"/>
          <w:lang w:eastAsia="zh-CN"/>
          <w14:textFill>
            <w14:solidFill>
              <w14:schemeClr w14:val="tx1"/>
            </w14:solidFill>
          </w14:textFill>
        </w:rPr>
        <w:t>的80%。</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4.5</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主要施工设备宜集成安装在箱式货车的车箱内</w:t>
      </w:r>
      <w:r>
        <w:rPr>
          <w:rFonts w:hint="eastAsia" w:cs="Times New Roman"/>
          <w:color w:val="000000" w:themeColor="text1"/>
          <w:sz w:val="21"/>
          <w:lang w:eastAsia="zh-CN"/>
          <w14:textFill>
            <w14:solidFill>
              <w14:schemeClr w14:val="tx1"/>
            </w14:solidFill>
          </w14:textFill>
        </w:rPr>
        <w:t>，并</w:t>
      </w:r>
      <w:r>
        <w:rPr>
          <w:rFonts w:cs="Times New Roman"/>
          <w:color w:val="000000" w:themeColor="text1"/>
          <w:sz w:val="21"/>
          <w:lang w:eastAsia="zh-CN"/>
          <w14:textFill>
            <w14:solidFill>
              <w14:schemeClr w14:val="tx1"/>
            </w14:solidFill>
          </w14:textFill>
        </w:rPr>
        <w:t>应安装牢固。</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4.5</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9</w:t>
      </w:r>
      <w:r>
        <w:rPr>
          <w:rFonts w:cs="Times New Roman"/>
          <w:color w:val="000000" w:themeColor="text1"/>
          <w:sz w:val="21"/>
          <w:lang w:eastAsia="zh-CN"/>
          <w14:textFill>
            <w14:solidFill>
              <w14:schemeClr w14:val="tx1"/>
            </w14:solidFill>
          </w14:textFill>
        </w:rPr>
        <w:t xml:space="preserve"> 蒸箱应</w:t>
      </w:r>
      <w:r>
        <w:rPr>
          <w:rFonts w:hint="eastAsia" w:cs="Times New Roman"/>
          <w:color w:val="000000" w:themeColor="text1"/>
          <w:sz w:val="21"/>
          <w:lang w:eastAsia="zh-CN"/>
          <w14:textFill>
            <w14:solidFill>
              <w14:schemeClr w14:val="tx1"/>
            </w14:solidFill>
          </w14:textFill>
        </w:rPr>
        <w:t>设置</w:t>
      </w:r>
      <w:r>
        <w:rPr>
          <w:rFonts w:cs="Times New Roman"/>
          <w:color w:val="000000" w:themeColor="text1"/>
          <w:sz w:val="21"/>
          <w:lang w:eastAsia="zh-CN"/>
          <w14:textFill>
            <w14:solidFill>
              <w14:schemeClr w14:val="tx1"/>
            </w14:solidFill>
          </w14:textFill>
        </w:rPr>
        <w:t>独立封闭的空间，蒸箱内温度和压力应可调节</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蒸汽发生器和储气罐应具有压力和温度过载保护功能。</w:t>
      </w:r>
    </w:p>
    <w:p>
      <w:pPr>
        <w:pStyle w:val="3"/>
        <w:ind w:firstLine="560"/>
      </w:pPr>
      <w:bookmarkStart w:id="93" w:name="_Toc196915208"/>
      <w:r>
        <w:rPr>
          <w:rFonts w:hint="eastAsia"/>
        </w:rPr>
        <w:t>4.6</w:t>
      </w:r>
      <w:r>
        <w:t xml:space="preserve"> </w:t>
      </w:r>
      <w:r>
        <w:rPr>
          <w:rFonts w:hint="eastAsia"/>
        </w:rPr>
        <w:t>螺旋缠绕内衬法</w:t>
      </w:r>
      <w:bookmarkEnd w:id="93"/>
    </w:p>
    <w:p>
      <w:pPr>
        <w:ind w:firstLine="420" w:firstLineChars="0"/>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1</w:t>
      </w:r>
      <w:r>
        <w:rPr>
          <w:rFonts w:hint="eastAsia"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材料</w:t>
      </w:r>
      <w:r>
        <w:rPr>
          <w:rFonts w:hint="eastAsia" w:cs="Times New Roman"/>
          <w:color w:val="000000" w:themeColor="text1"/>
          <w:sz w:val="21"/>
          <w:lang w:eastAsia="zh-CN"/>
          <w14:textFill>
            <w14:solidFill>
              <w14:schemeClr w14:val="tx1"/>
            </w14:solidFill>
          </w14:textFill>
        </w:rPr>
        <w:t>性能</w:t>
      </w:r>
      <w:r>
        <w:rPr>
          <w:rFonts w:cs="Times New Roman"/>
          <w:color w:val="000000" w:themeColor="text1"/>
          <w:sz w:val="21"/>
          <w:lang w:eastAsia="zh-CN"/>
          <w14:textFill>
            <w14:solidFill>
              <w14:schemeClr w14:val="tx1"/>
            </w14:solidFill>
          </w14:textFill>
        </w:rPr>
        <w:t>应符合现行国家标准</w:t>
      </w:r>
      <w:bookmarkStart w:id="94" w:name="_Hlk196919994"/>
      <w:r>
        <w:rPr>
          <w:rFonts w:cs="Times New Roman"/>
          <w:color w:val="000000" w:themeColor="text1"/>
          <w:sz w:val="21"/>
          <w:lang w:eastAsia="zh-CN"/>
          <w14:textFill>
            <w14:solidFill>
              <w14:schemeClr w14:val="tx1"/>
            </w14:solidFill>
          </w14:textFill>
        </w:rPr>
        <w:t>《地下无压排水管网非开挖修复用塑料管道系统 第7部分：螺旋缠绕内衬法》GB/T 41666.7</w:t>
      </w:r>
      <w:bookmarkEnd w:id="94"/>
      <w:r>
        <w:rPr>
          <w:rFonts w:cs="Times New Roman"/>
          <w:color w:val="000000" w:themeColor="text1"/>
          <w:sz w:val="21"/>
          <w:lang w:eastAsia="zh-CN"/>
          <w14:textFill>
            <w14:solidFill>
              <w14:schemeClr w14:val="tx1"/>
            </w14:solidFill>
          </w14:textFill>
        </w:rPr>
        <w:t>的规定</w:t>
      </w:r>
      <w:r>
        <w:rPr>
          <w:rFonts w:hint="eastAsia" w:cs="Times New Roman"/>
          <w:color w:val="000000" w:themeColor="text1"/>
          <w:sz w:val="21"/>
          <w:lang w:eastAsia="zh-CN"/>
          <w14:textFill>
            <w14:solidFill>
              <w14:schemeClr w14:val="tx1"/>
            </w14:solidFill>
          </w14:textFill>
        </w:rPr>
        <w:t>和设计要求</w:t>
      </w:r>
      <w:r>
        <w:rPr>
          <w:rFonts w:cs="Times New Roman"/>
          <w:color w:val="000000" w:themeColor="text1"/>
          <w:sz w:val="21"/>
          <w:lang w:eastAsia="zh-CN"/>
          <w14:textFill>
            <w14:solidFill>
              <w14:schemeClr w14:val="tx1"/>
            </w14:solidFill>
          </w14:textFill>
        </w:rPr>
        <w:t>：</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4.6.2 </w:t>
      </w:r>
      <w:r>
        <w:rPr>
          <w:rFonts w:cs="Times New Roman"/>
          <w:color w:val="000000" w:themeColor="text1"/>
          <w:sz w:val="21"/>
          <w:lang w:eastAsia="zh-CN"/>
          <w14:textFill>
            <w14:solidFill>
              <w14:schemeClr w14:val="tx1"/>
            </w14:solidFill>
          </w14:textFill>
        </w:rPr>
        <w:t>带状型材初始力学性能应符合表</w:t>
      </w:r>
      <w:r>
        <w:rPr>
          <w:rFonts w:hint="eastAsia" w:cs="Times New Roman"/>
          <w:color w:val="000000" w:themeColor="text1"/>
          <w:sz w:val="21"/>
          <w:lang w:eastAsia="zh-CN"/>
          <w14:textFill>
            <w14:solidFill>
              <w14:schemeClr w14:val="tx1"/>
            </w14:solidFill>
          </w14:textFill>
        </w:rPr>
        <w:t>4.6</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的规定。</w:t>
      </w:r>
    </w:p>
    <w:p>
      <w:pPr>
        <w:widowControl w:val="0"/>
        <w:kinsoku/>
        <w:autoSpaceDE/>
        <w:autoSpaceDN/>
        <w:adjustRightInd/>
        <w:snapToGrid/>
        <w:ind w:firstLine="422"/>
        <w:jc w:val="center"/>
        <w:textAlignment w:val="auto"/>
        <w:rPr>
          <w:rFonts w:cs="Times New Roman"/>
          <w:b/>
          <w:bCs/>
          <w:snapToGrid/>
          <w:color w:val="auto"/>
          <w:kern w:val="2"/>
          <w:sz w:val="21"/>
          <w:lang w:eastAsia="zh-CN"/>
        </w:rPr>
      </w:pPr>
      <w:r>
        <w:rPr>
          <w:rFonts w:cs="Times New Roman"/>
          <w:b/>
          <w:bCs/>
          <w:snapToGrid/>
          <w:color w:val="auto"/>
          <w:kern w:val="2"/>
          <w:sz w:val="21"/>
          <w:lang w:eastAsia="zh-CN"/>
        </w:rPr>
        <w:t>表</w:t>
      </w:r>
      <w:r>
        <w:rPr>
          <w:rFonts w:hint="eastAsia" w:cs="Times New Roman"/>
          <w:b/>
          <w:bCs/>
          <w:snapToGrid/>
          <w:color w:val="auto"/>
          <w:kern w:val="2"/>
          <w:sz w:val="21"/>
          <w:lang w:eastAsia="zh-CN"/>
        </w:rPr>
        <w:t>4.6</w:t>
      </w:r>
      <w:r>
        <w:rPr>
          <w:rFonts w:cs="Times New Roman"/>
          <w:b/>
          <w:bCs/>
          <w:snapToGrid/>
          <w:color w:val="auto"/>
          <w:kern w:val="2"/>
          <w:sz w:val="21"/>
          <w:lang w:eastAsia="zh-CN"/>
        </w:rPr>
        <w:t>.</w:t>
      </w:r>
      <w:r>
        <w:rPr>
          <w:rFonts w:hint="eastAsia" w:cs="Times New Roman"/>
          <w:b/>
          <w:bCs/>
          <w:snapToGrid/>
          <w:color w:val="auto"/>
          <w:kern w:val="2"/>
          <w:sz w:val="21"/>
          <w:lang w:eastAsia="zh-CN"/>
        </w:rPr>
        <w:t>2</w:t>
      </w:r>
      <w:r>
        <w:rPr>
          <w:rFonts w:cs="Times New Roman"/>
          <w:b/>
          <w:bCs/>
          <w:snapToGrid/>
          <w:color w:val="auto"/>
          <w:kern w:val="2"/>
          <w:sz w:val="21"/>
          <w:lang w:eastAsia="zh-CN"/>
        </w:rPr>
        <w:t xml:space="preserve"> PVC-U 带状型材力学性能</w:t>
      </w:r>
    </w:p>
    <w:tbl>
      <w:tblPr>
        <w:tblStyle w:val="3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007"/>
        <w:gridCol w:w="45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51"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控制性指标</w:t>
            </w:r>
          </w:p>
        </w:tc>
        <w:tc>
          <w:tcPr>
            <w:tcW w:w="2649"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技术要求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51"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弯曲强度/MPa</w:t>
            </w:r>
          </w:p>
        </w:tc>
        <w:tc>
          <w:tcPr>
            <w:tcW w:w="2649"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cs="Times New Roman" w:asciiTheme="minorEastAsia" w:hAnsiTheme="minorEastAsia" w:eastAsiaTheme="minorEastAsia"/>
                <w:snapToGrid/>
                <w:color w:val="auto"/>
                <w:kern w:val="2"/>
                <w:sz w:val="21"/>
                <w:lang w:eastAsia="zh-CN"/>
              </w:rPr>
              <w:t>≥</w:t>
            </w:r>
            <w:r>
              <w:rPr>
                <w:rFonts w:eastAsia="Times New Roman" w:cs="Times New Roman"/>
                <w:snapToGrid/>
                <w:color w:val="auto"/>
                <w:kern w:val="2"/>
                <w:sz w:val="21"/>
                <w:lang w:eastAsia="zh-CN"/>
              </w:rPr>
              <w:t>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51"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拉伸弹性模量/MPa</w:t>
            </w:r>
          </w:p>
        </w:tc>
        <w:tc>
          <w:tcPr>
            <w:tcW w:w="2649"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cs="Times New Roman" w:asciiTheme="minorEastAsia" w:hAnsiTheme="minorEastAsia" w:eastAsiaTheme="minorEastAsia"/>
                <w:snapToGrid/>
                <w:color w:val="auto"/>
                <w:kern w:val="2"/>
                <w:sz w:val="21"/>
                <w:lang w:eastAsia="zh-CN"/>
              </w:rPr>
              <w:t>≥</w:t>
            </w:r>
            <w:r>
              <w:rPr>
                <w:rFonts w:eastAsia="Times New Roman" w:cs="Times New Roman"/>
                <w:snapToGrid/>
                <w:color w:val="auto"/>
                <w:kern w:val="2"/>
                <w:sz w:val="21"/>
                <w:lang w:eastAsia="zh-CN"/>
              </w:rPr>
              <w:t>2500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51"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屈服应力/MPa</w:t>
            </w:r>
          </w:p>
        </w:tc>
        <w:tc>
          <w:tcPr>
            <w:tcW w:w="2649"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cs="Times New Roman" w:asciiTheme="minorEastAsia" w:hAnsiTheme="minorEastAsia" w:eastAsiaTheme="minorEastAsia"/>
                <w:snapToGrid/>
                <w:color w:val="auto"/>
                <w:kern w:val="2"/>
                <w:sz w:val="21"/>
                <w:lang w:eastAsia="zh-CN"/>
              </w:rPr>
              <w:t>≥</w:t>
            </w:r>
            <w:r>
              <w:rPr>
                <w:rFonts w:eastAsia="Times New Roman" w:cs="Times New Roman"/>
                <w:snapToGrid/>
                <w:color w:val="auto"/>
                <w:kern w:val="2"/>
                <w:sz w:val="21"/>
                <w:lang w:eastAsia="zh-CN"/>
              </w:rP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51"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拉伸断裂标称应变/%</w:t>
            </w:r>
          </w:p>
        </w:tc>
        <w:tc>
          <w:tcPr>
            <w:tcW w:w="2649"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cs="Times New Roman" w:asciiTheme="minorEastAsia" w:hAnsiTheme="minorEastAsia" w:eastAsiaTheme="minorEastAsia"/>
                <w:snapToGrid/>
                <w:color w:val="auto"/>
                <w:kern w:val="2"/>
                <w:sz w:val="21"/>
                <w:lang w:eastAsia="zh-CN"/>
              </w:rPr>
              <w:t>≥</w:t>
            </w:r>
            <w:r>
              <w:rPr>
                <w:rFonts w:eastAsia="Times New Roman" w:cs="Times New Roman"/>
                <w:snapToGrid/>
                <w:color w:val="auto"/>
                <w:kern w:val="2"/>
                <w:sz w:val="21"/>
                <w:lang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51"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简支梁缺口冲击强度/（KJ/m³）</w:t>
            </w:r>
          </w:p>
        </w:tc>
        <w:tc>
          <w:tcPr>
            <w:tcW w:w="2649"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cs="Times New Roman" w:asciiTheme="minorEastAsia" w:hAnsiTheme="minorEastAsia" w:eastAsiaTheme="minorEastAsia"/>
                <w:snapToGrid/>
                <w:color w:val="auto"/>
                <w:kern w:val="2"/>
                <w:sz w:val="21"/>
                <w:lang w:eastAsia="zh-CN"/>
              </w:rPr>
              <w:t>≥</w:t>
            </w:r>
            <w:r>
              <w:rPr>
                <w:rFonts w:eastAsia="Times New Roman" w:cs="Times New Roman"/>
                <w:snapToGrid/>
                <w:color w:val="auto"/>
                <w:kern w:val="2"/>
                <w:sz w:val="21"/>
                <w:lang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51"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维卡软化温度/℃</w:t>
            </w:r>
          </w:p>
        </w:tc>
        <w:tc>
          <w:tcPr>
            <w:tcW w:w="2649"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cs="Times New Roman" w:asciiTheme="minorEastAsia" w:hAnsiTheme="minorEastAsia" w:eastAsiaTheme="minorEastAsia"/>
                <w:snapToGrid/>
                <w:color w:val="auto"/>
                <w:kern w:val="2"/>
                <w:sz w:val="21"/>
                <w:lang w:eastAsia="zh-CN"/>
              </w:rPr>
              <w:t>≥</w:t>
            </w:r>
            <w:r>
              <w:rPr>
                <w:rFonts w:eastAsia="Times New Roman" w:cs="Times New Roman"/>
                <w:snapToGrid/>
                <w:color w:val="auto"/>
                <w:kern w:val="2"/>
                <w:sz w:val="21"/>
                <w:lang w:eastAsia="zh-CN"/>
              </w:rPr>
              <w:t>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51"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密度/（kg/m³）</w:t>
            </w:r>
          </w:p>
        </w:tc>
        <w:tc>
          <w:tcPr>
            <w:tcW w:w="2649" w:type="pct"/>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1350~1460</w:t>
            </w:r>
          </w:p>
        </w:tc>
      </w:tr>
    </w:tbl>
    <w:p>
      <w:pPr>
        <w:ind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4.6.3 </w:t>
      </w:r>
      <w:r>
        <w:rPr>
          <w:rFonts w:hint="eastAsia" w:cs="Times New Roman"/>
          <w:color w:val="000000" w:themeColor="text1"/>
          <w:sz w:val="21"/>
          <w:lang w:eastAsia="zh-CN"/>
          <w14:textFill>
            <w14:solidFill>
              <w14:schemeClr w14:val="tx1"/>
            </w14:solidFill>
          </w14:textFill>
        </w:rPr>
        <w:t>定径式钢塑加强型</w:t>
      </w:r>
      <w:r>
        <w:rPr>
          <w:rFonts w:cs="Times New Roman"/>
          <w:color w:val="000000" w:themeColor="text1"/>
          <w:sz w:val="21"/>
          <w:lang w:eastAsia="zh-CN"/>
          <w14:textFill>
            <w14:solidFill>
              <w14:schemeClr w14:val="tx1"/>
            </w14:solidFill>
          </w14:textFill>
        </w:rPr>
        <w:t>钢带力学性能应符合表</w:t>
      </w:r>
      <w:r>
        <w:rPr>
          <w:rFonts w:hint="eastAsia" w:cs="Times New Roman"/>
          <w:color w:val="000000" w:themeColor="text1"/>
          <w:sz w:val="21"/>
          <w:lang w:eastAsia="zh-CN"/>
          <w14:textFill>
            <w14:solidFill>
              <w14:schemeClr w14:val="tx1"/>
            </w14:solidFill>
          </w14:textFill>
        </w:rPr>
        <w:t>4.6.3</w:t>
      </w:r>
      <w:r>
        <w:rPr>
          <w:rFonts w:cs="Times New Roman"/>
          <w:color w:val="000000" w:themeColor="text1"/>
          <w:sz w:val="21"/>
          <w:lang w:eastAsia="zh-CN"/>
          <w14:textFill>
            <w14:solidFill>
              <w14:schemeClr w14:val="tx1"/>
            </w14:solidFill>
          </w14:textFill>
        </w:rPr>
        <w:t xml:space="preserve"> 的规定。</w:t>
      </w:r>
    </w:p>
    <w:p>
      <w:pPr>
        <w:widowControl w:val="0"/>
        <w:kinsoku/>
        <w:autoSpaceDE/>
        <w:autoSpaceDN/>
        <w:adjustRightInd/>
        <w:snapToGrid/>
        <w:ind w:firstLine="422"/>
        <w:jc w:val="center"/>
        <w:textAlignment w:val="auto"/>
        <w:rPr>
          <w:rFonts w:cs="Times New Roman"/>
          <w:b/>
          <w:bCs/>
          <w:snapToGrid/>
          <w:color w:val="auto"/>
          <w:kern w:val="2"/>
          <w:sz w:val="21"/>
          <w:lang w:eastAsia="zh-CN"/>
        </w:rPr>
      </w:pPr>
      <w:r>
        <w:rPr>
          <w:rFonts w:cs="Times New Roman"/>
          <w:b/>
          <w:bCs/>
          <w:snapToGrid/>
          <w:color w:val="auto"/>
          <w:kern w:val="2"/>
          <w:sz w:val="21"/>
          <w:lang w:eastAsia="zh-CN"/>
        </w:rPr>
        <w:t>表</w:t>
      </w:r>
      <w:r>
        <w:rPr>
          <w:rFonts w:hint="eastAsia" w:cs="Times New Roman"/>
          <w:b/>
          <w:bCs/>
          <w:snapToGrid/>
          <w:color w:val="auto"/>
          <w:kern w:val="2"/>
          <w:sz w:val="21"/>
          <w:lang w:eastAsia="zh-CN"/>
        </w:rPr>
        <w:t>4.6</w:t>
      </w:r>
      <w:r>
        <w:rPr>
          <w:rFonts w:cs="Times New Roman"/>
          <w:b/>
          <w:bCs/>
          <w:snapToGrid/>
          <w:color w:val="auto"/>
          <w:kern w:val="2"/>
          <w:sz w:val="21"/>
          <w:lang w:eastAsia="zh-CN"/>
        </w:rPr>
        <w:t>.</w:t>
      </w:r>
      <w:r>
        <w:rPr>
          <w:rFonts w:hint="eastAsia" w:cs="Times New Roman"/>
          <w:b/>
          <w:bCs/>
          <w:snapToGrid/>
          <w:color w:val="auto"/>
          <w:kern w:val="2"/>
          <w:sz w:val="21"/>
          <w:lang w:eastAsia="zh-CN"/>
        </w:rPr>
        <w:t>3</w:t>
      </w:r>
      <w:r>
        <w:rPr>
          <w:rFonts w:cs="Times New Roman"/>
          <w:b/>
          <w:bCs/>
          <w:snapToGrid/>
          <w:color w:val="auto"/>
          <w:kern w:val="2"/>
          <w:sz w:val="21"/>
          <w:lang w:eastAsia="zh-CN"/>
        </w:rPr>
        <w:t xml:space="preserve"> 钢带力学性能</w:t>
      </w:r>
    </w:p>
    <w:tbl>
      <w:tblPr>
        <w:tblStyle w:val="1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31"/>
        <w:gridCol w:w="1166"/>
        <w:gridCol w:w="53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2"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控制指标</w:t>
            </w:r>
          </w:p>
        </w:tc>
        <w:tc>
          <w:tcPr>
            <w:tcW w:w="684"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数值</w:t>
            </w:r>
          </w:p>
        </w:tc>
        <w:tc>
          <w:tcPr>
            <w:tcW w:w="3124"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试验方法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2"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抗拉强度/MPa</w:t>
            </w:r>
          </w:p>
        </w:tc>
        <w:tc>
          <w:tcPr>
            <w:tcW w:w="684"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asciiTheme="minorEastAsia" w:hAnsiTheme="minorEastAsia" w:eastAsiaTheme="minorEastAsia"/>
                <w:snapToGrid/>
                <w:color w:val="auto"/>
                <w:kern w:val="2"/>
                <w:sz w:val="21"/>
                <w:lang w:eastAsia="zh-CN"/>
              </w:rPr>
              <w:t>≥</w:t>
            </w:r>
            <w:r>
              <w:rPr>
                <w:rFonts w:cs="Times New Roman"/>
                <w:snapToGrid/>
                <w:color w:val="auto"/>
                <w:kern w:val="2"/>
                <w:sz w:val="21"/>
                <w:lang w:eastAsia="zh-CN"/>
              </w:rPr>
              <w:t>515</w:t>
            </w:r>
          </w:p>
        </w:tc>
        <w:tc>
          <w:tcPr>
            <w:tcW w:w="3124"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bookmarkStart w:id="95" w:name="_Hlk196920001"/>
            <w:r>
              <w:rPr>
                <w:rFonts w:hint="eastAsia" w:cs="Times New Roman"/>
                <w:snapToGrid/>
                <w:color w:val="auto"/>
                <w:kern w:val="2"/>
                <w:sz w:val="21"/>
                <w:lang w:eastAsia="zh-CN"/>
              </w:rPr>
              <w:t>现行国家标准《金属材料 拉伸试验 第1部分：室温试验方法》</w:t>
            </w:r>
            <w:r>
              <w:rPr>
                <w:rFonts w:cs="Times New Roman"/>
                <w:snapToGrid/>
                <w:color w:val="auto"/>
                <w:kern w:val="2"/>
                <w:sz w:val="21"/>
                <w:lang w:eastAsia="zh-CN"/>
              </w:rPr>
              <w:t>GB/T 228.1</w:t>
            </w:r>
            <w:bookmarkEnd w:id="9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2"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断裂伸长率/%</w:t>
            </w:r>
          </w:p>
        </w:tc>
        <w:tc>
          <w:tcPr>
            <w:tcW w:w="684"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asciiTheme="minorEastAsia" w:hAnsiTheme="minorEastAsia" w:eastAsiaTheme="minorEastAsia"/>
                <w:snapToGrid/>
                <w:color w:val="auto"/>
                <w:kern w:val="2"/>
                <w:sz w:val="21"/>
                <w:lang w:eastAsia="zh-CN"/>
              </w:rPr>
              <w:t>≥</w:t>
            </w:r>
            <w:r>
              <w:rPr>
                <w:rFonts w:cs="Times New Roman"/>
                <w:snapToGrid/>
                <w:color w:val="auto"/>
                <w:kern w:val="2"/>
                <w:sz w:val="21"/>
                <w:lang w:eastAsia="zh-CN"/>
              </w:rPr>
              <w:t>40</w:t>
            </w:r>
          </w:p>
        </w:tc>
        <w:tc>
          <w:tcPr>
            <w:tcW w:w="3124"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hint="eastAsia" w:cs="Times New Roman"/>
                <w:snapToGrid/>
                <w:color w:val="auto"/>
                <w:kern w:val="2"/>
                <w:sz w:val="21"/>
                <w:lang w:eastAsia="zh-CN"/>
              </w:rPr>
              <w:t>现行国家标准《金属材料 拉伸试验 第1部分：室温试验方法》</w:t>
            </w:r>
            <w:r>
              <w:rPr>
                <w:rFonts w:cs="Times New Roman"/>
                <w:snapToGrid/>
                <w:color w:val="auto"/>
                <w:kern w:val="2"/>
                <w:sz w:val="21"/>
                <w:lang w:eastAsia="zh-CN"/>
              </w:rPr>
              <w:t>GB/T 228.1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2"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弹性模量/GPa</w:t>
            </w:r>
          </w:p>
        </w:tc>
        <w:tc>
          <w:tcPr>
            <w:tcW w:w="684"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asciiTheme="minorEastAsia" w:hAnsiTheme="minorEastAsia" w:eastAsiaTheme="minorEastAsia"/>
                <w:snapToGrid/>
                <w:color w:val="auto"/>
                <w:kern w:val="2"/>
                <w:sz w:val="21"/>
                <w:lang w:eastAsia="zh-CN"/>
              </w:rPr>
              <w:t>≥</w:t>
            </w:r>
            <w:r>
              <w:rPr>
                <w:rFonts w:cs="Times New Roman"/>
                <w:snapToGrid/>
                <w:color w:val="auto"/>
                <w:kern w:val="2"/>
                <w:sz w:val="21"/>
                <w:lang w:eastAsia="zh-CN"/>
              </w:rPr>
              <w:t>193</w:t>
            </w:r>
          </w:p>
        </w:tc>
        <w:tc>
          <w:tcPr>
            <w:tcW w:w="3124"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bookmarkStart w:id="96" w:name="OLE_LINK84"/>
            <w:r>
              <w:rPr>
                <w:rFonts w:hint="eastAsia" w:cs="Times New Roman"/>
                <w:snapToGrid/>
                <w:color w:val="auto"/>
                <w:kern w:val="2"/>
                <w:sz w:val="21"/>
                <w:lang w:eastAsia="zh-CN"/>
              </w:rPr>
              <w:t>现行国家标准</w:t>
            </w:r>
            <w:bookmarkStart w:id="97" w:name="_Hlk196920010"/>
            <w:r>
              <w:rPr>
                <w:rFonts w:hint="eastAsia" w:cs="Times New Roman"/>
                <w:snapToGrid/>
                <w:color w:val="auto"/>
                <w:kern w:val="2"/>
                <w:sz w:val="21"/>
                <w:lang w:eastAsia="zh-CN"/>
              </w:rPr>
              <w:t>《金属材料 弹性模量和泊松比试验方法》</w:t>
            </w:r>
            <w:r>
              <w:rPr>
                <w:rFonts w:cs="Times New Roman"/>
                <w:snapToGrid/>
                <w:color w:val="auto"/>
                <w:kern w:val="2"/>
                <w:sz w:val="21"/>
                <w:lang w:eastAsia="zh-CN"/>
              </w:rPr>
              <w:t>GB/T 22315</w:t>
            </w:r>
            <w:bookmarkEnd w:id="96"/>
            <w:bookmarkEnd w:id="9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2"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snapToGrid/>
                <w:color w:val="auto"/>
                <w:kern w:val="2"/>
                <w:sz w:val="21"/>
                <w:lang w:eastAsia="zh-CN"/>
              </w:rPr>
              <w:t>规定非比例延伸强度R</w:t>
            </w:r>
            <w:r>
              <w:rPr>
                <w:rFonts w:cs="Times New Roman"/>
                <w:snapToGrid/>
                <w:color w:val="auto"/>
                <w:kern w:val="2"/>
                <w:sz w:val="21"/>
                <w:vertAlign w:val="subscript"/>
                <w:lang w:eastAsia="zh-CN"/>
              </w:rPr>
              <w:t>p</w:t>
            </w:r>
            <w:r>
              <w:rPr>
                <w:rFonts w:cs="Times New Roman"/>
                <w:snapToGrid/>
                <w:color w:val="auto"/>
                <w:kern w:val="2"/>
                <w:sz w:val="21"/>
                <w:lang w:eastAsia="zh-CN"/>
              </w:rPr>
              <w:t>0.2MPa</w:t>
            </w:r>
          </w:p>
        </w:tc>
        <w:tc>
          <w:tcPr>
            <w:tcW w:w="684"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cs="Times New Roman" w:asciiTheme="minorEastAsia" w:hAnsiTheme="minorEastAsia" w:eastAsiaTheme="minorEastAsia"/>
                <w:snapToGrid/>
                <w:color w:val="auto"/>
                <w:kern w:val="2"/>
                <w:sz w:val="21"/>
                <w:lang w:eastAsia="zh-CN"/>
              </w:rPr>
              <w:t>≥</w:t>
            </w:r>
            <w:r>
              <w:rPr>
                <w:rFonts w:cs="Times New Roman"/>
                <w:snapToGrid/>
                <w:color w:val="auto"/>
                <w:kern w:val="2"/>
                <w:sz w:val="21"/>
                <w:lang w:eastAsia="zh-CN"/>
              </w:rPr>
              <w:t>205</w:t>
            </w:r>
          </w:p>
        </w:tc>
        <w:tc>
          <w:tcPr>
            <w:tcW w:w="3124" w:type="pct"/>
            <w:vAlign w:val="center"/>
          </w:tcPr>
          <w:p>
            <w:pPr>
              <w:widowControl w:val="0"/>
              <w:kinsoku/>
              <w:autoSpaceDE/>
              <w:adjustRightInd/>
              <w:snapToGrid/>
              <w:ind w:firstLine="0" w:firstLineChars="0"/>
              <w:jc w:val="center"/>
              <w:rPr>
                <w:rFonts w:cs="Times New Roman"/>
                <w:snapToGrid/>
                <w:color w:val="auto"/>
                <w:kern w:val="2"/>
                <w:sz w:val="21"/>
                <w:lang w:eastAsia="zh-CN"/>
              </w:rPr>
            </w:pPr>
            <w:r>
              <w:rPr>
                <w:rFonts w:hint="eastAsia" w:cs="Times New Roman"/>
                <w:color w:val="auto"/>
                <w:kern w:val="2"/>
                <w:sz w:val="21"/>
                <w:lang w:eastAsia="zh-CN"/>
              </w:rPr>
              <w:t>现行国家标准《金属材料</w:t>
            </w:r>
            <w:r>
              <w:rPr>
                <w:rFonts w:cs="Times New Roman"/>
                <w:color w:val="auto"/>
                <w:kern w:val="2"/>
                <w:sz w:val="21"/>
                <w:lang w:eastAsia="zh-CN"/>
              </w:rPr>
              <w:t xml:space="preserve"> </w:t>
            </w:r>
            <w:r>
              <w:rPr>
                <w:rFonts w:hint="eastAsia" w:cs="Times New Roman"/>
                <w:color w:val="auto"/>
                <w:kern w:val="2"/>
                <w:sz w:val="21"/>
                <w:lang w:eastAsia="zh-CN"/>
              </w:rPr>
              <w:t>拉伸试验</w:t>
            </w:r>
            <w:r>
              <w:rPr>
                <w:rFonts w:cs="Times New Roman"/>
                <w:color w:val="auto"/>
                <w:kern w:val="2"/>
                <w:sz w:val="21"/>
                <w:lang w:eastAsia="zh-CN"/>
              </w:rPr>
              <w:t xml:space="preserve"> </w:t>
            </w:r>
            <w:r>
              <w:rPr>
                <w:rFonts w:hint="eastAsia" w:cs="Times New Roman"/>
                <w:color w:val="auto"/>
                <w:kern w:val="2"/>
                <w:sz w:val="21"/>
                <w:lang w:eastAsia="zh-CN"/>
              </w:rPr>
              <w:t>第</w:t>
            </w:r>
            <w:r>
              <w:rPr>
                <w:rFonts w:cs="Times New Roman"/>
                <w:color w:val="auto"/>
                <w:kern w:val="2"/>
                <w:sz w:val="21"/>
                <w:lang w:eastAsia="zh-CN"/>
              </w:rPr>
              <w:t>1</w:t>
            </w:r>
            <w:r>
              <w:rPr>
                <w:rFonts w:hint="eastAsia" w:cs="Times New Roman"/>
                <w:color w:val="auto"/>
                <w:kern w:val="2"/>
                <w:sz w:val="21"/>
                <w:lang w:eastAsia="zh-CN"/>
              </w:rPr>
              <w:t>部分：室温试验方法》</w:t>
            </w:r>
            <w:r>
              <w:rPr>
                <w:rFonts w:cs="Times New Roman"/>
                <w:color w:val="auto"/>
                <w:kern w:val="2"/>
                <w:sz w:val="21"/>
                <w:lang w:eastAsia="zh-CN"/>
              </w:rPr>
              <w:t>GB/T 228.1</w:t>
            </w:r>
          </w:p>
        </w:tc>
      </w:tr>
    </w:tbl>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4.6.4</w:t>
      </w:r>
      <w:r>
        <w:rPr>
          <w:rFonts w:hint="eastAsia" w:cs="Times New Roman"/>
          <w:color w:val="000000" w:themeColor="text1"/>
          <w:sz w:val="21"/>
          <w:lang w:eastAsia="zh-CN"/>
          <w14:textFill>
            <w14:solidFill>
              <w14:schemeClr w14:val="tx1"/>
            </w14:solidFill>
          </w14:textFill>
        </w:rPr>
        <w:t xml:space="preserve"> 机头行走式工法选用钢带力学</w:t>
      </w:r>
      <w:r>
        <w:rPr>
          <w:rFonts w:cs="Times New Roman"/>
          <w:color w:val="000000" w:themeColor="text1"/>
          <w:sz w:val="21"/>
          <w:lang w:eastAsia="zh-CN"/>
          <w14:textFill>
            <w14:solidFill>
              <w14:schemeClr w14:val="tx1"/>
            </w14:solidFill>
          </w14:textFill>
        </w:rPr>
        <w:t>性能应符合表</w:t>
      </w:r>
      <w:r>
        <w:rPr>
          <w:rFonts w:hint="eastAsia" w:cs="Times New Roman"/>
          <w:color w:val="000000" w:themeColor="text1"/>
          <w:sz w:val="21"/>
          <w:lang w:eastAsia="zh-CN"/>
          <w14:textFill>
            <w14:solidFill>
              <w14:schemeClr w14:val="tx1"/>
            </w14:solidFill>
          </w14:textFill>
        </w:rPr>
        <w:t>4.6</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的规定</w:t>
      </w:r>
      <w:r>
        <w:rPr>
          <w:rFonts w:hint="eastAsia" w:cs="Times New Roman"/>
          <w:color w:val="000000" w:themeColor="text1"/>
          <w:sz w:val="21"/>
          <w:lang w:eastAsia="zh-CN"/>
          <w14:textFill>
            <w14:solidFill>
              <w14:schemeClr w14:val="tx1"/>
            </w14:solidFill>
          </w14:textFill>
        </w:rPr>
        <w:t>。</w:t>
      </w:r>
    </w:p>
    <w:p>
      <w:pPr>
        <w:ind w:firstLine="420" w:firstLineChars="0"/>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4.6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w:t>
      </w:r>
      <w:r>
        <w:rPr>
          <w:rFonts w:cs="Times New Roman"/>
          <w:b/>
          <w:bCs/>
          <w:color w:val="000000" w:themeColor="text1"/>
          <w:sz w:val="21"/>
          <w:lang w:eastAsia="zh-CN"/>
          <w14:textFill>
            <w14:solidFill>
              <w14:schemeClr w14:val="tx1"/>
            </w14:solidFill>
          </w14:textFill>
        </w:rPr>
        <w:t xml:space="preserve"> </w:t>
      </w:r>
      <w:r>
        <w:rPr>
          <w:rFonts w:hint="eastAsia" w:cs="Times New Roman"/>
          <w:b/>
          <w:bCs/>
          <w:color w:val="000000" w:themeColor="text1"/>
          <w:sz w:val="21"/>
          <w:lang w:eastAsia="zh-CN"/>
          <w14:textFill>
            <w14:solidFill>
              <w14:schemeClr w14:val="tx1"/>
            </w14:solidFill>
          </w14:textFill>
        </w:rPr>
        <w:t>机头行走式选用</w:t>
      </w:r>
      <w:r>
        <w:rPr>
          <w:rFonts w:cs="Times New Roman"/>
          <w:b/>
          <w:bCs/>
          <w:color w:val="000000" w:themeColor="text1"/>
          <w:sz w:val="21"/>
          <w:lang w:eastAsia="zh-CN"/>
          <w14:textFill>
            <w14:solidFill>
              <w14:schemeClr w14:val="tx1"/>
            </w14:solidFill>
          </w14:textFill>
        </w:rPr>
        <w:t>钢带力学性能</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1894"/>
        <w:gridCol w:w="4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hint="eastAsia" w:cs="Times New Roman"/>
                <w:snapToGrid/>
                <w:color w:val="auto"/>
                <w:kern w:val="2"/>
                <w:sz w:val="21"/>
                <w:lang w:eastAsia="zh-CN"/>
              </w:rPr>
              <w:t>控制项目</w:t>
            </w:r>
          </w:p>
        </w:tc>
        <w:tc>
          <w:tcPr>
            <w:tcW w:w="1111"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hint="eastAsia" w:cs="Times New Roman"/>
                <w:snapToGrid/>
                <w:color w:val="auto"/>
                <w:kern w:val="2"/>
                <w:sz w:val="21"/>
                <w:lang w:eastAsia="zh-CN"/>
              </w:rPr>
              <w:t>数值</w:t>
            </w:r>
          </w:p>
        </w:tc>
        <w:tc>
          <w:tcPr>
            <w:tcW w:w="2440"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hint="eastAsia" w:cs="Times New Roman"/>
                <w:snapToGrid/>
                <w:color w:val="auto"/>
                <w:kern w:val="2"/>
                <w:sz w:val="21"/>
                <w:lang w:eastAsia="zh-CN"/>
              </w:rPr>
              <w:t>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hint="eastAsia" w:cs="Times New Roman"/>
                <w:snapToGrid/>
                <w:color w:val="auto"/>
                <w:kern w:val="2"/>
                <w:sz w:val="21"/>
                <w:lang w:eastAsia="zh-CN"/>
              </w:rPr>
              <w:t>抗拉强度/MPa</w:t>
            </w:r>
          </w:p>
        </w:tc>
        <w:tc>
          <w:tcPr>
            <w:tcW w:w="1111"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hint="eastAsia" w:cs="Times New Roman"/>
                <w:snapToGrid/>
                <w:color w:val="auto"/>
                <w:kern w:val="2"/>
                <w:sz w:val="21"/>
                <w:lang w:eastAsia="zh-CN"/>
              </w:rPr>
              <w:t>≥215</w:t>
            </w:r>
          </w:p>
        </w:tc>
        <w:tc>
          <w:tcPr>
            <w:tcW w:w="2440" w:type="pct"/>
            <w:vMerge w:val="restar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hint="eastAsia" w:cs="Times New Roman"/>
                <w:snapToGrid/>
                <w:color w:val="auto"/>
                <w:kern w:val="2"/>
                <w:sz w:val="21"/>
                <w:lang w:eastAsia="zh-CN"/>
              </w:rPr>
              <w:t>《金属材料 拉伸试验 第1部分：室温试验方法》</w:t>
            </w:r>
            <w:r>
              <w:rPr>
                <w:rFonts w:cs="Times New Roman"/>
                <w:snapToGrid/>
                <w:color w:val="auto"/>
                <w:kern w:val="2"/>
                <w:sz w:val="21"/>
                <w:lang w:eastAsia="zh-CN"/>
              </w:rPr>
              <w:t>GB/T 228.1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hint="eastAsia" w:cs="Times New Roman"/>
                <w:snapToGrid/>
                <w:color w:val="auto"/>
                <w:kern w:val="2"/>
                <w:sz w:val="21"/>
                <w:lang w:eastAsia="zh-CN"/>
              </w:rPr>
              <w:t>断裂伸长率/%</w:t>
            </w:r>
          </w:p>
        </w:tc>
        <w:tc>
          <w:tcPr>
            <w:tcW w:w="1111" w:type="pct"/>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r>
              <w:rPr>
                <w:rFonts w:hint="eastAsia" w:cs="Times New Roman"/>
                <w:snapToGrid/>
                <w:color w:val="auto"/>
                <w:kern w:val="2"/>
                <w:sz w:val="21"/>
                <w:lang w:eastAsia="zh-CN"/>
              </w:rPr>
              <w:t>≥22</w:t>
            </w:r>
          </w:p>
        </w:tc>
        <w:tc>
          <w:tcPr>
            <w:tcW w:w="2440" w:type="pct"/>
            <w:vMerge w:val="continue"/>
            <w:vAlign w:val="center"/>
          </w:tcPr>
          <w:p>
            <w:pPr>
              <w:widowControl w:val="0"/>
              <w:kinsoku/>
              <w:autoSpaceDE/>
              <w:autoSpaceDN/>
              <w:adjustRightInd/>
              <w:snapToGrid/>
              <w:ind w:firstLine="0" w:firstLineChars="0"/>
              <w:jc w:val="center"/>
              <w:textAlignment w:val="auto"/>
              <w:rPr>
                <w:rFonts w:cs="Times New Roman"/>
                <w:snapToGrid/>
                <w:color w:val="auto"/>
                <w:kern w:val="2"/>
                <w:sz w:val="21"/>
                <w:lang w:eastAsia="zh-CN"/>
              </w:rPr>
            </w:pPr>
          </w:p>
        </w:tc>
      </w:tr>
    </w:tbl>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snapToGrid/>
          <w:color w:val="auto"/>
          <w:kern w:val="2"/>
          <w:sz w:val="21"/>
          <w:lang w:eastAsia="zh-CN"/>
        </w:rPr>
        <w:t>4.6</w:t>
      </w:r>
      <w:r>
        <w:rPr>
          <w:rFonts w:cs="Times New Roman"/>
          <w:b/>
          <w:bCs/>
          <w:snapToGrid/>
          <w:color w:val="auto"/>
          <w:kern w:val="2"/>
          <w:sz w:val="21"/>
          <w:lang w:eastAsia="zh-CN"/>
        </w:rPr>
        <w:t>.</w:t>
      </w:r>
      <w:r>
        <w:rPr>
          <w:rFonts w:hint="eastAsia" w:cs="Times New Roman"/>
          <w:b/>
          <w:bCs/>
          <w:snapToGrid/>
          <w:color w:val="auto"/>
          <w:kern w:val="2"/>
          <w:sz w:val="21"/>
          <w:lang w:eastAsia="zh-CN"/>
        </w:rPr>
        <w:t xml:space="preserve">5 </w:t>
      </w:r>
      <w:r>
        <w:rPr>
          <w:rFonts w:cs="Times New Roman"/>
          <w:color w:val="000000" w:themeColor="text1"/>
          <w:sz w:val="21"/>
          <w:lang w:eastAsia="zh-CN"/>
          <w14:textFill>
            <w14:solidFill>
              <w14:schemeClr w14:val="tx1"/>
            </w14:solidFill>
          </w14:textFill>
        </w:rPr>
        <w:t>带状型材和钢带外观质量应满足下列要求：</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型材内表面应光滑、平整，无裂口、凹陷或其他影响型材性能的表面缺陷，型材中不应含有可见杂质，外表面应布设T型加强肋，内表面应喷码，喷码内容应至少包括实时米数、产品规格；</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型材的最小内层壁厚不应小于1.5 mm；</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每卷型材的长度不宜</w:t>
      </w:r>
      <w:r>
        <w:rPr>
          <w:rFonts w:hint="eastAsia" w:cs="Times New Roman"/>
          <w:color w:val="000000" w:themeColor="text1"/>
          <w:sz w:val="21"/>
          <w:lang w:eastAsia="zh-CN"/>
          <w14:textFill>
            <w14:solidFill>
              <w14:schemeClr w14:val="tx1"/>
            </w14:solidFill>
          </w14:textFill>
        </w:rPr>
        <w:t>低</w:t>
      </w:r>
      <w:r>
        <w:rPr>
          <w:rFonts w:cs="Times New Roman"/>
          <w:color w:val="000000" w:themeColor="text1"/>
          <w:sz w:val="21"/>
          <w:lang w:eastAsia="zh-CN"/>
          <w14:textFill>
            <w14:solidFill>
              <w14:schemeClr w14:val="tx1"/>
            </w14:solidFill>
          </w14:textFill>
        </w:rPr>
        <w:t>于2000 m；</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公母锁扣接缝密封材料应均匀连续，与型材粘结牢固；</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钢带表面应无裂纹、麻面、凸泡或脱皮，厚度应均匀，允许偏差应为±0.05mm。</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kern w:val="2"/>
          <w:sz w:val="21"/>
          <w:lang w:eastAsia="zh-CN"/>
        </w:rPr>
        <w:t>4.6</w:t>
      </w:r>
      <w:r>
        <w:rPr>
          <w:rFonts w:cs="Times New Roman"/>
          <w:b/>
          <w:bCs/>
          <w:kern w:val="2"/>
          <w:sz w:val="21"/>
          <w:lang w:eastAsia="zh-CN"/>
        </w:rPr>
        <w:t>.</w:t>
      </w:r>
      <w:r>
        <w:rPr>
          <w:rFonts w:hint="eastAsia" w:cs="Times New Roman"/>
          <w:b/>
          <w:bCs/>
          <w:kern w:val="2"/>
          <w:sz w:val="21"/>
          <w:lang w:eastAsia="zh-CN"/>
        </w:rPr>
        <w:t>6</w:t>
      </w:r>
      <w:r>
        <w:rPr>
          <w:rFonts w:hint="eastAsia" w:ascii="宋体" w:hAnsi="宋体" w:cs="Times New Roman"/>
          <w:kern w:val="2"/>
          <w:sz w:val="21"/>
          <w:lang w:eastAsia="zh-CN"/>
        </w:rPr>
        <w:t xml:space="preserve"> </w:t>
      </w:r>
      <w:r>
        <w:rPr>
          <w:rFonts w:cs="Times New Roman"/>
          <w:color w:val="000000" w:themeColor="text1"/>
          <w:sz w:val="21"/>
          <w:lang w:eastAsia="zh-CN"/>
          <w14:textFill>
            <w14:solidFill>
              <w14:schemeClr w14:val="tx1"/>
            </w14:solidFill>
          </w14:textFill>
        </w:rPr>
        <w:t>PVC-U带状型材耐腐蚀性能应符合现行国家标准《硬聚氯乙烯（PVC-U） 管材 二氯甲烷浸渍试验方法》GB/T 13526的规定，测试样品应无破坏，</w:t>
      </w:r>
      <w:r>
        <w:rPr>
          <w:rFonts w:hint="eastAsia" w:cs="Times New Roman"/>
          <w:color w:val="000000" w:themeColor="text1"/>
          <w:sz w:val="21"/>
          <w:lang w:eastAsia="zh-CN"/>
          <w14:textFill>
            <w14:solidFill>
              <w14:schemeClr w14:val="tx1"/>
            </w14:solidFill>
          </w14:textFill>
        </w:rPr>
        <w:t>定径式钢塑加强型工法选用</w:t>
      </w:r>
      <w:r>
        <w:rPr>
          <w:rFonts w:cs="Times New Roman"/>
          <w:color w:val="000000" w:themeColor="text1"/>
          <w:sz w:val="21"/>
          <w:lang w:eastAsia="zh-CN"/>
          <w14:textFill>
            <w14:solidFill>
              <w14:schemeClr w14:val="tx1"/>
            </w14:solidFill>
          </w14:textFill>
        </w:rPr>
        <w:t>奥氏体型不锈钢材料，镍含量不应小于1.0%</w:t>
      </w:r>
      <w:r>
        <w:rPr>
          <w:rFonts w:hint="eastAsia" w:cs="Times New Roman"/>
          <w:color w:val="000000" w:themeColor="text1"/>
          <w:sz w:val="21"/>
          <w:lang w:eastAsia="zh-CN"/>
          <w14:textFill>
            <w14:solidFill>
              <w14:schemeClr w14:val="tx1"/>
            </w14:solidFill>
          </w14:textFill>
        </w:rPr>
        <w:t>，并应符合</w:t>
      </w:r>
      <w:bookmarkStart w:id="98" w:name="OLE_LINK20"/>
      <w:r>
        <w:rPr>
          <w:rFonts w:hint="eastAsia" w:cs="Times New Roman"/>
          <w:color w:val="000000" w:themeColor="text1"/>
          <w:sz w:val="21"/>
          <w:lang w:eastAsia="zh-CN"/>
          <w14:textFill>
            <w14:solidFill>
              <w14:schemeClr w14:val="tx1"/>
            </w14:solidFill>
          </w14:textFill>
        </w:rPr>
        <w:t>现行国家标准《不锈钢冷轧钢板和钢带》GB/T3820中表3的规定。</w:t>
      </w:r>
    </w:p>
    <w:bookmarkEnd w:id="98"/>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 xml:space="preserve">采用钢塑加强法工艺时，注浆材料中使用的水泥应符合现行国家标准《通用硅酸盐水泥》GB 175 的有关规定。采用机头行走法工艺时，注浆材料性能应符合表 </w:t>
      </w:r>
      <w:r>
        <w:rPr>
          <w:rFonts w:hint="eastAsia" w:cs="Times New Roman"/>
          <w:color w:val="000000" w:themeColor="text1"/>
          <w:sz w:val="21"/>
          <w:lang w:eastAsia="zh-CN"/>
          <w14:textFill>
            <w14:solidFill>
              <w14:schemeClr w14:val="tx1"/>
            </w14:solidFill>
          </w14:textFill>
        </w:rPr>
        <w:t>4.6</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 xml:space="preserve"> 的规定。</w:t>
      </w:r>
    </w:p>
    <w:p>
      <w:pPr>
        <w:ind w:firstLineChars="0"/>
        <w:jc w:val="center"/>
        <w:rPr>
          <w:rFonts w:cs="Times New Roman"/>
          <w:b/>
          <w:bCs/>
          <w:color w:val="000000" w:themeColor="text1"/>
          <w:sz w:val="21"/>
          <w:lang w:eastAsia="zh-CN"/>
          <w14:textFill>
            <w14:solidFill>
              <w14:schemeClr w14:val="tx1"/>
            </w14:solidFill>
          </w14:textFill>
        </w:rPr>
      </w:pPr>
      <w:bookmarkStart w:id="99" w:name="_Hlk196310077"/>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4.6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 xml:space="preserve"> 机头行走法注浆材料性能</w:t>
      </w:r>
    </w:p>
    <w:bookmarkEnd w:id="99"/>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249"/>
        <w:gridCol w:w="1600"/>
        <w:gridCol w:w="3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bookmarkStart w:id="100" w:name="_Hlk196310082"/>
            <w:r>
              <w:rPr>
                <w:rFonts w:eastAsia="Times New Roman" w:cs="Times New Roman"/>
                <w:snapToGrid/>
                <w:color w:val="auto"/>
                <w:kern w:val="2"/>
                <w:sz w:val="21"/>
                <w:lang w:eastAsia="zh-CN"/>
              </w:rPr>
              <w:t>检测项目</w:t>
            </w:r>
          </w:p>
        </w:tc>
        <w:tc>
          <w:tcPr>
            <w:tcW w:w="733"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单位</w:t>
            </w:r>
          </w:p>
        </w:tc>
        <w:tc>
          <w:tcPr>
            <w:tcW w:w="939"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性能要求</w:t>
            </w:r>
          </w:p>
        </w:tc>
        <w:tc>
          <w:tcPr>
            <w:tcW w:w="2184" w:type="pct"/>
            <w:vAlign w:val="center"/>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抗压强度，28d</w:t>
            </w:r>
          </w:p>
        </w:tc>
        <w:tc>
          <w:tcPr>
            <w:tcW w:w="733"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MPa</w:t>
            </w:r>
          </w:p>
        </w:tc>
        <w:tc>
          <w:tcPr>
            <w:tcW w:w="939"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cs="Times New Roman" w:asciiTheme="minorEastAsia" w:hAnsiTheme="minorEastAsia" w:eastAsiaTheme="minorEastAsia"/>
                <w:snapToGrid/>
                <w:color w:val="auto"/>
                <w:kern w:val="2"/>
                <w:sz w:val="21"/>
                <w:lang w:eastAsia="zh-CN"/>
              </w:rPr>
              <w:t>＞</w:t>
            </w:r>
            <w:r>
              <w:rPr>
                <w:rFonts w:eastAsia="Times New Roman" w:cs="Times New Roman"/>
                <w:snapToGrid/>
                <w:color w:val="auto"/>
                <w:kern w:val="2"/>
                <w:sz w:val="21"/>
                <w:lang w:eastAsia="zh-CN"/>
              </w:rPr>
              <w:t>30</w:t>
            </w:r>
          </w:p>
        </w:tc>
        <w:tc>
          <w:tcPr>
            <w:tcW w:w="2184" w:type="pct"/>
            <w:vMerge w:val="restar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现行国家标准</w:t>
            </w:r>
            <w:bookmarkStart w:id="101" w:name="_Hlk196920021"/>
            <w:r>
              <w:rPr>
                <w:rFonts w:eastAsia="Times New Roman" w:cs="Times New Roman"/>
                <w:snapToGrid/>
                <w:color w:val="auto"/>
                <w:kern w:val="2"/>
                <w:sz w:val="21"/>
                <w:lang w:eastAsia="zh-CN"/>
              </w:rPr>
              <w:t>《水泥基灌浆材料应用技术规范》GB/T 50448</w:t>
            </w:r>
            <w:bookmarkEnd w:id="1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截锥流动度，30min</w:t>
            </w:r>
          </w:p>
        </w:tc>
        <w:tc>
          <w:tcPr>
            <w:tcW w:w="733"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mm</w:t>
            </w:r>
          </w:p>
        </w:tc>
        <w:tc>
          <w:tcPr>
            <w:tcW w:w="939"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cs="Times New Roman" w:asciiTheme="minorEastAsia" w:hAnsiTheme="minorEastAsia" w:eastAsiaTheme="minorEastAsia"/>
                <w:snapToGrid/>
                <w:color w:val="auto"/>
                <w:kern w:val="2"/>
                <w:sz w:val="21"/>
                <w:lang w:eastAsia="zh-CN"/>
              </w:rPr>
              <w:t>≥</w:t>
            </w:r>
            <w:r>
              <w:rPr>
                <w:rFonts w:eastAsia="Times New Roman" w:cs="Times New Roman"/>
                <w:snapToGrid/>
                <w:color w:val="auto"/>
                <w:kern w:val="2"/>
                <w:sz w:val="21"/>
                <w:lang w:eastAsia="zh-CN"/>
              </w:rPr>
              <w:t>310</w:t>
            </w:r>
          </w:p>
        </w:tc>
        <w:tc>
          <w:tcPr>
            <w:tcW w:w="2184" w:type="pct"/>
            <w:vMerge w:val="continue"/>
            <w:vAlign w:val="center"/>
          </w:tcPr>
          <w:p>
            <w:pPr>
              <w:widowControl w:val="0"/>
              <w:kinsoku/>
              <w:autoSpaceDE/>
              <w:autoSpaceDN/>
              <w:adjustRightInd/>
              <w:snapToGrid/>
              <w:ind w:firstLine="420"/>
              <w:jc w:val="center"/>
              <w:textAlignment w:val="auto"/>
              <w:rPr>
                <w:rFonts w:eastAsia="Times New Roman" w:cs="Times New Roman"/>
                <w:snapToGrid/>
                <w:color w:val="auto"/>
                <w:kern w:val="2"/>
                <w:sz w:val="21"/>
                <w:lang w:eastAsia="zh-CN"/>
              </w:rPr>
            </w:pPr>
          </w:p>
        </w:tc>
      </w:tr>
      <w:bookmarkEnd w:id="100"/>
    </w:tbl>
    <w:p>
      <w:pPr>
        <w:ind w:firstLine="420" w:firstLineChars="0"/>
        <w:rPr>
          <w:rFonts w:cs="Times New Roman"/>
          <w:color w:val="000000" w:themeColor="text1"/>
          <w:sz w:val="21"/>
          <w:lang w:eastAsia="zh-CN"/>
          <w14:textFill>
            <w14:solidFill>
              <w14:schemeClr w14:val="tx1"/>
            </w14:solidFill>
          </w14:textFill>
        </w:rPr>
      </w:pPr>
      <w:bookmarkStart w:id="102" w:name="_Hlk196310232"/>
      <w:r>
        <w:rPr>
          <w:rFonts w:hint="eastAsia" w:cs="Times New Roman"/>
          <w:b/>
          <w:bCs/>
          <w:color w:val="000000" w:themeColor="text1"/>
          <w:sz w:val="21"/>
          <w:lang w:eastAsia="zh-CN"/>
          <w14:textFill>
            <w14:solidFill>
              <w14:schemeClr w14:val="tx1"/>
            </w14:solidFill>
          </w14:textFill>
        </w:rPr>
        <w:t>4.6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缠绕机组由缠绕笼和缠绕机头组成，可拆分组装，施工时可根据原有管道的管径选择缠绕笼。</w:t>
      </w:r>
    </w:p>
    <w:p>
      <w:pPr>
        <w:pStyle w:val="3"/>
        <w:ind w:firstLine="560"/>
      </w:pPr>
      <w:bookmarkStart w:id="103" w:name="_Toc196915209"/>
      <w:r>
        <w:rPr>
          <w:rFonts w:hint="eastAsia"/>
        </w:rPr>
        <w:t>4.7</w:t>
      </w:r>
      <w:r>
        <w:t xml:space="preserve"> </w:t>
      </w:r>
      <w:r>
        <w:rPr>
          <w:rFonts w:hint="eastAsia"/>
        </w:rPr>
        <w:t>短管内衬法</w:t>
      </w:r>
      <w:bookmarkEnd w:id="103"/>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材料应符合下列规定：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bookmarkStart w:id="104" w:name="OLE_LINK21"/>
      <w:r>
        <w:rPr>
          <w:rFonts w:hint="eastAsia" w:cs="Times New Roman"/>
          <w:color w:val="000000" w:themeColor="text1"/>
          <w:sz w:val="21"/>
          <w:lang w:eastAsia="zh-CN"/>
          <w14:textFill>
            <w14:solidFill>
              <w14:schemeClr w14:val="tx1"/>
            </w14:solidFill>
          </w14:textFill>
        </w:rPr>
        <w:t>短管</w:t>
      </w:r>
      <w:bookmarkEnd w:id="104"/>
      <w:r>
        <w:rPr>
          <w:rFonts w:hint="eastAsia" w:cs="Times New Roman"/>
          <w:color w:val="000000" w:themeColor="text1"/>
          <w:sz w:val="21"/>
          <w:lang w:eastAsia="zh-CN"/>
          <w14:textFill>
            <w14:solidFill>
              <w14:schemeClr w14:val="tx1"/>
            </w14:solidFill>
          </w14:textFill>
        </w:rPr>
        <w:t>应</w:t>
      </w:r>
      <w:r>
        <w:rPr>
          <w:rFonts w:cs="Times New Roman"/>
          <w:color w:val="000000" w:themeColor="text1"/>
          <w:sz w:val="21"/>
          <w:lang w:eastAsia="zh-CN"/>
          <w14:textFill>
            <w14:solidFill>
              <w14:schemeClr w14:val="tx1"/>
            </w14:solidFill>
          </w14:textFill>
        </w:rPr>
        <w:t>采用PE实壁管或HDPE中空壁管</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PE实壁管应符合现行国家标准</w:t>
      </w:r>
      <w:bookmarkStart w:id="105" w:name="_Hlk196920030"/>
      <w:r>
        <w:rPr>
          <w:rFonts w:cs="Times New Roman"/>
          <w:color w:val="000000" w:themeColor="text1"/>
          <w:sz w:val="21"/>
          <w:lang w:eastAsia="zh-CN"/>
          <w14:textFill>
            <w14:solidFill>
              <w14:schemeClr w14:val="tx1"/>
            </w14:solidFill>
          </w14:textFill>
        </w:rPr>
        <w:t>《给水排水用聚乙烯（PE）管材</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第2部分：管材》GB/T 13663</w:t>
      </w:r>
      <w:r>
        <w:rPr>
          <w:rFonts w:hint="eastAsia" w:cs="Times New Roman"/>
          <w:color w:val="000000" w:themeColor="text1"/>
          <w:sz w:val="21"/>
          <w:lang w:eastAsia="zh-CN"/>
          <w14:textFill>
            <w14:solidFill>
              <w14:schemeClr w14:val="tx1"/>
            </w14:solidFill>
          </w14:textFill>
        </w:rPr>
        <w:t>.2</w:t>
      </w:r>
      <w:bookmarkEnd w:id="105"/>
      <w:r>
        <w:rPr>
          <w:rFonts w:cs="Times New Roman"/>
          <w:color w:val="000000" w:themeColor="text1"/>
          <w:sz w:val="21"/>
          <w:lang w:eastAsia="zh-CN"/>
          <w14:textFill>
            <w14:solidFill>
              <w14:schemeClr w14:val="tx1"/>
            </w14:solidFill>
          </w14:textFill>
        </w:rPr>
        <w:t>的有关规定</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HDPE中空壁管应符合现行国家标准</w:t>
      </w:r>
      <w:bookmarkStart w:id="106" w:name="_Hlk196920036"/>
      <w:r>
        <w:rPr>
          <w:rFonts w:cs="Times New Roman"/>
          <w:color w:val="000000" w:themeColor="text1"/>
          <w:sz w:val="21"/>
          <w:lang w:eastAsia="zh-CN"/>
          <w14:textFill>
            <w14:solidFill>
              <w14:schemeClr w14:val="tx1"/>
            </w14:solidFill>
          </w14:textFill>
        </w:rPr>
        <w:t>《埋地用聚乙烯（PE）结构壁管道系统</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第2部分聚乙烯缠绕结构壁管材》GB/T 19472.2</w:t>
      </w:r>
      <w:bookmarkEnd w:id="106"/>
      <w:r>
        <w:rPr>
          <w:rFonts w:cs="Times New Roman"/>
          <w:color w:val="000000" w:themeColor="text1"/>
          <w:sz w:val="21"/>
          <w:lang w:eastAsia="zh-CN"/>
          <w14:textFill>
            <w14:solidFill>
              <w14:schemeClr w14:val="tx1"/>
            </w14:solidFill>
          </w14:textFill>
        </w:rPr>
        <w:t>的有关规定；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短管</w:t>
      </w:r>
      <w:r>
        <w:rPr>
          <w:rFonts w:cs="Times New Roman"/>
          <w:color w:val="000000" w:themeColor="text1"/>
          <w:sz w:val="21"/>
          <w:lang w:eastAsia="zh-CN"/>
          <w14:textFill>
            <w14:solidFill>
              <w14:schemeClr w14:val="tx1"/>
            </w14:solidFill>
          </w14:textFill>
        </w:rPr>
        <w:t>长度应满足可从</w:t>
      </w:r>
      <w:r>
        <w:rPr>
          <w:rFonts w:hint="eastAsia" w:cs="Times New Roman"/>
          <w:color w:val="000000" w:themeColor="text1"/>
          <w:sz w:val="21"/>
          <w:lang w:eastAsia="zh-CN"/>
          <w14:textFill>
            <w14:solidFill>
              <w14:schemeClr w14:val="tx1"/>
            </w14:solidFill>
          </w14:textFill>
        </w:rPr>
        <w:t>工作井</w:t>
      </w:r>
      <w:r>
        <w:rPr>
          <w:rFonts w:cs="Times New Roman"/>
          <w:color w:val="000000" w:themeColor="text1"/>
          <w:sz w:val="21"/>
          <w:lang w:eastAsia="zh-CN"/>
          <w14:textFill>
            <w14:solidFill>
              <w14:schemeClr w14:val="tx1"/>
            </w14:solidFill>
          </w14:textFill>
        </w:rPr>
        <w:t>进入管道的要求</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 xml:space="preserve"> </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短管</w:t>
      </w:r>
      <w:r>
        <w:rPr>
          <w:rFonts w:cs="Times New Roman"/>
          <w:color w:val="000000" w:themeColor="text1"/>
          <w:sz w:val="21"/>
          <w:lang w:eastAsia="zh-CN"/>
          <w14:textFill>
            <w14:solidFill>
              <w14:schemeClr w14:val="tx1"/>
            </w14:solidFill>
          </w14:textFill>
        </w:rPr>
        <w:t>连接应采用热熔焊接或承插方式</w:t>
      </w:r>
      <w:r>
        <w:rPr>
          <w:rFonts w:hint="eastAsia" w:cs="Times New Roman"/>
          <w:color w:val="000000" w:themeColor="text1"/>
          <w:sz w:val="21"/>
          <w:lang w:eastAsia="zh-CN"/>
          <w14:textFill>
            <w14:solidFill>
              <w14:schemeClr w14:val="tx1"/>
            </w14:solidFill>
          </w14:textFill>
        </w:rPr>
        <w:t>。</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4.7</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短管连接所用遇水膨胀橡胶密封圈的性能</w:t>
      </w:r>
      <w:r>
        <w:rPr>
          <w:rFonts w:hint="eastAsia" w:cs="Times New Roman"/>
          <w:color w:val="000000" w:themeColor="text1"/>
          <w:sz w:val="21"/>
          <w:lang w:eastAsia="zh-CN"/>
          <w14:textFill>
            <w14:solidFill>
              <w14:schemeClr w14:val="tx1"/>
            </w14:solidFill>
          </w14:textFill>
        </w:rPr>
        <w:t>应符合现行国家标准</w:t>
      </w:r>
      <w:bookmarkStart w:id="107" w:name="_Hlk196920041"/>
      <w:r>
        <w:rPr>
          <w:rFonts w:hint="eastAsia" w:cs="Times New Roman"/>
          <w:color w:val="000000" w:themeColor="text1"/>
          <w:sz w:val="21"/>
          <w:lang w:eastAsia="zh-CN"/>
          <w14:textFill>
            <w14:solidFill>
              <w14:schemeClr w14:val="tx1"/>
            </w14:solidFill>
          </w14:textFill>
        </w:rPr>
        <w:t>《高分子防水材料 第</w:t>
      </w:r>
      <w:r>
        <w:rPr>
          <w:rFonts w:cs="Times New Roman"/>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部分：遇水膨胀橡胶》</w:t>
      </w:r>
      <w:r>
        <w:rPr>
          <w:rFonts w:cs="Times New Roman"/>
          <w:color w:val="000000" w:themeColor="text1"/>
          <w:sz w:val="21"/>
          <w:lang w:eastAsia="zh-CN"/>
          <w14:textFill>
            <w14:solidFill>
              <w14:schemeClr w14:val="tx1"/>
            </w14:solidFill>
          </w14:textFill>
        </w:rPr>
        <w:t>GB/T 18173.3</w:t>
      </w:r>
      <w:bookmarkEnd w:id="107"/>
      <w:r>
        <w:rPr>
          <w:rFonts w:hint="eastAsia" w:cs="Times New Roman"/>
          <w:color w:val="000000" w:themeColor="text1"/>
          <w:sz w:val="21"/>
          <w:lang w:eastAsia="zh-CN"/>
          <w14:textFill>
            <w14:solidFill>
              <w14:schemeClr w14:val="tx1"/>
            </w14:solidFill>
          </w14:textFill>
        </w:rPr>
        <w:t>的有关规定。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4.7</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注浆材料应符合《通用硅酸盐水泥》GB</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175的有关规定，</w:t>
      </w:r>
      <w:r>
        <w:rPr>
          <w:rFonts w:hint="eastAsia" w:cs="Times New Roman"/>
          <w:color w:val="000000" w:themeColor="text1"/>
          <w:sz w:val="21"/>
          <w:lang w:eastAsia="zh-CN"/>
          <w14:textFill>
            <w14:solidFill>
              <w14:schemeClr w14:val="tx1"/>
            </w14:solidFill>
          </w14:textFill>
        </w:rPr>
        <w:t>并</w:t>
      </w:r>
      <w:r>
        <w:rPr>
          <w:rFonts w:cs="Times New Roman"/>
          <w:color w:val="000000" w:themeColor="text1"/>
          <w:sz w:val="21"/>
          <w:lang w:eastAsia="zh-CN"/>
          <w14:textFill>
            <w14:solidFill>
              <w14:schemeClr w14:val="tx1"/>
            </w14:solidFill>
          </w14:textFill>
        </w:rPr>
        <w:t>应符合</w:t>
      </w:r>
      <w:r>
        <w:rPr>
          <w:rFonts w:hint="eastAsia" w:cs="Times New Roman"/>
          <w:color w:val="000000" w:themeColor="text1"/>
          <w:sz w:val="21"/>
          <w:lang w:eastAsia="zh-CN"/>
          <w14:textFill>
            <w14:solidFill>
              <w14:schemeClr w14:val="tx1"/>
            </w14:solidFill>
          </w14:textFill>
        </w:rPr>
        <w:t>下列</w:t>
      </w:r>
      <w:r>
        <w:rPr>
          <w:rFonts w:cs="Times New Roman"/>
          <w:color w:val="000000" w:themeColor="text1"/>
          <w:sz w:val="21"/>
          <w:lang w:eastAsia="zh-CN"/>
          <w14:textFill>
            <w14:solidFill>
              <w14:schemeClr w14:val="tx1"/>
            </w14:solidFill>
          </w14:textFill>
        </w:rPr>
        <w:t>规定。</w:t>
      </w:r>
    </w:p>
    <w:p>
      <w:pPr>
        <w:ind w:firstLine="420" w:firstLineChars="0"/>
        <w:jc w:val="center"/>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表4.7</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 xml:space="preserve"> </w:t>
      </w:r>
      <w:r>
        <w:rPr>
          <w:rFonts w:hint="eastAsia" w:cs="Times New Roman"/>
          <w:b/>
          <w:bCs/>
          <w:color w:val="000000" w:themeColor="text1"/>
          <w:sz w:val="21"/>
          <w:lang w:eastAsia="zh-CN"/>
          <w14:textFill>
            <w14:solidFill>
              <w14:schemeClr w14:val="tx1"/>
            </w14:solidFill>
          </w14:textFill>
        </w:rPr>
        <w:t>注浆材料性能</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1118"/>
        <w:gridCol w:w="1398"/>
        <w:gridCol w:w="4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pct"/>
            <w:vAlign w:val="center"/>
          </w:tcPr>
          <w:p>
            <w:pPr>
              <w:ind w:firstLine="0" w:firstLineChars="0"/>
              <w:jc w:val="center"/>
              <w:rPr>
                <w:rFonts w:cs="Times New Roman"/>
                <w:color w:val="auto"/>
                <w:sz w:val="21"/>
                <w:lang w:eastAsia="zh-CN"/>
              </w:rPr>
            </w:pPr>
            <w:r>
              <w:rPr>
                <w:rFonts w:hint="eastAsia" w:cs="Times New Roman"/>
                <w:color w:val="auto"/>
                <w:sz w:val="21"/>
                <w:lang w:eastAsia="zh-CN"/>
              </w:rPr>
              <w:t>检测项目</w:t>
            </w:r>
          </w:p>
        </w:tc>
        <w:tc>
          <w:tcPr>
            <w:tcW w:w="656" w:type="pct"/>
            <w:vAlign w:val="center"/>
          </w:tcPr>
          <w:p>
            <w:pPr>
              <w:ind w:firstLine="0" w:firstLineChars="0"/>
              <w:jc w:val="center"/>
              <w:rPr>
                <w:rFonts w:cs="Times New Roman"/>
                <w:color w:val="auto"/>
                <w:sz w:val="21"/>
                <w:lang w:eastAsia="zh-CN"/>
              </w:rPr>
            </w:pPr>
            <w:r>
              <w:rPr>
                <w:rFonts w:hint="eastAsia" w:cs="Times New Roman"/>
                <w:color w:val="auto"/>
                <w:sz w:val="21"/>
                <w:lang w:eastAsia="zh-CN"/>
              </w:rPr>
              <w:t>单位</w:t>
            </w:r>
          </w:p>
        </w:tc>
        <w:tc>
          <w:tcPr>
            <w:tcW w:w="820" w:type="pct"/>
            <w:vAlign w:val="center"/>
          </w:tcPr>
          <w:p>
            <w:pPr>
              <w:ind w:firstLine="0" w:firstLineChars="0"/>
              <w:jc w:val="center"/>
              <w:rPr>
                <w:rFonts w:cs="Times New Roman"/>
                <w:color w:val="auto"/>
                <w:sz w:val="21"/>
                <w:lang w:eastAsia="zh-CN"/>
              </w:rPr>
            </w:pPr>
            <w:r>
              <w:rPr>
                <w:rFonts w:hint="eastAsia" w:cs="Times New Roman"/>
                <w:color w:val="auto"/>
                <w:sz w:val="21"/>
                <w:lang w:eastAsia="zh-CN"/>
              </w:rPr>
              <w:t>性能要求</w:t>
            </w:r>
          </w:p>
        </w:tc>
        <w:tc>
          <w:tcPr>
            <w:tcW w:w="2378" w:type="pct"/>
            <w:vAlign w:val="center"/>
          </w:tcPr>
          <w:p>
            <w:pPr>
              <w:ind w:firstLine="0" w:firstLineChars="0"/>
              <w:jc w:val="center"/>
              <w:rPr>
                <w:rFonts w:cs="Times New Roman"/>
                <w:color w:val="auto"/>
                <w:sz w:val="21"/>
                <w:lang w:eastAsia="zh-CN"/>
              </w:rPr>
            </w:pPr>
            <w:r>
              <w:rPr>
                <w:rFonts w:hint="eastAsia" w:cs="Times New Roman"/>
                <w:color w:val="auto"/>
                <w:sz w:val="21"/>
                <w:lang w:eastAsia="zh-CN"/>
              </w:rPr>
              <w:t>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pct"/>
            <w:vAlign w:val="center"/>
          </w:tcPr>
          <w:p>
            <w:pPr>
              <w:ind w:firstLine="0" w:firstLineChars="0"/>
              <w:jc w:val="center"/>
              <w:rPr>
                <w:rFonts w:cs="Times New Roman"/>
                <w:color w:val="auto"/>
                <w:sz w:val="21"/>
                <w:lang w:eastAsia="zh-CN"/>
              </w:rPr>
            </w:pPr>
            <w:r>
              <w:rPr>
                <w:rFonts w:hint="eastAsia" w:cs="Times New Roman"/>
                <w:color w:val="auto"/>
                <w:sz w:val="21"/>
                <w:lang w:eastAsia="zh-CN"/>
              </w:rPr>
              <w:t>抗压强度，</w:t>
            </w:r>
            <w:r>
              <w:rPr>
                <w:rFonts w:cs="Times New Roman"/>
                <w:color w:val="auto"/>
                <w:sz w:val="21"/>
                <w:lang w:eastAsia="zh-CN"/>
              </w:rPr>
              <w:t>28d</w:t>
            </w:r>
          </w:p>
        </w:tc>
        <w:tc>
          <w:tcPr>
            <w:tcW w:w="656" w:type="pct"/>
            <w:vAlign w:val="center"/>
          </w:tcPr>
          <w:p>
            <w:pPr>
              <w:ind w:firstLine="0" w:firstLineChars="0"/>
              <w:jc w:val="center"/>
              <w:rPr>
                <w:rFonts w:cs="Times New Roman"/>
                <w:color w:val="auto"/>
                <w:sz w:val="21"/>
                <w:lang w:eastAsia="zh-CN"/>
              </w:rPr>
            </w:pPr>
            <w:r>
              <w:rPr>
                <w:rFonts w:cs="Times New Roman"/>
                <w:color w:val="auto"/>
                <w:sz w:val="21"/>
                <w:lang w:eastAsia="zh-CN"/>
              </w:rPr>
              <w:t>MPa</w:t>
            </w:r>
          </w:p>
        </w:tc>
        <w:tc>
          <w:tcPr>
            <w:tcW w:w="820" w:type="pct"/>
            <w:vAlign w:val="center"/>
          </w:tcPr>
          <w:p>
            <w:pPr>
              <w:ind w:firstLine="0" w:firstLineChars="0"/>
              <w:jc w:val="center"/>
              <w:rPr>
                <w:rFonts w:cs="Times New Roman"/>
                <w:color w:val="auto"/>
                <w:sz w:val="21"/>
                <w:lang w:eastAsia="zh-CN"/>
              </w:rPr>
            </w:pPr>
            <w:r>
              <w:rPr>
                <w:rFonts w:hint="eastAsia" w:cs="Times New Roman"/>
                <w:color w:val="auto"/>
                <w:sz w:val="21"/>
                <w:lang w:eastAsia="zh-CN"/>
              </w:rPr>
              <w:t>≥</w:t>
            </w:r>
            <w:r>
              <w:rPr>
                <w:rFonts w:cs="Times New Roman"/>
                <w:color w:val="auto"/>
                <w:sz w:val="21"/>
                <w:lang w:eastAsia="zh-CN"/>
              </w:rPr>
              <w:t>30</w:t>
            </w:r>
          </w:p>
        </w:tc>
        <w:tc>
          <w:tcPr>
            <w:tcW w:w="2378" w:type="pct"/>
            <w:vMerge w:val="restart"/>
            <w:vAlign w:val="center"/>
          </w:tcPr>
          <w:p>
            <w:pPr>
              <w:ind w:firstLine="0" w:firstLineChars="0"/>
              <w:jc w:val="center"/>
              <w:rPr>
                <w:rFonts w:cs="Times New Roman"/>
                <w:color w:val="auto"/>
                <w:sz w:val="21"/>
                <w:lang w:eastAsia="zh-CN"/>
              </w:rPr>
            </w:pPr>
            <w:r>
              <w:rPr>
                <w:rFonts w:hint="eastAsia" w:cs="Times New Roman"/>
                <w:color w:val="auto"/>
                <w:sz w:val="21"/>
                <w:lang w:eastAsia="zh-CN"/>
              </w:rPr>
              <w:t>现行国家标准</w:t>
            </w:r>
            <w:bookmarkStart w:id="108" w:name="OLE_LINK109"/>
            <w:r>
              <w:rPr>
                <w:rFonts w:hint="eastAsia" w:cs="Times New Roman"/>
                <w:color w:val="auto"/>
                <w:sz w:val="21"/>
                <w:lang w:eastAsia="zh-CN"/>
              </w:rPr>
              <w:t>《</w:t>
            </w:r>
            <w:bookmarkStart w:id="109" w:name="OLE_LINK7"/>
            <w:r>
              <w:rPr>
                <w:rFonts w:hint="eastAsia" w:cs="Times New Roman"/>
                <w:color w:val="auto"/>
                <w:sz w:val="21"/>
                <w:lang w:eastAsia="zh-CN"/>
              </w:rPr>
              <w:t>水泥基灌浆材料应用技术规范</w:t>
            </w:r>
            <w:bookmarkEnd w:id="109"/>
            <w:r>
              <w:rPr>
                <w:rFonts w:hint="eastAsia" w:cs="Times New Roman"/>
                <w:color w:val="auto"/>
                <w:sz w:val="21"/>
                <w:lang w:eastAsia="zh-CN"/>
              </w:rPr>
              <w:t>》</w:t>
            </w:r>
            <w:bookmarkStart w:id="110" w:name="OLE_LINK108"/>
            <w:r>
              <w:rPr>
                <w:rFonts w:cs="Times New Roman"/>
                <w:color w:val="auto"/>
                <w:sz w:val="21"/>
                <w:lang w:eastAsia="zh-CN"/>
              </w:rPr>
              <w:t>GB</w:t>
            </w:r>
            <w:r>
              <w:rPr>
                <w:rFonts w:hint="eastAsia" w:cs="Times New Roman"/>
                <w:color w:val="auto"/>
                <w:sz w:val="21"/>
                <w:lang w:eastAsia="zh-CN"/>
              </w:rPr>
              <w:t>/T</w:t>
            </w:r>
            <w:r>
              <w:rPr>
                <w:rFonts w:cs="Times New Roman"/>
                <w:color w:val="auto"/>
                <w:sz w:val="21"/>
                <w:lang w:eastAsia="zh-CN"/>
              </w:rPr>
              <w:t xml:space="preserve"> 50448</w:t>
            </w:r>
            <w:bookmarkEnd w:id="108"/>
            <w:bookmarkEnd w:id="1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pct"/>
            <w:vAlign w:val="center"/>
          </w:tcPr>
          <w:p>
            <w:pPr>
              <w:ind w:firstLine="0" w:firstLineChars="0"/>
              <w:jc w:val="center"/>
              <w:rPr>
                <w:rFonts w:cs="Times New Roman"/>
                <w:color w:val="auto"/>
                <w:sz w:val="21"/>
                <w:lang w:eastAsia="zh-CN"/>
              </w:rPr>
            </w:pPr>
            <w:r>
              <w:rPr>
                <w:rFonts w:hint="eastAsia" w:cs="Times New Roman"/>
                <w:color w:val="auto"/>
                <w:sz w:val="21"/>
                <w:lang w:eastAsia="zh-CN"/>
              </w:rPr>
              <w:t>截锥流动度，</w:t>
            </w:r>
            <w:r>
              <w:rPr>
                <w:rFonts w:cs="Times New Roman"/>
                <w:color w:val="auto"/>
                <w:sz w:val="21"/>
                <w:lang w:eastAsia="zh-CN"/>
              </w:rPr>
              <w:t>30min</w:t>
            </w:r>
          </w:p>
        </w:tc>
        <w:tc>
          <w:tcPr>
            <w:tcW w:w="656" w:type="pct"/>
            <w:vAlign w:val="center"/>
          </w:tcPr>
          <w:p>
            <w:pPr>
              <w:ind w:firstLine="0" w:firstLineChars="0"/>
              <w:jc w:val="center"/>
              <w:rPr>
                <w:rFonts w:cs="Times New Roman"/>
                <w:color w:val="auto"/>
                <w:sz w:val="21"/>
                <w:lang w:eastAsia="zh-CN"/>
              </w:rPr>
            </w:pPr>
            <w:r>
              <w:rPr>
                <w:rFonts w:cs="Times New Roman"/>
                <w:color w:val="auto"/>
                <w:sz w:val="21"/>
                <w:lang w:eastAsia="zh-CN"/>
              </w:rPr>
              <w:t>mm</w:t>
            </w:r>
          </w:p>
        </w:tc>
        <w:tc>
          <w:tcPr>
            <w:tcW w:w="820" w:type="pct"/>
            <w:vAlign w:val="center"/>
          </w:tcPr>
          <w:p>
            <w:pPr>
              <w:ind w:firstLine="0" w:firstLineChars="0"/>
              <w:jc w:val="center"/>
              <w:rPr>
                <w:rFonts w:cs="Times New Roman"/>
                <w:color w:val="auto"/>
                <w:sz w:val="21"/>
                <w:lang w:eastAsia="zh-CN"/>
              </w:rPr>
            </w:pPr>
            <w:r>
              <w:rPr>
                <w:rFonts w:hint="eastAsia" w:cs="Times New Roman"/>
                <w:color w:val="auto"/>
                <w:sz w:val="21"/>
                <w:lang w:eastAsia="zh-CN"/>
              </w:rPr>
              <w:t>≥</w:t>
            </w:r>
            <w:r>
              <w:rPr>
                <w:rFonts w:cs="Times New Roman"/>
                <w:color w:val="auto"/>
                <w:sz w:val="21"/>
                <w:lang w:eastAsia="zh-CN"/>
              </w:rPr>
              <w:t>310</w:t>
            </w:r>
          </w:p>
        </w:tc>
        <w:tc>
          <w:tcPr>
            <w:tcW w:w="2378" w:type="pct"/>
            <w:vMerge w:val="continue"/>
            <w:vAlign w:val="center"/>
          </w:tcPr>
          <w:p>
            <w:pPr>
              <w:ind w:firstLine="420"/>
              <w:jc w:val="center"/>
              <w:rPr>
                <w:rFonts w:cs="Times New Roman"/>
                <w:color w:val="auto"/>
                <w:sz w:val="21"/>
                <w:lang w:eastAsia="zh-CN"/>
              </w:rPr>
            </w:pPr>
          </w:p>
        </w:tc>
      </w:tr>
    </w:tbl>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4.7</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 xml:space="preserve">4 </w:t>
      </w:r>
      <w:r>
        <w:rPr>
          <w:rFonts w:cs="Times New Roman"/>
          <w:color w:val="000000" w:themeColor="text1"/>
          <w:sz w:val="21"/>
          <w:lang w:eastAsia="zh-CN"/>
          <w14:textFill>
            <w14:solidFill>
              <w14:schemeClr w14:val="tx1"/>
            </w14:solidFill>
          </w14:textFill>
        </w:rPr>
        <w:t>施工主要机械、电气设备应有定期维保、检验记录</w:t>
      </w:r>
      <w:r>
        <w:rPr>
          <w:rFonts w:hint="eastAsia" w:cs="Times New Roman"/>
          <w:color w:val="000000" w:themeColor="text1"/>
          <w:sz w:val="21"/>
          <w:lang w:eastAsia="zh-CN"/>
          <w14:textFill>
            <w14:solidFill>
              <w14:schemeClr w14:val="tx1"/>
            </w14:solidFill>
          </w14:textFill>
        </w:rPr>
        <w:t>，并应符合下列规定</w:t>
      </w:r>
      <w:r>
        <w:rPr>
          <w:rFonts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热熔机的年检时间宜为每年1次</w:t>
      </w:r>
      <w:r>
        <w:rPr>
          <w:rFonts w:hint="eastAsia"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液压设备宜采用双回路动力设备，压力区间</w:t>
      </w:r>
      <w:r>
        <w:rPr>
          <w:rFonts w:hint="eastAsia" w:cs="Times New Roman"/>
          <w:color w:val="000000" w:themeColor="text1"/>
          <w:sz w:val="21"/>
          <w:lang w:eastAsia="zh-CN"/>
          <w14:textFill>
            <w14:solidFill>
              <w14:schemeClr w14:val="tx1"/>
            </w14:solidFill>
          </w14:textFill>
        </w:rPr>
        <w:t>宜</w:t>
      </w:r>
      <w:r>
        <w:rPr>
          <w:rFonts w:cs="Times New Roman"/>
          <w:color w:val="000000" w:themeColor="text1"/>
          <w:sz w:val="21"/>
          <w:lang w:eastAsia="zh-CN"/>
          <w14:textFill>
            <w14:solidFill>
              <w14:schemeClr w14:val="tx1"/>
            </w14:solidFill>
          </w14:textFill>
        </w:rPr>
        <w:t>为9MPa-15.5MPa。</w:t>
      </w:r>
    </w:p>
    <w:bookmarkEnd w:id="102"/>
    <w:p>
      <w:pPr>
        <w:pStyle w:val="3"/>
        <w:ind w:firstLine="560"/>
      </w:pPr>
      <w:bookmarkStart w:id="111" w:name="_Toc196915210"/>
      <w:r>
        <w:t>4.</w:t>
      </w:r>
      <w:r>
        <w:rPr>
          <w:rFonts w:hint="eastAsia"/>
        </w:rPr>
        <w:t>8</w:t>
      </w:r>
      <w:r>
        <w:t xml:space="preserve"> 喷涂法</w:t>
      </w:r>
      <w:bookmarkEnd w:id="111"/>
    </w:p>
    <w:p>
      <w:pPr>
        <w:ind w:firstLine="420"/>
        <w:jc w:val="center"/>
        <w:rPr>
          <w:rFonts w:hint="eastAsia" w:ascii="宋体" w:hAnsi="宋体" w:cs="Times New Roman"/>
          <w:snapToGrid/>
          <w:sz w:val="21"/>
          <w:lang w:eastAsia="zh-CN"/>
        </w:rPr>
      </w:pPr>
      <w:r>
        <w:rPr>
          <w:rFonts w:cs="Times New Roman"/>
          <w:snapToGrid/>
          <w:sz w:val="21"/>
          <w:lang w:eastAsia="zh-CN"/>
        </w:rPr>
        <w:t>Ⅰ</w:t>
      </w:r>
      <w:r>
        <w:rPr>
          <w:rFonts w:hint="eastAsia" w:ascii="宋体" w:hAnsi="宋体" w:cs="Times New Roman"/>
          <w:snapToGrid/>
          <w:sz w:val="21"/>
          <w:lang w:eastAsia="zh-CN"/>
        </w:rPr>
        <w:t xml:space="preserve"> 水泥基材料喷涂法</w:t>
      </w:r>
    </w:p>
    <w:p>
      <w:pPr>
        <w:ind w:firstLine="420" w:firstLineChars="0"/>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4.8.1</w:t>
      </w:r>
      <w:r>
        <w:rPr>
          <w:rFonts w:hint="eastAsia"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水泥基材料喷涂法所用水泥基材料应符合下列规定：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主要胶凝材料应为水泥；</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 xml:space="preserve"> 材料应为工厂化生产、统一包装的干混砂浆；</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hint="eastAsia"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材料在现场应只需加入适量的清水充分搅拌即可使用；</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hint="eastAsia" w:cs="Times New Roman"/>
          <w:color w:val="000000" w:themeColor="text1"/>
          <w:sz w:val="21"/>
          <w:lang w:eastAsia="zh-CN"/>
          <w14:textFill>
            <w14:solidFill>
              <w14:schemeClr w14:val="tx1"/>
            </w14:solidFill>
          </w14:textFill>
        </w:rPr>
        <w:t xml:space="preserve"> 搅拌后的浆料应适宜泵送和喷涂；</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hint="eastAsia" w:cs="Times New Roman"/>
          <w:color w:val="000000" w:themeColor="text1"/>
          <w:sz w:val="21"/>
          <w:lang w:eastAsia="zh-CN"/>
          <w14:textFill>
            <w14:solidFill>
              <w14:schemeClr w14:val="tx1"/>
            </w14:solidFill>
          </w14:textFill>
        </w:rPr>
        <w:t xml:space="preserve"> 材料应能直接在潮湿表面使用而不影响内衬与基体的粘结。</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 xml:space="preserve">2 </w:t>
      </w:r>
      <w:r>
        <w:rPr>
          <w:rFonts w:hint="eastAsia" w:cs="Times New Roman"/>
          <w:color w:val="000000" w:themeColor="text1"/>
          <w:sz w:val="21"/>
          <w:lang w:eastAsia="zh-CN"/>
          <w14:textFill>
            <w14:solidFill>
              <w14:schemeClr w14:val="tx1"/>
            </w14:solidFill>
          </w14:textFill>
        </w:rPr>
        <w:t>结构性修复用水泥基材料性能应符合表 4.8.2 的规定。</w:t>
      </w:r>
    </w:p>
    <w:p>
      <w:pPr>
        <w:ind w:firstLine="422"/>
        <w:jc w:val="center"/>
        <w:rPr>
          <w:rFonts w:cs="Times New Roman"/>
          <w:b/>
          <w:bCs/>
          <w:snapToGrid/>
          <w:sz w:val="21"/>
          <w:lang w:eastAsia="zh-CN"/>
        </w:rPr>
      </w:pPr>
      <w:r>
        <w:rPr>
          <w:rFonts w:cs="Times New Roman"/>
          <w:b/>
          <w:bCs/>
          <w:snapToGrid/>
          <w:sz w:val="21"/>
          <w:lang w:eastAsia="zh-CN"/>
        </w:rPr>
        <w:t>表 4.8.2 结构性修复用水泥基材料性能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项目</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单位</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龄期</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性能要求</w:t>
            </w:r>
          </w:p>
        </w:tc>
        <w:tc>
          <w:tcPr>
            <w:tcW w:w="1660" w:type="dxa"/>
            <w:vAlign w:val="center"/>
          </w:tcPr>
          <w:p>
            <w:pPr>
              <w:ind w:firstLine="0" w:firstLineChars="0"/>
              <w:jc w:val="center"/>
              <w:rPr>
                <w:rFonts w:cs="Times New Roman"/>
                <w:snapToGrid/>
                <w:sz w:val="21"/>
                <w:lang w:eastAsia="zh-CN"/>
              </w:rPr>
            </w:pPr>
            <w:r>
              <w:rPr>
                <w:rFonts w:cs="Times New Roman"/>
                <w:snapToGrid/>
                <w:sz w:val="21"/>
                <w:lang w:eastAsia="zh-CN"/>
              </w:rPr>
              <w:t>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Merge w:val="restart"/>
            <w:vAlign w:val="center"/>
          </w:tcPr>
          <w:p>
            <w:pPr>
              <w:ind w:firstLine="0" w:firstLineChars="0"/>
              <w:jc w:val="center"/>
              <w:rPr>
                <w:rFonts w:cs="Times New Roman"/>
                <w:snapToGrid/>
                <w:sz w:val="21"/>
                <w:lang w:eastAsia="zh-CN"/>
              </w:rPr>
            </w:pPr>
            <w:r>
              <w:rPr>
                <w:rFonts w:cs="Times New Roman"/>
                <w:snapToGrid/>
                <w:sz w:val="21"/>
                <w:lang w:eastAsia="zh-CN"/>
              </w:rPr>
              <w:t>凝结时间</w:t>
            </w:r>
          </w:p>
        </w:tc>
        <w:tc>
          <w:tcPr>
            <w:tcW w:w="1659" w:type="dxa"/>
            <w:vMerge w:val="restart"/>
            <w:vAlign w:val="center"/>
          </w:tcPr>
          <w:p>
            <w:pPr>
              <w:ind w:firstLine="0" w:firstLineChars="0"/>
              <w:jc w:val="center"/>
              <w:rPr>
                <w:rFonts w:cs="Times New Roman"/>
                <w:snapToGrid/>
                <w:sz w:val="21"/>
                <w:lang w:eastAsia="zh-CN"/>
              </w:rPr>
            </w:pPr>
            <w:r>
              <w:rPr>
                <w:rFonts w:cs="Times New Roman"/>
                <w:snapToGrid/>
                <w:sz w:val="21"/>
                <w:lang w:eastAsia="zh-CN"/>
              </w:rPr>
              <w:t>min</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初凝</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≤120</w:t>
            </w:r>
          </w:p>
        </w:tc>
        <w:tc>
          <w:tcPr>
            <w:tcW w:w="1660" w:type="dxa"/>
            <w:vMerge w:val="restart"/>
            <w:vAlign w:val="center"/>
          </w:tcPr>
          <w:p>
            <w:pPr>
              <w:ind w:firstLine="0" w:firstLineChars="0"/>
              <w:jc w:val="center"/>
              <w:rPr>
                <w:rFonts w:cs="Times New Roman"/>
                <w:snapToGrid/>
                <w:sz w:val="21"/>
                <w:lang w:eastAsia="zh-CN"/>
              </w:rPr>
            </w:pPr>
            <w:r>
              <w:rPr>
                <w:rFonts w:cs="Times New Roman"/>
                <w:snapToGrid/>
                <w:sz w:val="21"/>
                <w:lang w:eastAsia="zh-CN"/>
              </w:rPr>
              <w:t>现行国家标准《</w:t>
            </w:r>
            <w:bookmarkStart w:id="112" w:name="_Hlk196920050"/>
            <w:r>
              <w:rPr>
                <w:rFonts w:cs="Times New Roman"/>
                <w:snapToGrid/>
                <w:sz w:val="21"/>
                <w:lang w:eastAsia="zh-CN"/>
              </w:rPr>
              <w:t>水泥标准稠度用水量、凝结时间、安定性检验方法》GB/T 1346</w:t>
            </w:r>
            <w:bookmarkEnd w:id="1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Merge w:val="continue"/>
            <w:vAlign w:val="center"/>
          </w:tcPr>
          <w:p>
            <w:pPr>
              <w:ind w:firstLine="0" w:firstLineChars="0"/>
              <w:jc w:val="center"/>
              <w:rPr>
                <w:rFonts w:cs="Times New Roman"/>
                <w:snapToGrid/>
                <w:sz w:val="21"/>
                <w:lang w:eastAsia="zh-CN"/>
              </w:rPr>
            </w:pPr>
          </w:p>
        </w:tc>
        <w:tc>
          <w:tcPr>
            <w:tcW w:w="1659" w:type="dxa"/>
            <w:vMerge w:val="continue"/>
            <w:vAlign w:val="center"/>
          </w:tcPr>
          <w:p>
            <w:pPr>
              <w:ind w:firstLine="0" w:firstLineChars="0"/>
              <w:jc w:val="center"/>
              <w:rPr>
                <w:rFonts w:cs="Times New Roman"/>
                <w:snapToGrid/>
                <w:sz w:val="21"/>
                <w:lang w:eastAsia="zh-CN"/>
              </w:rPr>
            </w:pP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终凝</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≤360</w:t>
            </w:r>
          </w:p>
        </w:tc>
        <w:tc>
          <w:tcPr>
            <w:tcW w:w="1660" w:type="dxa"/>
            <w:vMerge w:val="continue"/>
            <w:vAlign w:val="center"/>
          </w:tcPr>
          <w:p>
            <w:pPr>
              <w:ind w:firstLine="0" w:firstLineChars="0"/>
              <w:jc w:val="center"/>
              <w:rPr>
                <w:rFonts w:cs="Times New Roman"/>
                <w:snapToGrid/>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Merge w:val="restart"/>
            <w:vAlign w:val="center"/>
          </w:tcPr>
          <w:p>
            <w:pPr>
              <w:ind w:firstLine="0" w:firstLineChars="0"/>
              <w:jc w:val="center"/>
              <w:rPr>
                <w:rFonts w:cs="Times New Roman"/>
                <w:snapToGrid/>
                <w:sz w:val="21"/>
                <w:lang w:eastAsia="zh-CN"/>
              </w:rPr>
            </w:pPr>
            <w:r>
              <w:rPr>
                <w:rFonts w:cs="Times New Roman"/>
                <w:snapToGrid/>
                <w:sz w:val="21"/>
                <w:lang w:eastAsia="zh-CN"/>
              </w:rPr>
              <w:t>抗压强度</w:t>
            </w:r>
          </w:p>
        </w:tc>
        <w:tc>
          <w:tcPr>
            <w:tcW w:w="1659" w:type="dxa"/>
            <w:vMerge w:val="restart"/>
            <w:vAlign w:val="center"/>
          </w:tcPr>
          <w:p>
            <w:pPr>
              <w:ind w:firstLine="0" w:firstLineChars="0"/>
              <w:jc w:val="center"/>
              <w:rPr>
                <w:rFonts w:cs="Times New Roman"/>
                <w:snapToGrid/>
                <w:sz w:val="21"/>
                <w:lang w:eastAsia="zh-CN"/>
              </w:rPr>
            </w:pPr>
            <w:r>
              <w:rPr>
                <w:rFonts w:cs="Times New Roman"/>
                <w:snapToGrid/>
                <w:sz w:val="21"/>
                <w:lang w:eastAsia="zh-CN"/>
              </w:rPr>
              <w:t>MPa</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24 h</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≥25</w:t>
            </w:r>
          </w:p>
        </w:tc>
        <w:tc>
          <w:tcPr>
            <w:tcW w:w="1660" w:type="dxa"/>
            <w:vMerge w:val="restart"/>
            <w:vAlign w:val="center"/>
          </w:tcPr>
          <w:p>
            <w:pPr>
              <w:ind w:firstLine="0" w:firstLineChars="0"/>
              <w:jc w:val="center"/>
              <w:rPr>
                <w:rFonts w:cs="Times New Roman"/>
                <w:snapToGrid/>
                <w:sz w:val="21"/>
                <w:lang w:eastAsia="zh-CN"/>
              </w:rPr>
            </w:pPr>
            <w:r>
              <w:rPr>
                <w:rFonts w:cs="Times New Roman"/>
                <w:snapToGrid/>
                <w:sz w:val="21"/>
                <w:lang w:eastAsia="zh-CN"/>
              </w:rPr>
              <w:t>现行国家标准</w:t>
            </w:r>
            <w:bookmarkStart w:id="113" w:name="_Hlk196920082"/>
            <w:r>
              <w:rPr>
                <w:rFonts w:cs="Times New Roman"/>
                <w:snapToGrid/>
                <w:sz w:val="21"/>
                <w:lang w:eastAsia="zh-CN"/>
              </w:rPr>
              <w:t>《水泥胶砂强度检验方法 （ISO法）》GB/T 17671</w:t>
            </w:r>
            <w:bookmarkEnd w:id="1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Merge w:val="continue"/>
            <w:vAlign w:val="center"/>
          </w:tcPr>
          <w:p>
            <w:pPr>
              <w:ind w:firstLine="0" w:firstLineChars="0"/>
              <w:jc w:val="center"/>
              <w:rPr>
                <w:rFonts w:cs="Times New Roman"/>
                <w:snapToGrid/>
                <w:sz w:val="21"/>
                <w:lang w:eastAsia="zh-CN"/>
              </w:rPr>
            </w:pPr>
          </w:p>
        </w:tc>
        <w:tc>
          <w:tcPr>
            <w:tcW w:w="1659" w:type="dxa"/>
            <w:vMerge w:val="continue"/>
            <w:vAlign w:val="center"/>
          </w:tcPr>
          <w:p>
            <w:pPr>
              <w:ind w:firstLine="0" w:firstLineChars="0"/>
              <w:jc w:val="center"/>
              <w:rPr>
                <w:rFonts w:cs="Times New Roman"/>
                <w:snapToGrid/>
                <w:sz w:val="21"/>
                <w:lang w:eastAsia="zh-CN"/>
              </w:rPr>
            </w:pP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28 d</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≥65</w:t>
            </w:r>
          </w:p>
        </w:tc>
        <w:tc>
          <w:tcPr>
            <w:tcW w:w="1660" w:type="dxa"/>
            <w:vMerge w:val="continue"/>
            <w:vAlign w:val="center"/>
          </w:tcPr>
          <w:p>
            <w:pPr>
              <w:ind w:firstLine="0" w:firstLineChars="0"/>
              <w:jc w:val="center"/>
              <w:rPr>
                <w:rFonts w:cs="Times New Roman"/>
                <w:snapToGrid/>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Merge w:val="restart"/>
            <w:vAlign w:val="center"/>
          </w:tcPr>
          <w:p>
            <w:pPr>
              <w:ind w:firstLine="0" w:firstLineChars="0"/>
              <w:jc w:val="center"/>
              <w:rPr>
                <w:rFonts w:cs="Times New Roman"/>
                <w:snapToGrid/>
                <w:sz w:val="21"/>
                <w:lang w:eastAsia="zh-CN"/>
              </w:rPr>
            </w:pPr>
            <w:r>
              <w:rPr>
                <w:rFonts w:cs="Times New Roman"/>
                <w:snapToGrid/>
                <w:sz w:val="21"/>
                <w:lang w:eastAsia="zh-CN"/>
              </w:rPr>
              <w:t>抗折强度</w:t>
            </w:r>
          </w:p>
        </w:tc>
        <w:tc>
          <w:tcPr>
            <w:tcW w:w="1659" w:type="dxa"/>
            <w:vMerge w:val="restart"/>
            <w:vAlign w:val="center"/>
          </w:tcPr>
          <w:p>
            <w:pPr>
              <w:ind w:firstLine="0" w:firstLineChars="0"/>
              <w:jc w:val="center"/>
              <w:rPr>
                <w:rFonts w:cs="Times New Roman"/>
                <w:snapToGrid/>
                <w:sz w:val="21"/>
                <w:lang w:eastAsia="zh-CN"/>
              </w:rPr>
            </w:pPr>
            <w:r>
              <w:rPr>
                <w:rFonts w:cs="Times New Roman"/>
                <w:snapToGrid/>
                <w:sz w:val="21"/>
                <w:lang w:eastAsia="zh-CN"/>
              </w:rPr>
              <w:t>MPa</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24 h</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≥3.5</w:t>
            </w:r>
          </w:p>
        </w:tc>
        <w:tc>
          <w:tcPr>
            <w:tcW w:w="1660" w:type="dxa"/>
            <w:vMerge w:val="continue"/>
            <w:vAlign w:val="center"/>
          </w:tcPr>
          <w:p>
            <w:pPr>
              <w:ind w:firstLine="0" w:firstLineChars="0"/>
              <w:jc w:val="center"/>
              <w:rPr>
                <w:rFonts w:cs="Times New Roman"/>
                <w:snapToGrid/>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Merge w:val="continue"/>
            <w:vAlign w:val="center"/>
          </w:tcPr>
          <w:p>
            <w:pPr>
              <w:ind w:firstLine="0" w:firstLineChars="0"/>
              <w:jc w:val="center"/>
              <w:rPr>
                <w:rFonts w:cs="Times New Roman"/>
                <w:snapToGrid/>
                <w:sz w:val="21"/>
                <w:lang w:eastAsia="zh-CN"/>
              </w:rPr>
            </w:pPr>
          </w:p>
        </w:tc>
        <w:tc>
          <w:tcPr>
            <w:tcW w:w="1659" w:type="dxa"/>
            <w:vMerge w:val="continue"/>
            <w:vAlign w:val="center"/>
          </w:tcPr>
          <w:p>
            <w:pPr>
              <w:ind w:firstLine="0" w:firstLineChars="0"/>
              <w:jc w:val="center"/>
              <w:rPr>
                <w:rFonts w:cs="Times New Roman"/>
                <w:snapToGrid/>
                <w:sz w:val="21"/>
                <w:lang w:eastAsia="zh-CN"/>
              </w:rPr>
            </w:pP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28 d</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≥9.5</w:t>
            </w:r>
          </w:p>
        </w:tc>
        <w:tc>
          <w:tcPr>
            <w:tcW w:w="1660" w:type="dxa"/>
            <w:vMerge w:val="continue"/>
            <w:vAlign w:val="center"/>
          </w:tcPr>
          <w:p>
            <w:pPr>
              <w:ind w:firstLine="0" w:firstLineChars="0"/>
              <w:jc w:val="center"/>
              <w:rPr>
                <w:rFonts w:cs="Times New Roman"/>
                <w:snapToGrid/>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静压弹性模量</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GPa</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28d</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≥30</w:t>
            </w:r>
          </w:p>
        </w:tc>
        <w:tc>
          <w:tcPr>
            <w:tcW w:w="1660" w:type="dxa"/>
            <w:vMerge w:val="restart"/>
            <w:vAlign w:val="center"/>
          </w:tcPr>
          <w:p>
            <w:pPr>
              <w:ind w:firstLine="0" w:firstLineChars="0"/>
              <w:jc w:val="center"/>
              <w:rPr>
                <w:rFonts w:cs="Times New Roman"/>
                <w:snapToGrid/>
                <w:sz w:val="21"/>
                <w:lang w:eastAsia="zh-CN"/>
              </w:rPr>
            </w:pPr>
            <w:r>
              <w:rPr>
                <w:rFonts w:cs="Times New Roman"/>
                <w:snapToGrid/>
                <w:sz w:val="21"/>
                <w:lang w:eastAsia="zh-CN"/>
              </w:rPr>
              <w:t>现行行业标准</w:t>
            </w:r>
            <w:bookmarkStart w:id="114" w:name="OLE_LINK121"/>
            <w:r>
              <w:rPr>
                <w:rFonts w:cs="Times New Roman"/>
                <w:snapToGrid/>
                <w:sz w:val="21"/>
                <w:lang w:eastAsia="zh-CN"/>
              </w:rPr>
              <w:t>《建筑砂浆基本性能试验方法标准》JGJ/T 70</w:t>
            </w:r>
            <w:bookmarkEnd w:id="1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拉伸粘结强度</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MPa</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28d</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≥1.2</w:t>
            </w:r>
          </w:p>
        </w:tc>
        <w:tc>
          <w:tcPr>
            <w:tcW w:w="1660" w:type="dxa"/>
            <w:vMerge w:val="continue"/>
            <w:vAlign w:val="center"/>
          </w:tcPr>
          <w:p>
            <w:pPr>
              <w:ind w:firstLine="0" w:firstLineChars="0"/>
              <w:jc w:val="center"/>
              <w:rPr>
                <w:rFonts w:cs="Times New Roman"/>
                <w:snapToGrid/>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抗渗性能</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MPa</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28d</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≥1.5</w:t>
            </w:r>
          </w:p>
        </w:tc>
        <w:tc>
          <w:tcPr>
            <w:tcW w:w="1660" w:type="dxa"/>
            <w:vMerge w:val="continue"/>
            <w:vAlign w:val="center"/>
          </w:tcPr>
          <w:p>
            <w:pPr>
              <w:ind w:firstLine="0" w:firstLineChars="0"/>
              <w:jc w:val="center"/>
              <w:rPr>
                <w:rFonts w:cs="Times New Roman"/>
                <w:snapToGrid/>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收缩性</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28d</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≤0.1</w:t>
            </w:r>
          </w:p>
        </w:tc>
        <w:tc>
          <w:tcPr>
            <w:tcW w:w="1660" w:type="dxa"/>
            <w:vMerge w:val="continue"/>
            <w:vAlign w:val="center"/>
          </w:tcPr>
          <w:p>
            <w:pPr>
              <w:ind w:firstLine="0" w:firstLineChars="0"/>
              <w:jc w:val="center"/>
              <w:rPr>
                <w:rFonts w:cs="Times New Roman"/>
                <w:snapToGrid/>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抗冻性（100次循环）</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28d</w:t>
            </w:r>
          </w:p>
        </w:tc>
        <w:tc>
          <w:tcPr>
            <w:tcW w:w="1659" w:type="dxa"/>
            <w:vAlign w:val="center"/>
          </w:tcPr>
          <w:p>
            <w:pPr>
              <w:ind w:firstLine="0" w:firstLineChars="0"/>
              <w:jc w:val="center"/>
              <w:rPr>
                <w:rFonts w:cs="Times New Roman"/>
                <w:snapToGrid/>
                <w:sz w:val="21"/>
                <w:lang w:eastAsia="zh-CN"/>
              </w:rPr>
            </w:pPr>
            <w:r>
              <w:rPr>
                <w:rFonts w:cs="Times New Roman"/>
                <w:snapToGrid/>
                <w:sz w:val="21"/>
                <w:lang w:eastAsia="zh-CN"/>
              </w:rPr>
              <w:t>强度损失≤5</w:t>
            </w:r>
          </w:p>
        </w:tc>
        <w:tc>
          <w:tcPr>
            <w:tcW w:w="1660" w:type="dxa"/>
            <w:vMerge w:val="continue"/>
            <w:vAlign w:val="center"/>
          </w:tcPr>
          <w:p>
            <w:pPr>
              <w:ind w:firstLine="0" w:firstLineChars="0"/>
              <w:jc w:val="center"/>
              <w:rPr>
                <w:rFonts w:cs="Times New Roman"/>
                <w:snapToGrid/>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Merge w:val="restart"/>
            <w:vAlign w:val="center"/>
          </w:tcPr>
          <w:p>
            <w:pPr>
              <w:ind w:firstLine="0" w:firstLineChars="0"/>
              <w:jc w:val="center"/>
              <w:rPr>
                <w:rFonts w:cs="Times New Roman"/>
                <w:snapToGrid/>
                <w:sz w:val="21"/>
                <w:lang w:eastAsia="zh-CN"/>
              </w:rPr>
            </w:pPr>
            <w:r>
              <w:rPr>
                <w:rFonts w:cs="Times New Roman"/>
                <w:snapToGrid/>
                <w:sz w:val="21"/>
                <w:lang w:eastAsia="zh-CN"/>
              </w:rPr>
              <w:t>耐酸性</w:t>
            </w:r>
          </w:p>
        </w:tc>
        <w:tc>
          <w:tcPr>
            <w:tcW w:w="3318" w:type="dxa"/>
            <w:gridSpan w:val="2"/>
            <w:vAlign w:val="center"/>
          </w:tcPr>
          <w:p>
            <w:pPr>
              <w:ind w:firstLine="0" w:firstLineChars="0"/>
              <w:jc w:val="center"/>
              <w:rPr>
                <w:rFonts w:cs="Times New Roman"/>
                <w:snapToGrid/>
                <w:sz w:val="21"/>
                <w:lang w:eastAsia="zh-CN"/>
              </w:rPr>
            </w:pPr>
            <w:r>
              <w:rPr>
                <w:rFonts w:cs="Times New Roman"/>
                <w:snapToGrid/>
                <w:sz w:val="21"/>
                <w:lang w:eastAsia="zh-CN"/>
              </w:rPr>
              <w:t>5%硫酸液</w:t>
            </w:r>
          </w:p>
          <w:p>
            <w:pPr>
              <w:ind w:firstLine="0" w:firstLineChars="0"/>
              <w:jc w:val="center"/>
              <w:rPr>
                <w:rFonts w:cs="Times New Roman"/>
                <w:snapToGrid/>
                <w:sz w:val="21"/>
                <w:lang w:eastAsia="zh-CN"/>
              </w:rPr>
            </w:pPr>
            <w:r>
              <w:rPr>
                <w:rFonts w:cs="Times New Roman"/>
                <w:snapToGrid/>
                <w:sz w:val="21"/>
                <w:lang w:eastAsia="zh-CN"/>
              </w:rPr>
              <w:t>腐蚀24h</w:t>
            </w:r>
          </w:p>
        </w:tc>
        <w:tc>
          <w:tcPr>
            <w:tcW w:w="1659" w:type="dxa"/>
            <w:vMerge w:val="restart"/>
            <w:vAlign w:val="center"/>
          </w:tcPr>
          <w:p>
            <w:pPr>
              <w:ind w:firstLine="0" w:firstLineChars="0"/>
              <w:jc w:val="center"/>
              <w:rPr>
                <w:rFonts w:cs="Times New Roman"/>
                <w:snapToGrid/>
                <w:sz w:val="21"/>
                <w:lang w:eastAsia="zh-CN"/>
              </w:rPr>
            </w:pPr>
            <w:r>
              <w:rPr>
                <w:rFonts w:cs="Times New Roman"/>
                <w:snapToGrid/>
                <w:sz w:val="21"/>
                <w:lang w:eastAsia="zh-CN"/>
              </w:rPr>
              <w:t>无剥落、无裂纹</w:t>
            </w:r>
          </w:p>
        </w:tc>
        <w:tc>
          <w:tcPr>
            <w:tcW w:w="1660" w:type="dxa"/>
            <w:vMerge w:val="restart"/>
            <w:vAlign w:val="center"/>
          </w:tcPr>
          <w:p>
            <w:pPr>
              <w:ind w:firstLine="0" w:firstLineChars="0"/>
              <w:jc w:val="center"/>
              <w:rPr>
                <w:rFonts w:cs="Times New Roman"/>
                <w:snapToGrid/>
                <w:sz w:val="21"/>
                <w:lang w:eastAsia="zh-CN"/>
              </w:rPr>
            </w:pPr>
            <w:r>
              <w:rPr>
                <w:rFonts w:cs="Times New Roman"/>
                <w:snapToGrid/>
                <w:sz w:val="21"/>
                <w:lang w:eastAsia="zh-CN"/>
              </w:rPr>
              <w:t>现行行业标准</w:t>
            </w:r>
            <w:bookmarkStart w:id="115" w:name="_Hlk196920901"/>
            <w:r>
              <w:rPr>
                <w:rFonts w:cs="Times New Roman"/>
                <w:snapToGrid/>
                <w:sz w:val="21"/>
                <w:lang w:eastAsia="zh-CN"/>
              </w:rPr>
              <w:t>《</w:t>
            </w:r>
            <w:bookmarkStart w:id="116" w:name="_Hlk196920894"/>
            <w:r>
              <w:rPr>
                <w:rFonts w:cs="Times New Roman"/>
                <w:snapToGrid/>
                <w:sz w:val="21"/>
                <w:lang w:eastAsia="zh-CN"/>
              </w:rPr>
              <w:t>水性聚氨酯地坪》JC/T 2327</w:t>
            </w:r>
            <w:bookmarkEnd w:id="115"/>
            <w:bookmarkEnd w:id="1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Merge w:val="continue"/>
            <w:vAlign w:val="center"/>
          </w:tcPr>
          <w:p>
            <w:pPr>
              <w:ind w:firstLine="0" w:firstLineChars="0"/>
              <w:jc w:val="center"/>
              <w:rPr>
                <w:rFonts w:cs="Times New Roman"/>
                <w:snapToGrid/>
                <w:sz w:val="21"/>
                <w:lang w:eastAsia="zh-CN"/>
              </w:rPr>
            </w:pPr>
          </w:p>
        </w:tc>
        <w:tc>
          <w:tcPr>
            <w:tcW w:w="3318" w:type="dxa"/>
            <w:gridSpan w:val="2"/>
            <w:vAlign w:val="center"/>
          </w:tcPr>
          <w:p>
            <w:pPr>
              <w:ind w:firstLine="0" w:firstLineChars="0"/>
              <w:jc w:val="center"/>
              <w:rPr>
                <w:rFonts w:cs="Times New Roman"/>
                <w:snapToGrid/>
                <w:sz w:val="21"/>
                <w:lang w:eastAsia="zh-CN"/>
              </w:rPr>
            </w:pPr>
            <w:r>
              <w:rPr>
                <w:rFonts w:cs="Times New Roman"/>
                <w:snapToGrid/>
                <w:sz w:val="21"/>
                <w:lang w:eastAsia="zh-CN"/>
              </w:rPr>
              <w:t>10%柠檬酸；10%乳酸；</w:t>
            </w:r>
          </w:p>
          <w:p>
            <w:pPr>
              <w:ind w:firstLine="0" w:firstLineChars="0"/>
              <w:jc w:val="center"/>
              <w:rPr>
                <w:rFonts w:cs="Times New Roman"/>
                <w:snapToGrid/>
                <w:sz w:val="21"/>
                <w:lang w:eastAsia="zh-CN"/>
              </w:rPr>
            </w:pPr>
            <w:r>
              <w:rPr>
                <w:rFonts w:cs="Times New Roman"/>
                <w:snapToGrid/>
                <w:sz w:val="21"/>
                <w:lang w:eastAsia="zh-CN"/>
              </w:rPr>
              <w:t>10%醋酸腐蚀 48h</w:t>
            </w:r>
          </w:p>
        </w:tc>
        <w:tc>
          <w:tcPr>
            <w:tcW w:w="1659" w:type="dxa"/>
            <w:vMerge w:val="continue"/>
            <w:vAlign w:val="center"/>
          </w:tcPr>
          <w:p>
            <w:pPr>
              <w:ind w:firstLine="0" w:firstLineChars="0"/>
              <w:jc w:val="center"/>
              <w:rPr>
                <w:rFonts w:cs="Times New Roman"/>
                <w:snapToGrid/>
                <w:sz w:val="21"/>
                <w:lang w:eastAsia="zh-CN"/>
              </w:rPr>
            </w:pPr>
          </w:p>
        </w:tc>
        <w:tc>
          <w:tcPr>
            <w:tcW w:w="1660" w:type="dxa"/>
            <w:vMerge w:val="continue"/>
            <w:vAlign w:val="center"/>
          </w:tcPr>
          <w:p>
            <w:pPr>
              <w:ind w:firstLine="0" w:firstLineChars="0"/>
              <w:jc w:val="center"/>
              <w:rPr>
                <w:rFonts w:cs="Times New Roman"/>
                <w:snapToGrid/>
                <w:sz w:val="21"/>
                <w:lang w:eastAsia="zh-CN"/>
              </w:rPr>
            </w:pPr>
          </w:p>
        </w:tc>
      </w:tr>
    </w:tbl>
    <w:p>
      <w:pPr>
        <w:ind w:firstLine="420"/>
        <w:rPr>
          <w:rFonts w:cs="Times New Roman"/>
          <w:snapToGrid/>
          <w:sz w:val="21"/>
          <w:lang w:eastAsia="zh-CN"/>
        </w:rPr>
      </w:pPr>
      <w:r>
        <w:rPr>
          <w:rFonts w:cs="Times New Roman"/>
          <w:snapToGrid/>
          <w:sz w:val="21"/>
          <w:lang w:eastAsia="zh-CN"/>
        </w:rPr>
        <w:t>注：耐酸性检验用酸的浓度均为质量百分数。</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4.8.3</w:t>
      </w:r>
      <w:r>
        <w:rPr>
          <w:rFonts w:hint="eastAsia"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无机防腐水泥基材料性能应符合表4.8.3的规定;其中铝酸盐类水泥基材料中氧化铝含量不应小于15%，单质硫含量不应大于 0.5%。</w:t>
      </w:r>
    </w:p>
    <w:p>
      <w:pPr>
        <w:ind w:firstLine="420" w:firstLineChars="0"/>
        <w:jc w:val="center"/>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表4.8.3 无机防腐水泥基材料性能</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418"/>
        <w:gridCol w:w="1559"/>
        <w:gridCol w:w="1559"/>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项目</w:t>
            </w:r>
          </w:p>
        </w:tc>
        <w:tc>
          <w:tcPr>
            <w:tcW w:w="1418"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单位</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龄期</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性能要求</w:t>
            </w:r>
          </w:p>
        </w:tc>
        <w:tc>
          <w:tcPr>
            <w:tcW w:w="2631"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凝结时间</w:t>
            </w:r>
          </w:p>
        </w:tc>
        <w:tc>
          <w:tcPr>
            <w:tcW w:w="1418"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min</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初凝</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≥45</w:t>
            </w:r>
          </w:p>
        </w:tc>
        <w:tc>
          <w:tcPr>
            <w:tcW w:w="2631" w:type="dxa"/>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现行国家标准《水泥标准稠度用水量、凝结时间、安定性检验方法》GB/T</w:t>
            </w:r>
          </w:p>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c>
          <w:tcPr>
            <w:tcW w:w="1418"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min</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初凝</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≤360</w:t>
            </w:r>
          </w:p>
        </w:tc>
        <w:tc>
          <w:tcPr>
            <w:tcW w:w="2631"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bookmarkStart w:id="117" w:name="OLE_LINK78"/>
            <w:r>
              <w:rPr>
                <w:rFonts w:cs="Times New Roman"/>
                <w:color w:val="000000" w:themeColor="text1"/>
                <w:sz w:val="21"/>
                <w:lang w:eastAsia="zh-CN"/>
                <w14:textFill>
                  <w14:solidFill>
                    <w14:schemeClr w14:val="tx1"/>
                  </w14:solidFill>
                </w14:textFill>
              </w:rPr>
              <w:t>抗压强度</w:t>
            </w:r>
          </w:p>
        </w:tc>
        <w:tc>
          <w:tcPr>
            <w:tcW w:w="1418" w:type="dxa"/>
            <w:vAlign w:val="center"/>
          </w:tcPr>
          <w:p>
            <w:pPr>
              <w:ind w:firstLine="0" w:firstLineChars="0"/>
              <w:jc w:val="center"/>
              <w:rPr>
                <w:rFonts w:cs="Times New Roman"/>
                <w:color w:val="000000" w:themeColor="text1"/>
                <w:sz w:val="21"/>
                <w:lang w:eastAsia="zh-CN"/>
                <w14:textFill>
                  <w14:solidFill>
                    <w14:schemeClr w14:val="tx1"/>
                  </w14:solidFill>
                </w14:textFill>
              </w:rPr>
            </w:pPr>
            <w:bookmarkStart w:id="118" w:name="OLE_LINK72"/>
            <w:r>
              <w:rPr>
                <w:rFonts w:cs="Times New Roman"/>
                <w:color w:val="000000" w:themeColor="text1"/>
                <w:sz w:val="21"/>
                <w:lang w:eastAsia="zh-CN"/>
                <w14:textFill>
                  <w14:solidFill>
                    <w14:schemeClr w14:val="tx1"/>
                  </w14:solidFill>
                </w14:textFill>
              </w:rPr>
              <w:t>MPa</w:t>
            </w:r>
            <w:bookmarkEnd w:id="118"/>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12h</w:t>
            </w:r>
            <w:r>
              <w:rPr>
                <w:rFonts w:cs="Times New Roman"/>
                <w:color w:val="000000" w:themeColor="text1"/>
                <w:sz w:val="21"/>
                <w:vertAlign w:val="superscript"/>
                <w:lang w:eastAsia="zh-CN"/>
                <w14:textFill>
                  <w14:solidFill>
                    <w14:schemeClr w14:val="tx1"/>
                  </w14:solidFill>
                </w14:textFill>
              </w:rPr>
              <w:t>1</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≥8.0</w:t>
            </w:r>
          </w:p>
        </w:tc>
        <w:tc>
          <w:tcPr>
            <w:tcW w:w="2631" w:type="dxa"/>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bookmarkStart w:id="119" w:name="OLE_LINK88"/>
            <w:r>
              <w:rPr>
                <w:rFonts w:cs="Times New Roman"/>
                <w:color w:val="000000" w:themeColor="text1"/>
                <w:sz w:val="21"/>
                <w:lang w:eastAsia="zh-CN"/>
                <w14:textFill>
                  <w14:solidFill>
                    <w14:schemeClr w14:val="tx1"/>
                  </w14:solidFill>
                </w14:textFill>
              </w:rPr>
              <w:t>现行国家标准《水泥胶砂强度检验方法(ISO法)》GB/T 17671</w:t>
            </w:r>
            <w:bookmarkEnd w:id="1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c>
          <w:tcPr>
            <w:tcW w:w="1418"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24h</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≥12.0</w:t>
            </w:r>
          </w:p>
        </w:tc>
        <w:tc>
          <w:tcPr>
            <w:tcW w:w="2631"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r>
      <w:bookmarkEnd w:id="11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c>
          <w:tcPr>
            <w:tcW w:w="1418"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28d</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≥25.0</w:t>
            </w:r>
          </w:p>
        </w:tc>
        <w:tc>
          <w:tcPr>
            <w:tcW w:w="2631"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抗折强度</w:t>
            </w:r>
          </w:p>
        </w:tc>
        <w:tc>
          <w:tcPr>
            <w:tcW w:w="1418"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24h</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≥2.5</w:t>
            </w:r>
          </w:p>
        </w:tc>
        <w:tc>
          <w:tcPr>
            <w:tcW w:w="2631"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c>
          <w:tcPr>
            <w:tcW w:w="1418" w:type="dxa"/>
            <w:vAlign w:val="center"/>
          </w:tcPr>
          <w:p>
            <w:pPr>
              <w:ind w:firstLine="0" w:firstLineChars="0"/>
              <w:jc w:val="center"/>
              <w:rPr>
                <w:rFonts w:cs="Times New Roman"/>
                <w:color w:val="000000" w:themeColor="text1"/>
                <w:sz w:val="21"/>
                <w:lang w:eastAsia="zh-CN"/>
                <w14:textFill>
                  <w14:solidFill>
                    <w14:schemeClr w14:val="tx1"/>
                  </w14:solidFill>
                </w14:textFill>
              </w:rPr>
            </w:pPr>
            <w:bookmarkStart w:id="120" w:name="OLE_LINK80"/>
            <w:r>
              <w:rPr>
                <w:rFonts w:cs="Times New Roman"/>
                <w:color w:val="000000" w:themeColor="text1"/>
                <w:sz w:val="21"/>
                <w:lang w:eastAsia="zh-CN"/>
                <w14:textFill>
                  <w14:solidFill>
                    <w14:schemeClr w14:val="tx1"/>
                  </w14:solidFill>
                </w14:textFill>
              </w:rPr>
              <w:t>MPa</w:t>
            </w:r>
            <w:bookmarkEnd w:id="120"/>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bookmarkStart w:id="121" w:name="OLE_LINK86"/>
            <w:r>
              <w:rPr>
                <w:rFonts w:cs="Times New Roman"/>
                <w:color w:val="000000" w:themeColor="text1"/>
                <w:sz w:val="21"/>
                <w:lang w:eastAsia="zh-CN"/>
                <w14:textFill>
                  <w14:solidFill>
                    <w14:schemeClr w14:val="tx1"/>
                  </w14:solidFill>
                </w14:textFill>
              </w:rPr>
              <w:t>28d</w:t>
            </w:r>
            <w:bookmarkEnd w:id="121"/>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≥4.0</w:t>
            </w:r>
          </w:p>
        </w:tc>
        <w:tc>
          <w:tcPr>
            <w:tcW w:w="2631"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拉伸粘结强度</w:t>
            </w:r>
          </w:p>
        </w:tc>
        <w:tc>
          <w:tcPr>
            <w:tcW w:w="1418" w:type="dxa"/>
            <w:vAlign w:val="center"/>
          </w:tcPr>
          <w:p>
            <w:pPr>
              <w:ind w:firstLine="0" w:firstLineChars="0"/>
              <w:jc w:val="center"/>
              <w:rPr>
                <w:rFonts w:cs="Times New Roman"/>
                <w:color w:val="000000" w:themeColor="text1"/>
                <w:sz w:val="21"/>
                <w:lang w:eastAsia="zh-CN"/>
                <w14:textFill>
                  <w14:solidFill>
                    <w14:schemeClr w14:val="tx1"/>
                  </w14:solidFill>
                </w14:textFill>
              </w:rPr>
            </w:pPr>
            <w:bookmarkStart w:id="122" w:name="OLE_LINK85"/>
            <w:r>
              <w:rPr>
                <w:rFonts w:cs="Times New Roman"/>
                <w:color w:val="000000" w:themeColor="text1"/>
                <w:sz w:val="21"/>
                <w:lang w:eastAsia="zh-CN"/>
                <w14:textFill>
                  <w14:solidFill>
                    <w14:schemeClr w14:val="tx1"/>
                  </w14:solidFill>
                </w14:textFill>
              </w:rPr>
              <w:t>MPa</w:t>
            </w:r>
            <w:bookmarkEnd w:id="122"/>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28d</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.0</w:t>
            </w:r>
          </w:p>
        </w:tc>
        <w:tc>
          <w:tcPr>
            <w:tcW w:w="2631" w:type="dxa"/>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现行行业标准《建筑砂浆基本性能试验方法标准》JGJ/T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抗渗压力</w:t>
            </w:r>
          </w:p>
        </w:tc>
        <w:tc>
          <w:tcPr>
            <w:tcW w:w="1418"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28d</w:t>
            </w:r>
          </w:p>
        </w:tc>
        <w:tc>
          <w:tcPr>
            <w:tcW w:w="1559" w:type="dxa"/>
            <w:vAlign w:val="center"/>
          </w:tcPr>
          <w:p>
            <w:pPr>
              <w:ind w:firstLine="0" w:firstLineChars="0"/>
              <w:jc w:val="center"/>
              <w:rPr>
                <w:rFonts w:cs="Times New Roman"/>
                <w:color w:val="000000" w:themeColor="text1"/>
                <w:sz w:val="21"/>
                <w:lang w:eastAsia="zh-CN"/>
                <w14:textFill>
                  <w14:solidFill>
                    <w14:schemeClr w14:val="tx1"/>
                  </w14:solidFill>
                </w14:textFill>
              </w:rPr>
            </w:pPr>
            <w:bookmarkStart w:id="123" w:name="OLE_LINK87"/>
            <w:r>
              <w:rPr>
                <w:rFonts w:cs="Times New Roman"/>
                <w:color w:val="000000" w:themeColor="text1"/>
                <w:sz w:val="21"/>
                <w:lang w:eastAsia="zh-CN"/>
                <w14:textFill>
                  <w14:solidFill>
                    <w14:schemeClr w14:val="tx1"/>
                  </w14:solidFill>
                </w14:textFill>
              </w:rPr>
              <w:t>≥1</w:t>
            </w:r>
            <w:bookmarkEnd w:id="123"/>
            <w:r>
              <w:rPr>
                <w:rFonts w:hint="eastAsia" w:cs="Times New Roman"/>
                <w:color w:val="000000" w:themeColor="text1"/>
                <w:sz w:val="21"/>
                <w:lang w:eastAsia="zh-CN"/>
                <w14:textFill>
                  <w14:solidFill>
                    <w14:schemeClr w14:val="tx1"/>
                  </w14:solidFill>
                </w14:textFill>
              </w:rPr>
              <w:t>.5</w:t>
            </w:r>
          </w:p>
        </w:tc>
        <w:tc>
          <w:tcPr>
            <w:tcW w:w="2631"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耐酸性</w:t>
            </w:r>
            <w:r>
              <w:rPr>
                <w:rFonts w:cs="Times New Roman"/>
                <w:color w:val="000000" w:themeColor="text1"/>
                <w:sz w:val="21"/>
                <w:vertAlign w:val="superscript"/>
                <w:lang w:eastAsia="zh-CN"/>
                <w14:textFill>
                  <w14:solidFill>
                    <w14:schemeClr w14:val="tx1"/>
                  </w14:solidFill>
                </w14:textFill>
              </w:rPr>
              <w:t>2</w:t>
            </w:r>
          </w:p>
        </w:tc>
        <w:tc>
          <w:tcPr>
            <w:tcW w:w="2977" w:type="dxa"/>
            <w:gridSpan w:val="2"/>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5%硫酸腐蚀24h</w:t>
            </w:r>
          </w:p>
        </w:tc>
        <w:tc>
          <w:tcPr>
            <w:tcW w:w="1559" w:type="dxa"/>
            <w:vMerge w:val="restart"/>
            <w:vAlign w:val="center"/>
          </w:tcPr>
          <w:p>
            <w:pPr>
              <w:ind w:firstLine="42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无剥落、无裂纹</w:t>
            </w:r>
          </w:p>
        </w:tc>
        <w:tc>
          <w:tcPr>
            <w:tcW w:w="2631" w:type="dxa"/>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现行行业标准《水性聚氨酯地坪》JC/T 2327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c>
          <w:tcPr>
            <w:tcW w:w="2977" w:type="dxa"/>
            <w:gridSpan w:val="2"/>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10%柠檬酸；</w:t>
            </w:r>
          </w:p>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10%乳酸；</w:t>
            </w:r>
          </w:p>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10%醋酸腐蚀48h</w:t>
            </w:r>
          </w:p>
        </w:tc>
        <w:tc>
          <w:tcPr>
            <w:tcW w:w="1559"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c>
          <w:tcPr>
            <w:tcW w:w="2631" w:type="dxa"/>
            <w:vMerge w:val="continue"/>
            <w:vAlign w:val="center"/>
          </w:tcPr>
          <w:p>
            <w:pPr>
              <w:ind w:firstLine="0" w:firstLineChars="0"/>
              <w:rPr>
                <w:rFonts w:cs="Times New Roman"/>
                <w:color w:val="000000" w:themeColor="text1"/>
                <w:sz w:val="21"/>
                <w:lang w:eastAsia="zh-CN"/>
                <w14:textFill>
                  <w14:solidFill>
                    <w14:schemeClr w14:val="tx1"/>
                  </w14:solidFill>
                </w14:textFill>
              </w:rPr>
            </w:pPr>
          </w:p>
        </w:tc>
      </w:tr>
    </w:tbl>
    <w:p>
      <w:pPr>
        <w:ind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注：</w:t>
      </w: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当需要快速恢复通水时可以协商进行12h抗压强度测试；</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耐酸性检验用酸均为质量百分数。</w:t>
      </w:r>
    </w:p>
    <w:p>
      <w:pPr>
        <w:ind w:firstLine="422"/>
        <w:rPr>
          <w:rFonts w:cs="Times New Roman"/>
          <w:snapToGrid/>
          <w:sz w:val="21"/>
          <w:lang w:eastAsia="zh-CN"/>
        </w:rPr>
      </w:pPr>
      <w:r>
        <w:rPr>
          <w:rFonts w:hint="eastAsia" w:cs="Times New Roman"/>
          <w:b/>
          <w:bCs/>
          <w:snapToGrid/>
          <w:sz w:val="21"/>
          <w:lang w:eastAsia="zh-CN"/>
        </w:rPr>
        <w:t>4.8</w:t>
      </w:r>
      <w:r>
        <w:rPr>
          <w:rFonts w:cs="Times New Roman"/>
          <w:b/>
          <w:bCs/>
          <w:snapToGrid/>
          <w:sz w:val="21"/>
          <w:lang w:eastAsia="zh-CN"/>
        </w:rPr>
        <w:t>.</w:t>
      </w:r>
      <w:r>
        <w:rPr>
          <w:rFonts w:hint="eastAsia" w:cs="Times New Roman"/>
          <w:b/>
          <w:bCs/>
          <w:snapToGrid/>
          <w:sz w:val="21"/>
          <w:lang w:eastAsia="zh-CN"/>
        </w:rPr>
        <w:t>4</w:t>
      </w:r>
      <w:r>
        <w:rPr>
          <w:rFonts w:cs="Times New Roman"/>
          <w:snapToGrid/>
          <w:sz w:val="21"/>
          <w:lang w:eastAsia="zh-CN"/>
        </w:rPr>
        <w:t xml:space="preserve"> 水泥基喷涂施工设备应包括：电视检测设备、气体检测设备、通风设备、移动电源、空气压缩机、排水设备、小型注浆设备、手持钻孔设备、手持打磨设备。</w:t>
      </w:r>
      <w:r>
        <w:rPr>
          <w:rFonts w:hint="eastAsia" w:cs="Times New Roman"/>
          <w:snapToGrid/>
          <w:sz w:val="21"/>
          <w:lang w:eastAsia="zh-CN"/>
        </w:rPr>
        <w:t>并应符合下列规定：</w:t>
      </w:r>
    </w:p>
    <w:p>
      <w:pPr>
        <w:ind w:left="420" w:firstLine="422"/>
        <w:rPr>
          <w:rFonts w:cs="Times New Roman"/>
          <w:snapToGrid/>
          <w:sz w:val="21"/>
          <w:lang w:eastAsia="zh-CN"/>
        </w:rPr>
      </w:pPr>
      <w:r>
        <w:rPr>
          <w:rFonts w:hint="eastAsia" w:cs="Times New Roman"/>
          <w:b/>
          <w:bCs/>
          <w:snapToGrid/>
          <w:sz w:val="21"/>
          <w:lang w:eastAsia="zh-CN"/>
        </w:rPr>
        <w:t xml:space="preserve">1 </w:t>
      </w:r>
      <w:r>
        <w:rPr>
          <w:rFonts w:cs="Times New Roman"/>
          <w:snapToGrid/>
          <w:sz w:val="21"/>
          <w:lang w:eastAsia="zh-CN"/>
        </w:rPr>
        <w:t>材料输送宜选用螺杆式砂浆输送泵，输送压力不宜小于2MPa，最大流量不宜小于20L/min，输送管内径不宜小于 20mm</w:t>
      </w:r>
      <w:r>
        <w:rPr>
          <w:rFonts w:hint="eastAsia" w:cs="Times New Roman"/>
          <w:snapToGrid/>
          <w:sz w:val="21"/>
          <w:lang w:eastAsia="zh-CN"/>
        </w:rPr>
        <w:t>；</w:t>
      </w:r>
    </w:p>
    <w:p>
      <w:pPr>
        <w:ind w:left="420" w:firstLine="422"/>
        <w:rPr>
          <w:rFonts w:cs="Times New Roman"/>
          <w:snapToGrid/>
          <w:sz w:val="21"/>
          <w:lang w:eastAsia="zh-CN"/>
        </w:rPr>
      </w:pPr>
      <w:r>
        <w:rPr>
          <w:rFonts w:hint="eastAsia" w:cs="Times New Roman"/>
          <w:b/>
          <w:bCs/>
          <w:snapToGrid/>
          <w:sz w:val="21"/>
          <w:lang w:eastAsia="zh-CN"/>
        </w:rPr>
        <w:t xml:space="preserve">2 </w:t>
      </w:r>
      <w:r>
        <w:rPr>
          <w:rFonts w:cs="Times New Roman"/>
          <w:snapToGrid/>
          <w:sz w:val="21"/>
          <w:lang w:eastAsia="zh-CN"/>
        </w:rPr>
        <w:t>旋喷器的转速不应低于 1000 r/min</w:t>
      </w:r>
      <w:r>
        <w:rPr>
          <w:rFonts w:hint="eastAsia" w:cs="Times New Roman"/>
          <w:snapToGrid/>
          <w:sz w:val="21"/>
          <w:lang w:eastAsia="zh-CN"/>
        </w:rPr>
        <w:t>，</w:t>
      </w:r>
      <w:r>
        <w:rPr>
          <w:rFonts w:cs="Times New Roman"/>
          <w:snapToGrid/>
          <w:sz w:val="21"/>
          <w:lang w:eastAsia="zh-CN"/>
        </w:rPr>
        <w:t>旋喷器升降装置提升和下放速度不应大于 3m/min。</w:t>
      </w:r>
    </w:p>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Ⅱ 高分子材料喷涂法</w:t>
      </w:r>
    </w:p>
    <w:p>
      <w:pPr>
        <w:ind w:firstLine="422"/>
        <w:rPr>
          <w:rFonts w:cs="Times New Roman"/>
          <w:snapToGrid/>
          <w:sz w:val="21"/>
          <w:lang w:eastAsia="zh-CN"/>
        </w:rPr>
      </w:pPr>
      <w:r>
        <w:rPr>
          <w:rFonts w:cs="Times New Roman"/>
          <w:b/>
          <w:bCs/>
          <w:snapToGrid/>
          <w:sz w:val="21"/>
          <w:lang w:eastAsia="zh-CN"/>
        </w:rPr>
        <w:t>4.8.5</w:t>
      </w:r>
      <w:r>
        <w:rPr>
          <w:rFonts w:hint="eastAsia" w:cs="Times New Roman"/>
          <w:b/>
          <w:bCs/>
          <w:snapToGrid/>
          <w:sz w:val="21"/>
          <w:lang w:eastAsia="zh-CN"/>
        </w:rPr>
        <w:t xml:space="preserve"> </w:t>
      </w:r>
      <w:r>
        <w:rPr>
          <w:rFonts w:hint="eastAsia" w:cs="Times New Roman"/>
          <w:snapToGrid/>
          <w:sz w:val="21"/>
          <w:lang w:eastAsia="zh-CN"/>
        </w:rPr>
        <w:t>喷涂材料的标志、包装、运输和储存应符合下列规定：</w:t>
      </w:r>
    </w:p>
    <w:p>
      <w:pPr>
        <w:ind w:left="418" w:firstLine="422"/>
        <w:rPr>
          <w:rFonts w:cs="Times New Roman"/>
          <w:snapToGrid/>
          <w:sz w:val="21"/>
          <w:lang w:eastAsia="zh-CN"/>
        </w:rPr>
      </w:pPr>
      <w:r>
        <w:rPr>
          <w:rFonts w:cs="Times New Roman"/>
          <w:b/>
          <w:bCs/>
          <w:snapToGrid/>
          <w:sz w:val="21"/>
          <w:lang w:eastAsia="zh-CN"/>
        </w:rPr>
        <w:t>1</w:t>
      </w:r>
      <w:r>
        <w:rPr>
          <w:rFonts w:hint="eastAsia" w:cs="Times New Roman"/>
          <w:snapToGrid/>
          <w:sz w:val="21"/>
          <w:lang w:eastAsia="zh-CN"/>
        </w:rPr>
        <w:t xml:space="preserve"> 包装容器应密封，容器表面应标明材料名称、生产厂名重量、生产编号；</w:t>
      </w:r>
    </w:p>
    <w:p>
      <w:pPr>
        <w:ind w:left="418" w:firstLine="422"/>
        <w:rPr>
          <w:rFonts w:cs="Times New Roman"/>
          <w:snapToGrid/>
          <w:sz w:val="21"/>
          <w:lang w:eastAsia="zh-CN"/>
        </w:rPr>
      </w:pPr>
      <w:r>
        <w:rPr>
          <w:rFonts w:hint="eastAsia" w:cs="Times New Roman"/>
          <w:b/>
          <w:bCs/>
          <w:snapToGrid/>
          <w:sz w:val="21"/>
          <w:lang w:eastAsia="zh-CN"/>
        </w:rPr>
        <w:t>2</w:t>
      </w:r>
      <w:r>
        <w:rPr>
          <w:rFonts w:cs="Times New Roman"/>
          <w:snapToGrid/>
          <w:sz w:val="21"/>
          <w:lang w:eastAsia="zh-CN"/>
        </w:rPr>
        <w:t xml:space="preserve"> </w:t>
      </w:r>
      <w:r>
        <w:rPr>
          <w:rFonts w:hint="eastAsia" w:cs="Times New Roman"/>
          <w:snapToGrid/>
          <w:sz w:val="21"/>
          <w:lang w:eastAsia="zh-CN"/>
        </w:rPr>
        <w:t>喷涂材料应按生产厂商要求或推荐的温度进行运输和分类存放，存放环境应干燥、通风，应避免日晒，并应远离火源。</w:t>
      </w:r>
    </w:p>
    <w:p>
      <w:pPr>
        <w:ind w:firstLine="422"/>
        <w:rPr>
          <w:rFonts w:cs="Times New Roman"/>
          <w:snapToGrid/>
          <w:sz w:val="21"/>
          <w:lang w:eastAsia="zh-CN"/>
        </w:rPr>
      </w:pPr>
      <w:r>
        <w:rPr>
          <w:rFonts w:cs="Times New Roman"/>
          <w:b/>
          <w:bCs/>
          <w:snapToGrid/>
          <w:sz w:val="21"/>
          <w:lang w:eastAsia="zh-CN"/>
        </w:rPr>
        <w:t>4.8.6</w:t>
      </w:r>
      <w:r>
        <w:rPr>
          <w:rFonts w:hint="eastAsia" w:cs="Times New Roman"/>
          <w:snapToGrid/>
          <w:sz w:val="21"/>
          <w:lang w:eastAsia="zh-CN"/>
        </w:rPr>
        <w:t xml:space="preserve"> 排水管道修复用喷涂材料不得对排水水质造成二次污染施工中产生的排放物不得对下游污水处理设施和工艺产生有害影响。</w:t>
      </w:r>
    </w:p>
    <w:p>
      <w:pPr>
        <w:ind w:firstLine="422"/>
        <w:rPr>
          <w:rFonts w:cs="Times New Roman"/>
          <w:snapToGrid/>
          <w:sz w:val="21"/>
          <w:lang w:eastAsia="zh-CN"/>
        </w:rPr>
      </w:pPr>
      <w:r>
        <w:rPr>
          <w:rFonts w:cs="Times New Roman"/>
          <w:b/>
          <w:bCs/>
          <w:snapToGrid/>
          <w:sz w:val="21"/>
          <w:lang w:eastAsia="zh-CN"/>
        </w:rPr>
        <w:t>4.8.7</w:t>
      </w:r>
      <w:r>
        <w:rPr>
          <w:rFonts w:hint="eastAsia" w:cs="Times New Roman"/>
          <w:snapToGrid/>
          <w:sz w:val="21"/>
          <w:lang w:eastAsia="zh-CN"/>
        </w:rPr>
        <w:t xml:space="preserve"> 高分子喷涂材料的施工性能应符合表4.8.7-1的规定粘结性能应符合表4.8.7-2的规定。</w:t>
      </w:r>
    </w:p>
    <w:p>
      <w:pPr>
        <w:ind w:firstLine="420" w:firstLineChars="0"/>
        <w:jc w:val="center"/>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表</w:t>
      </w:r>
      <w:r>
        <w:rPr>
          <w:rFonts w:hint="eastAsia" w:cs="Times New Roman"/>
          <w:snapToGrid/>
          <w:sz w:val="21"/>
          <w:lang w:eastAsia="zh-CN"/>
        </w:rPr>
        <w:t>4.8.7-1</w:t>
      </w:r>
      <w:r>
        <w:rPr>
          <w:rFonts w:hint="eastAsia" w:cs="Times New Roman"/>
          <w:b/>
          <w:bCs/>
          <w:color w:val="000000" w:themeColor="text1"/>
          <w:sz w:val="21"/>
          <w:lang w:eastAsia="zh-CN"/>
          <w14:textFill>
            <w14:solidFill>
              <w14:schemeClr w14:val="tx1"/>
            </w14:solidFill>
          </w14:textFill>
        </w:rPr>
        <w:t xml:space="preserve"> 高分子喷涂材料的施工性能</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1182"/>
        <w:gridCol w:w="1701"/>
        <w:gridCol w:w="3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检测项目</w:t>
            </w:r>
          </w:p>
        </w:tc>
        <w:tc>
          <w:tcPr>
            <w:tcW w:w="1182" w:type="dxa"/>
            <w:vAlign w:val="center"/>
          </w:tcPr>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单位</w:t>
            </w:r>
          </w:p>
        </w:tc>
        <w:tc>
          <w:tcPr>
            <w:tcW w:w="1701" w:type="dxa"/>
            <w:vAlign w:val="center"/>
          </w:tcPr>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性能要求</w:t>
            </w:r>
          </w:p>
        </w:tc>
        <w:tc>
          <w:tcPr>
            <w:tcW w:w="3339" w:type="dxa"/>
            <w:vAlign w:val="center"/>
          </w:tcPr>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测试方式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流挂性能</w:t>
            </w:r>
          </w:p>
        </w:tc>
        <w:tc>
          <w:tcPr>
            <w:tcW w:w="1182"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mm</w:t>
            </w:r>
          </w:p>
        </w:tc>
        <w:tc>
          <w:tcPr>
            <w:tcW w:w="1701"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w:t>
            </w:r>
          </w:p>
        </w:tc>
        <w:tc>
          <w:tcPr>
            <w:tcW w:w="333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现行国家标准</w:t>
            </w:r>
            <w:bookmarkStart w:id="124" w:name="_Hlk196920109"/>
            <w:r>
              <w:rPr>
                <w:rFonts w:cs="Times New Roman"/>
                <w:color w:val="000000" w:themeColor="text1"/>
                <w:sz w:val="21"/>
                <w:lang w:eastAsia="zh-CN"/>
                <w14:textFill>
                  <w14:solidFill>
                    <w14:schemeClr w14:val="tx1"/>
                  </w14:solidFill>
                </w14:textFill>
              </w:rPr>
              <w:t>《色漆和清漆抗流挂性评定》GB/T 9264</w:t>
            </w:r>
            <w:bookmarkEnd w:id="1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表干时间</w:t>
            </w:r>
          </w:p>
        </w:tc>
        <w:tc>
          <w:tcPr>
            <w:tcW w:w="1182"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mm</w:t>
            </w:r>
          </w:p>
        </w:tc>
        <w:tc>
          <w:tcPr>
            <w:tcW w:w="1701"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≤3</w:t>
            </w:r>
          </w:p>
        </w:tc>
        <w:tc>
          <w:tcPr>
            <w:tcW w:w="3339" w:type="dxa"/>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现行国家标准《漆膜、腻子膜干燥时间测定法》GB 1728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硬干时间（可进行CCTV检测时间）</w:t>
            </w:r>
          </w:p>
        </w:tc>
        <w:tc>
          <w:tcPr>
            <w:tcW w:w="1182"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mm</w:t>
            </w:r>
          </w:p>
        </w:tc>
        <w:tc>
          <w:tcPr>
            <w:tcW w:w="1701"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≤10</w:t>
            </w:r>
          </w:p>
        </w:tc>
        <w:tc>
          <w:tcPr>
            <w:tcW w:w="3339" w:type="dxa"/>
            <w:vMerge w:val="continue"/>
            <w:vAlign w:val="center"/>
          </w:tcPr>
          <w:p>
            <w:pPr>
              <w:ind w:firstLine="0" w:firstLineChars="0"/>
              <w:jc w:val="center"/>
              <w:rPr>
                <w:rFonts w:cs="Times New Roman"/>
                <w:b/>
                <w:bCs/>
                <w:color w:val="000000" w:themeColor="text1"/>
                <w:sz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喷涂后可通水时间</w:t>
            </w:r>
          </w:p>
        </w:tc>
        <w:tc>
          <w:tcPr>
            <w:tcW w:w="1182"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mm</w:t>
            </w:r>
          </w:p>
        </w:tc>
        <w:tc>
          <w:tcPr>
            <w:tcW w:w="1701"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≥60</w:t>
            </w:r>
          </w:p>
        </w:tc>
        <w:tc>
          <w:tcPr>
            <w:tcW w:w="3339" w:type="dxa"/>
            <w:vAlign w:val="center"/>
          </w:tcPr>
          <w:p>
            <w:pPr>
              <w:ind w:firstLine="0" w:firstLineChars="0"/>
              <w:jc w:val="center"/>
              <w:rPr>
                <w:rFonts w:cs="Times New Roman"/>
                <w:b/>
                <w:bCs/>
                <w:color w:val="000000" w:themeColor="text1"/>
                <w:sz w:val="21"/>
                <w:lang w:eastAsia="zh-CN"/>
                <w14:textFill>
                  <w14:solidFill>
                    <w14:schemeClr w14:val="tx1"/>
                  </w14:solidFill>
                </w14:textFill>
              </w:rPr>
            </w:pPr>
          </w:p>
        </w:tc>
      </w:tr>
    </w:tbl>
    <w:p>
      <w:pPr>
        <w:ind w:firstLine="420" w:firstLineChars="0"/>
        <w:jc w:val="center"/>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表</w:t>
      </w:r>
      <w:r>
        <w:rPr>
          <w:rFonts w:hint="eastAsia" w:cs="Times New Roman"/>
          <w:snapToGrid/>
          <w:sz w:val="21"/>
          <w:lang w:eastAsia="zh-CN"/>
        </w:rPr>
        <w:t>4.8.7-2</w:t>
      </w:r>
      <w:r>
        <w:rPr>
          <w:rFonts w:hint="eastAsia" w:cs="Times New Roman"/>
          <w:b/>
          <w:bCs/>
          <w:color w:val="000000" w:themeColor="text1"/>
          <w:sz w:val="21"/>
          <w:lang w:eastAsia="zh-CN"/>
          <w14:textFill>
            <w14:solidFill>
              <w14:schemeClr w14:val="tx1"/>
            </w14:solidFill>
          </w14:textFill>
        </w:rPr>
        <w:t xml:space="preserve"> 高分子喷涂材料的粘结性能</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1182"/>
        <w:gridCol w:w="2551"/>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检测项目</w:t>
            </w:r>
          </w:p>
        </w:tc>
        <w:tc>
          <w:tcPr>
            <w:tcW w:w="1182"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单位</w:t>
            </w:r>
          </w:p>
        </w:tc>
        <w:tc>
          <w:tcPr>
            <w:tcW w:w="2551"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性能要求</w:t>
            </w:r>
          </w:p>
        </w:tc>
        <w:tc>
          <w:tcPr>
            <w:tcW w:w="2489" w:type="dxa"/>
            <w:vAlign w:val="center"/>
          </w:tcPr>
          <w:p>
            <w:pPr>
              <w:ind w:firstLine="0" w:firstLineChars="0"/>
              <w:jc w:val="center"/>
              <w:rPr>
                <w:rFonts w:cs="Times New Roman" w:eastAsiaTheme="minorEastAsia"/>
                <w:color w:val="000000" w:themeColor="text1"/>
                <w:sz w:val="21"/>
                <w:lang w:eastAsia="zh-CN"/>
                <w14:textFill>
                  <w14:solidFill>
                    <w14:schemeClr w14:val="tx1"/>
                  </w14:solidFill>
                </w14:textFill>
              </w:rPr>
            </w:pPr>
            <w:r>
              <w:rPr>
                <w:rFonts w:cs="Times New Roman" w:eastAsiaTheme="minorEastAsia"/>
                <w:color w:val="000000" w:themeColor="text1"/>
                <w:sz w:val="21"/>
                <w:lang w:eastAsia="zh-CN"/>
                <w14:textFill>
                  <w14:solidFill>
                    <w14:schemeClr w14:val="tx1"/>
                  </w14:solidFill>
                </w14:textFill>
              </w:rPr>
              <w:t>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混凝土基体</w:t>
            </w:r>
          </w:p>
        </w:tc>
        <w:tc>
          <w:tcPr>
            <w:tcW w:w="1182"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2551"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＞1，或试验时基体破坏</w:t>
            </w:r>
          </w:p>
        </w:tc>
        <w:tc>
          <w:tcPr>
            <w:tcW w:w="2489" w:type="dxa"/>
            <w:vMerge w:val="restart"/>
            <w:vAlign w:val="center"/>
          </w:tcPr>
          <w:p>
            <w:pPr>
              <w:ind w:firstLine="0" w:firstLineChars="0"/>
              <w:jc w:val="center"/>
              <w:rPr>
                <w:rFonts w:cs="Times New Roman" w:eastAsiaTheme="minorEastAsia"/>
                <w:color w:val="000000" w:themeColor="text1"/>
                <w:sz w:val="21"/>
                <w:lang w:eastAsia="zh-CN"/>
                <w14:textFill>
                  <w14:solidFill>
                    <w14:schemeClr w14:val="tx1"/>
                  </w14:solidFill>
                </w14:textFill>
              </w:rPr>
            </w:pPr>
            <w:r>
              <w:rPr>
                <w:rFonts w:cs="Times New Roman" w:eastAsiaTheme="minorEastAsia"/>
                <w:color w:val="000000" w:themeColor="text1"/>
                <w:sz w:val="21"/>
                <w:lang w:eastAsia="zh-CN"/>
                <w14:textFill>
                  <w14:solidFill>
                    <w14:schemeClr w14:val="tx1"/>
                  </w14:solidFill>
                </w14:textFill>
              </w:rPr>
              <w:t>现行国家标准</w:t>
            </w:r>
            <w:bookmarkStart w:id="125" w:name="OLE_LINK116"/>
            <w:r>
              <w:rPr>
                <w:rFonts w:cs="Times New Roman" w:eastAsiaTheme="minorEastAsia"/>
                <w:color w:val="000000" w:themeColor="text1"/>
                <w:sz w:val="21"/>
                <w:lang w:eastAsia="zh-CN"/>
                <w14:textFill>
                  <w14:solidFill>
                    <w14:schemeClr w14:val="tx1"/>
                  </w14:solidFill>
                </w14:textFill>
              </w:rPr>
              <w:t>《色漆和清漆拉开法附着力试验》GB/T</w:t>
            </w:r>
            <w:r>
              <w:rPr>
                <w:rFonts w:hint="eastAsia" w:cs="Times New Roman" w:eastAsiaTheme="minorEastAsia"/>
                <w:color w:val="000000" w:themeColor="text1"/>
                <w:sz w:val="21"/>
                <w:lang w:eastAsia="zh-CN"/>
                <w14:textFill>
                  <w14:solidFill>
                    <w14:schemeClr w14:val="tx1"/>
                  </w14:solidFill>
                </w14:textFill>
              </w:rPr>
              <w:t xml:space="preserve"> </w:t>
            </w:r>
            <w:r>
              <w:rPr>
                <w:rFonts w:cs="Times New Roman" w:eastAsiaTheme="minorEastAsia"/>
                <w:color w:val="000000" w:themeColor="text1"/>
                <w:sz w:val="21"/>
                <w:lang w:eastAsia="zh-CN"/>
                <w14:textFill>
                  <w14:solidFill>
                    <w14:schemeClr w14:val="tx1"/>
                  </w14:solidFill>
                </w14:textFill>
              </w:rPr>
              <w:t>5210</w:t>
            </w:r>
            <w:bookmarkEnd w:id="1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金属基体</w:t>
            </w:r>
          </w:p>
        </w:tc>
        <w:tc>
          <w:tcPr>
            <w:tcW w:w="1182"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2551"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w:t>
            </w:r>
          </w:p>
        </w:tc>
        <w:tc>
          <w:tcPr>
            <w:tcW w:w="2489" w:type="dxa"/>
            <w:vMerge w:val="continue"/>
            <w:vAlign w:val="center"/>
          </w:tcPr>
          <w:p>
            <w:pPr>
              <w:ind w:firstLine="0" w:firstLineChars="0"/>
              <w:jc w:val="center"/>
              <w:rPr>
                <w:rFonts w:cs="Times New Roman"/>
                <w:b/>
                <w:bCs/>
                <w:color w:val="000000" w:themeColor="text1"/>
                <w:sz w:val="21"/>
                <w:lang w:eastAsia="zh-CN"/>
                <w14:textFill>
                  <w14:solidFill>
                    <w14:schemeClr w14:val="tx1"/>
                  </w14:solidFill>
                </w14:textFill>
              </w:rPr>
            </w:pPr>
          </w:p>
        </w:tc>
      </w:tr>
    </w:tbl>
    <w:p>
      <w:pPr>
        <w:ind w:firstLine="422"/>
        <w:rPr>
          <w:rFonts w:cs="Times New Roman"/>
          <w:snapToGrid/>
          <w:sz w:val="21"/>
          <w:lang w:eastAsia="zh-CN"/>
        </w:rPr>
      </w:pPr>
      <w:r>
        <w:rPr>
          <w:rFonts w:cs="Times New Roman"/>
          <w:b/>
          <w:bCs/>
          <w:snapToGrid/>
          <w:sz w:val="21"/>
          <w:lang w:eastAsia="zh-CN"/>
        </w:rPr>
        <w:t>4.8.8</w:t>
      </w:r>
      <w:r>
        <w:rPr>
          <w:rFonts w:hint="eastAsia" w:cs="Times New Roman"/>
          <w:snapToGrid/>
          <w:sz w:val="21"/>
          <w:lang w:eastAsia="zh-CN"/>
        </w:rPr>
        <w:t xml:space="preserve"> 高分子材料喷涂固化后的短期力学性能应符合表4.8.8的规定。</w:t>
      </w:r>
    </w:p>
    <w:p>
      <w:pPr>
        <w:ind w:firstLine="420" w:firstLineChars="0"/>
        <w:jc w:val="center"/>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表4.8.8 高分子材料喷涂固化后的短期力学性能</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检测项目</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单位</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性能要求</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弯曲强度</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＞90</w:t>
            </w:r>
          </w:p>
        </w:tc>
        <w:tc>
          <w:tcPr>
            <w:tcW w:w="2074" w:type="dxa"/>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现行国家标准</w:t>
            </w:r>
            <w:bookmarkStart w:id="126" w:name="_Hlk196920130"/>
            <w:r>
              <w:rPr>
                <w:rFonts w:cs="Times New Roman"/>
                <w:color w:val="000000" w:themeColor="text1"/>
                <w:sz w:val="21"/>
                <w:lang w:eastAsia="zh-CN"/>
                <w14:textFill>
                  <w14:solidFill>
                    <w14:schemeClr w14:val="tx1"/>
                  </w14:solidFill>
                </w14:textFill>
              </w:rPr>
              <w:t>《塑料弯曲性能的测定》GB/T 9341</w:t>
            </w:r>
            <w:bookmarkEnd w:id="1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弯曲模量</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＞2000</w:t>
            </w:r>
          </w:p>
        </w:tc>
        <w:tc>
          <w:tcPr>
            <w:tcW w:w="2074" w:type="dxa"/>
            <w:vMerge w:val="continue"/>
            <w:vAlign w:val="center"/>
          </w:tcPr>
          <w:p>
            <w:pPr>
              <w:ind w:firstLine="0" w:firstLineChars="0"/>
              <w:jc w:val="center"/>
              <w:rPr>
                <w:rFonts w:cs="Times New Roman"/>
                <w:color w:val="000000" w:themeColor="text1"/>
                <w:sz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抗拉强度</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＞30</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现行国家标准《塑料拉伸性能的测定 第2部分：模塑和挤塑塑料的试验条件》GB/T 1040.2</w:t>
            </w:r>
          </w:p>
        </w:tc>
      </w:tr>
    </w:tbl>
    <w:p>
      <w:pPr>
        <w:ind w:firstLine="422"/>
        <w:rPr>
          <w:rFonts w:cs="Times New Roman"/>
          <w:snapToGrid/>
          <w:sz w:val="21"/>
          <w:lang w:eastAsia="zh-CN"/>
        </w:rPr>
      </w:pPr>
      <w:r>
        <w:rPr>
          <w:rFonts w:cs="Times New Roman"/>
          <w:b/>
          <w:bCs/>
          <w:snapToGrid/>
          <w:sz w:val="21"/>
          <w:lang w:eastAsia="zh-CN"/>
        </w:rPr>
        <w:t>4.8.9</w:t>
      </w:r>
      <w:r>
        <w:rPr>
          <w:rFonts w:hint="eastAsia" w:cs="Times New Roman"/>
          <w:snapToGrid/>
          <w:sz w:val="21"/>
          <w:lang w:eastAsia="zh-CN"/>
        </w:rPr>
        <w:t xml:space="preserve"> 高分子材料喷涂固化后，材料的耐化学腐蚀性检验应执行本规程第 4.3.11条的规定。</w:t>
      </w:r>
    </w:p>
    <w:p>
      <w:pPr>
        <w:pStyle w:val="3"/>
        <w:ind w:firstLine="560"/>
        <w:rPr>
          <w:highlight w:val="none"/>
        </w:rPr>
      </w:pPr>
      <w:bookmarkStart w:id="127" w:name="_Toc196915211"/>
      <w:r>
        <w:rPr>
          <w:highlight w:val="none"/>
        </w:rPr>
        <w:t>4.</w:t>
      </w:r>
      <w:r>
        <w:rPr>
          <w:rFonts w:hint="eastAsia"/>
          <w:highlight w:val="none"/>
        </w:rPr>
        <w:t>9</w:t>
      </w:r>
      <w:r>
        <w:rPr>
          <w:highlight w:val="none"/>
        </w:rPr>
        <w:t xml:space="preserve"> 碎裂管法</w:t>
      </w:r>
      <w:bookmarkEnd w:id="127"/>
    </w:p>
    <w:p>
      <w:pPr>
        <w:ind w:firstLine="20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碎裂管法所用材料应符合下列规定：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新管管材宜采用PE实壁管、球墨铸铁管等</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PE实壁管应符合现行国家标准《给水排水用聚乙烯（PE）管材</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第2部分：管材》GB/T 13663</w:t>
      </w:r>
      <w:r>
        <w:rPr>
          <w:rFonts w:hint="eastAsia" w:cs="Times New Roman"/>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的有关规定</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球墨铸铁管应符合现行国家标准</w:t>
      </w:r>
      <w:bookmarkStart w:id="128" w:name="_Hlk196920142"/>
      <w:r>
        <w:rPr>
          <w:rFonts w:cs="Times New Roman"/>
          <w:color w:val="000000" w:themeColor="text1"/>
          <w:sz w:val="21"/>
          <w:lang w:eastAsia="zh-CN"/>
          <w14:textFill>
            <w14:solidFill>
              <w14:schemeClr w14:val="tx1"/>
            </w14:solidFill>
          </w14:textFill>
        </w:rPr>
        <w:t>《污水用球墨铸铁管、管件和附件》GB/T 26081</w:t>
      </w:r>
      <w:bookmarkEnd w:id="128"/>
      <w:r>
        <w:rPr>
          <w:rFonts w:cs="Times New Roman"/>
          <w:color w:val="000000" w:themeColor="text1"/>
          <w:sz w:val="21"/>
          <w:lang w:eastAsia="zh-CN"/>
          <w14:textFill>
            <w14:solidFill>
              <w14:schemeClr w14:val="tx1"/>
            </w14:solidFill>
          </w14:textFill>
        </w:rPr>
        <w:t>的有关规定；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内衬管的接口应采用焊接、机械连接等传力形式；</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当采用牵拉施工时，管材自身的抗拉强度以及接口抗拉强度应满足在施工过程中承受牵引力的要求；</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当采用顶推施工时，管材本身的抗压强度和接口的抗压强度应满足在施工过程中承受顶推力的要求；</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内衬管承载性能不得低于原有管道，应能满足承受施工过程荷载和运行过程中承受内、外部荷载的要求。</w:t>
      </w:r>
    </w:p>
    <w:p>
      <w:pPr>
        <w:ind w:left="420" w:firstLine="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4.9.2</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管道更新应根据不同的管材类型选用不同的施工设备及部件，并应符合下列规定</w:t>
      </w:r>
      <w:r>
        <w:rPr>
          <w:rFonts w:hint="eastAsia" w:cs="Times New Roman"/>
          <w:color w:val="000000" w:themeColor="text1"/>
          <w:sz w:val="21"/>
          <w:lang w:eastAsia="zh-CN"/>
          <w14:textFill>
            <w14:solidFill>
              <w14:schemeClr w14:val="tx1"/>
            </w14:solidFill>
          </w14:textFill>
        </w:rPr>
        <w:t>：</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当待更新管道为脆性管道时，宜采用三角形压裂刀，在破碎头圆周方向按照120</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均匀分布。</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当待更新管道为塑料材质延性管道时，宜采用片式切刀，在破碎头圆周方向按照180°对称布置，切刀刀片最大外沿尺寸应大于原管道外径1.15倍。</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当待更新管道为金属材质延性管道时，宜采用组合式圆盘滚刀组对管道进行线性破裂，最大滚刀外沿尺寸应大于原管道外径1</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2倍。</w:t>
      </w:r>
    </w:p>
    <w:p>
      <w:pPr>
        <w:ind w:firstLine="481" w:firstLineChars="228"/>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气动锤及空气压缩机的型号、参数可按表</w:t>
      </w:r>
      <w:r>
        <w:rPr>
          <w:rFonts w:hint="eastAsia" w:cs="Times New Roman"/>
          <w:color w:val="000000" w:themeColor="text1"/>
          <w:sz w:val="21"/>
          <w:lang w:eastAsia="zh-CN"/>
          <w14:textFill>
            <w14:solidFill>
              <w14:schemeClr w14:val="tx1"/>
            </w14:solidFill>
          </w14:textFill>
        </w:rPr>
        <w:t>4.9</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选择。</w:t>
      </w:r>
    </w:p>
    <w:p>
      <w:pPr>
        <w:widowControl w:val="0"/>
        <w:kinsoku/>
        <w:autoSpaceDE/>
        <w:autoSpaceDN/>
        <w:adjustRightInd/>
        <w:snapToGrid/>
        <w:ind w:firstLine="422"/>
        <w:jc w:val="center"/>
        <w:textAlignment w:val="auto"/>
        <w:rPr>
          <w:rFonts w:cs="Times New Roman"/>
          <w:b/>
          <w:bCs/>
          <w:snapToGrid/>
          <w:color w:val="auto"/>
          <w:kern w:val="2"/>
          <w:sz w:val="21"/>
          <w:lang w:eastAsia="zh-CN"/>
        </w:rPr>
      </w:pPr>
      <w:r>
        <w:rPr>
          <w:rFonts w:cs="Times New Roman"/>
          <w:b/>
          <w:bCs/>
          <w:snapToGrid/>
          <w:color w:val="auto"/>
          <w:kern w:val="2"/>
          <w:sz w:val="21"/>
          <w:lang w:eastAsia="zh-CN"/>
        </w:rPr>
        <w:t>表4.</w:t>
      </w:r>
      <w:r>
        <w:rPr>
          <w:rFonts w:hint="eastAsia" w:cs="Times New Roman"/>
          <w:b/>
          <w:bCs/>
          <w:snapToGrid/>
          <w:color w:val="auto"/>
          <w:kern w:val="2"/>
          <w:sz w:val="21"/>
          <w:lang w:eastAsia="zh-CN"/>
        </w:rPr>
        <w:t>9</w:t>
      </w:r>
      <w:r>
        <w:rPr>
          <w:rFonts w:cs="Times New Roman"/>
          <w:b/>
          <w:bCs/>
          <w:snapToGrid/>
          <w:color w:val="auto"/>
          <w:kern w:val="2"/>
          <w:sz w:val="21"/>
          <w:lang w:eastAsia="zh-CN"/>
        </w:rPr>
        <w:t>.</w:t>
      </w:r>
      <w:r>
        <w:rPr>
          <w:rFonts w:hint="eastAsia" w:cs="Times New Roman"/>
          <w:b/>
          <w:bCs/>
          <w:snapToGrid/>
          <w:color w:val="auto"/>
          <w:kern w:val="2"/>
          <w:sz w:val="21"/>
          <w:lang w:eastAsia="zh-CN"/>
        </w:rPr>
        <w:t>3</w:t>
      </w:r>
      <w:r>
        <w:rPr>
          <w:rFonts w:cs="Times New Roman"/>
          <w:b/>
          <w:bCs/>
          <w:snapToGrid/>
          <w:color w:val="auto"/>
          <w:kern w:val="2"/>
          <w:sz w:val="21"/>
          <w:lang w:eastAsia="zh-CN"/>
        </w:rPr>
        <w:t xml:space="preserve"> 气动锤与空压机型号选择</w:t>
      </w:r>
    </w:p>
    <w:tbl>
      <w:tblPr>
        <w:tblStyle w:val="3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92"/>
        <w:gridCol w:w="1313"/>
        <w:gridCol w:w="1311"/>
        <w:gridCol w:w="1313"/>
        <w:gridCol w:w="1313"/>
        <w:gridCol w:w="16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934"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气动锤型号</w:t>
            </w:r>
          </w:p>
        </w:tc>
        <w:tc>
          <w:tcPr>
            <w:tcW w:w="770"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180型</w:t>
            </w:r>
          </w:p>
        </w:tc>
        <w:tc>
          <w:tcPr>
            <w:tcW w:w="769"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270型</w:t>
            </w:r>
          </w:p>
        </w:tc>
        <w:tc>
          <w:tcPr>
            <w:tcW w:w="770"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350型</w:t>
            </w:r>
          </w:p>
        </w:tc>
        <w:tc>
          <w:tcPr>
            <w:tcW w:w="770"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450型</w:t>
            </w:r>
          </w:p>
        </w:tc>
        <w:tc>
          <w:tcPr>
            <w:tcW w:w="986"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600型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4"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适用管径</w:t>
            </w:r>
          </w:p>
        </w:tc>
        <w:tc>
          <w:tcPr>
            <w:tcW w:w="770"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DN200~DN300</w:t>
            </w:r>
          </w:p>
        </w:tc>
        <w:tc>
          <w:tcPr>
            <w:tcW w:w="769"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DN300~DN400</w:t>
            </w:r>
          </w:p>
        </w:tc>
        <w:tc>
          <w:tcPr>
            <w:tcW w:w="770"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DN400~DN700</w:t>
            </w:r>
          </w:p>
        </w:tc>
        <w:tc>
          <w:tcPr>
            <w:tcW w:w="770"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DN700~DN900</w:t>
            </w:r>
          </w:p>
        </w:tc>
        <w:tc>
          <w:tcPr>
            <w:tcW w:w="986"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DN900~DN1200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4" w:type="pct"/>
            <w:vAlign w:val="center"/>
          </w:tcPr>
          <w:p>
            <w:pPr>
              <w:widowControl w:val="0"/>
              <w:kinsoku/>
              <w:autoSpaceDE/>
              <w:autoSpaceDN/>
              <w:adjustRightInd/>
              <w:snapToGrid/>
              <w:ind w:firstLine="0" w:firstLineChars="0"/>
              <w:jc w:val="center"/>
              <w:textAlignment w:val="auto"/>
              <w:rPr>
                <w:rFonts w:cs="Times New Roman" w:eastAsiaTheme="minorEastAsia"/>
                <w:snapToGrid/>
                <w:color w:val="auto"/>
                <w:kern w:val="2"/>
                <w:sz w:val="21"/>
                <w:lang w:eastAsia="zh-CN"/>
              </w:rPr>
            </w:pPr>
            <w:r>
              <w:rPr>
                <w:rFonts w:eastAsia="Times New Roman" w:cs="Times New Roman"/>
                <w:snapToGrid/>
                <w:color w:val="auto"/>
                <w:kern w:val="2"/>
                <w:sz w:val="21"/>
                <w:lang w:eastAsia="zh-CN"/>
              </w:rPr>
              <w:t>空压机排量</w:t>
            </w:r>
          </w:p>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（m³/min）</w:t>
            </w:r>
          </w:p>
        </w:tc>
        <w:tc>
          <w:tcPr>
            <w:tcW w:w="770"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11</w:t>
            </w:r>
          </w:p>
        </w:tc>
        <w:tc>
          <w:tcPr>
            <w:tcW w:w="769"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16</w:t>
            </w:r>
          </w:p>
        </w:tc>
        <w:tc>
          <w:tcPr>
            <w:tcW w:w="770"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21</w:t>
            </w:r>
          </w:p>
        </w:tc>
        <w:tc>
          <w:tcPr>
            <w:tcW w:w="770"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30</w:t>
            </w:r>
          </w:p>
        </w:tc>
        <w:tc>
          <w:tcPr>
            <w:tcW w:w="986" w:type="pct"/>
            <w:vAlign w:val="center"/>
          </w:tcPr>
          <w:p>
            <w:pPr>
              <w:widowControl w:val="0"/>
              <w:kinsoku/>
              <w:autoSpaceDE/>
              <w:autoSpaceDN/>
              <w:adjustRightInd/>
              <w:snapToGrid/>
              <w:ind w:firstLine="0" w:firstLineChars="0"/>
              <w:jc w:val="center"/>
              <w:textAlignment w:val="auto"/>
              <w:rPr>
                <w:rFonts w:eastAsia="Times New Roman" w:cs="Times New Roman"/>
                <w:snapToGrid/>
                <w:color w:val="auto"/>
                <w:kern w:val="2"/>
                <w:sz w:val="21"/>
                <w:lang w:eastAsia="zh-CN"/>
              </w:rPr>
            </w:pPr>
            <w:r>
              <w:rPr>
                <w:rFonts w:eastAsia="Times New Roman" w:cs="Times New Roman"/>
                <w:snapToGrid/>
                <w:color w:val="auto"/>
                <w:kern w:val="2"/>
                <w:sz w:val="21"/>
                <w:lang w:eastAsia="zh-CN"/>
              </w:rPr>
              <w:t>50</w:t>
            </w:r>
          </w:p>
        </w:tc>
      </w:tr>
    </w:tbl>
    <w:p>
      <w:pPr>
        <w:ind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注：空气压缩机应选用工作压力为0.7MPa 的螺杆式空压机。</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气动碎裂管割裂爆管头组合装置，依据不同管径可分为气动锤前置式和气动锤后置式，割裂爆管头组合装置应在施工前制作，并应与工程相适应。</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当采用短管置换法施工时，应依据管径、材质、长度、土质特征以及检查井空间尺寸等参数配套施工设备。</w:t>
      </w:r>
    </w:p>
    <w:p>
      <w:pPr>
        <w:kinsoku/>
        <w:autoSpaceDE/>
        <w:autoSpaceDN/>
        <w:adjustRightInd/>
        <w:snapToGrid/>
        <w:spacing w:line="240" w:lineRule="auto"/>
        <w:ind w:firstLine="0" w:firstLineChars="0"/>
        <w:jc w:val="left"/>
        <w:textAlignment w:val="auto"/>
        <w:rPr>
          <w:rFonts w:eastAsia="黑体" w:cs="Times New Roman"/>
          <w:b/>
          <w:bCs/>
          <w:color w:val="000000" w:themeColor="text1"/>
          <w:sz w:val="32"/>
          <w:szCs w:val="32"/>
          <w:lang w:eastAsia="zh-CN"/>
          <w14:textFill>
            <w14:solidFill>
              <w14:schemeClr w14:val="tx1"/>
            </w14:solidFill>
          </w14:textFill>
        </w:rPr>
      </w:pPr>
      <w:r>
        <w:rPr>
          <w:rFonts w:eastAsia="黑体" w:cs="Times New Roman"/>
          <w:color w:val="000000" w:themeColor="text1"/>
          <w:lang w:eastAsia="zh-CN"/>
          <w14:textFill>
            <w14:solidFill>
              <w14:schemeClr w14:val="tx1"/>
            </w14:solidFill>
          </w14:textFill>
        </w:rPr>
        <w:br w:type="page"/>
      </w:r>
    </w:p>
    <w:p>
      <w:pPr>
        <w:pStyle w:val="15"/>
        <w:ind w:firstLine="723"/>
        <w:rPr>
          <w:rFonts w:ascii="Times New Roman" w:hAnsi="Times New Roman" w:eastAsia="黑体" w:cs="Times New Roman"/>
          <w:color w:val="000000" w:themeColor="text1"/>
          <w:sz w:val="36"/>
          <w:szCs w:val="36"/>
          <w:lang w:eastAsia="zh-CN"/>
          <w14:textFill>
            <w14:solidFill>
              <w14:schemeClr w14:val="tx1"/>
            </w14:solidFill>
          </w14:textFill>
        </w:rPr>
      </w:pPr>
      <w:bookmarkStart w:id="129" w:name="_Toc196915212"/>
      <w:r>
        <w:rPr>
          <w:rFonts w:hint="eastAsia" w:ascii="Times New Roman" w:hAnsi="Times New Roman" w:eastAsia="黑体" w:cs="Times New Roman"/>
          <w:color w:val="000000" w:themeColor="text1"/>
          <w:sz w:val="36"/>
          <w:szCs w:val="36"/>
          <w:lang w:eastAsia="zh-CN"/>
          <w14:textFill>
            <w14:solidFill>
              <w14:schemeClr w14:val="tx1"/>
            </w14:solidFill>
          </w14:textFill>
        </w:rPr>
        <w:t>5</w:t>
      </w:r>
      <w:r>
        <w:rPr>
          <w:rFonts w:ascii="Times New Roman" w:hAnsi="Times New Roman" w:eastAsia="黑体" w:cs="Times New Roman"/>
          <w:color w:val="000000" w:themeColor="text1"/>
          <w:sz w:val="36"/>
          <w:szCs w:val="36"/>
          <w:lang w:eastAsia="zh-CN"/>
          <w14:textFill>
            <w14:solidFill>
              <w14:schemeClr w14:val="tx1"/>
            </w14:solidFill>
          </w14:textFill>
        </w:rPr>
        <w:t xml:space="preserve"> </w:t>
      </w:r>
      <w:r>
        <w:rPr>
          <w:rFonts w:hint="eastAsia" w:ascii="Times New Roman" w:hAnsi="Times New Roman" w:eastAsia="黑体" w:cs="Times New Roman"/>
          <w:color w:val="000000" w:themeColor="text1"/>
          <w:sz w:val="36"/>
          <w:szCs w:val="36"/>
          <w:lang w:eastAsia="zh-CN"/>
          <w14:textFill>
            <w14:solidFill>
              <w14:schemeClr w14:val="tx1"/>
            </w14:solidFill>
          </w14:textFill>
        </w:rPr>
        <w:t>功能性修复与预处理</w:t>
      </w:r>
      <w:bookmarkEnd w:id="129"/>
    </w:p>
    <w:p>
      <w:pPr>
        <w:pStyle w:val="3"/>
        <w:ind w:firstLine="560"/>
      </w:pPr>
      <w:bookmarkStart w:id="130" w:name="_Toc196915213"/>
      <w:r>
        <w:rPr>
          <w:rFonts w:hint="eastAsia"/>
        </w:rPr>
        <w:t>5</w:t>
      </w:r>
      <w:r>
        <w:t>.1 一般规定</w:t>
      </w:r>
      <w:bookmarkEnd w:id="130"/>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5.1.1</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管道非开挖修复工程施工前应对原有管道进行</w:t>
      </w:r>
      <w:r>
        <w:rPr>
          <w:rFonts w:hint="eastAsia" w:cs="Times New Roman"/>
          <w:color w:val="000000" w:themeColor="text1"/>
          <w:sz w:val="21"/>
          <w:lang w:eastAsia="zh-CN"/>
          <w14:textFill>
            <w14:solidFill>
              <w14:schemeClr w14:val="tx1"/>
            </w14:solidFill>
          </w14:textFill>
        </w:rPr>
        <w:t>功能性缺陷修复及</w:t>
      </w:r>
      <w:r>
        <w:rPr>
          <w:rFonts w:cs="Times New Roman"/>
          <w:color w:val="000000" w:themeColor="text1"/>
          <w:sz w:val="21"/>
          <w:lang w:eastAsia="zh-CN"/>
          <w14:textFill>
            <w14:solidFill>
              <w14:schemeClr w14:val="tx1"/>
            </w14:solidFill>
          </w14:textFill>
        </w:rPr>
        <w:t>预处理</w:t>
      </w:r>
      <w:r>
        <w:rPr>
          <w:rFonts w:hint="eastAsia" w:cs="Times New Roman"/>
          <w:color w:val="000000" w:themeColor="text1"/>
          <w:sz w:val="21"/>
          <w:lang w:eastAsia="zh-CN"/>
          <w14:textFill>
            <w14:solidFill>
              <w14:schemeClr w14:val="tx1"/>
            </w14:solidFill>
          </w14:textFill>
        </w:rPr>
        <w:t>。功能性缺陷修复措施包括管内沉积物、管内结垢、管内障碍物（异物、树根、障碍物、残墙、坝根）、浮渣清除；</w:t>
      </w:r>
      <w:r>
        <w:rPr>
          <w:rFonts w:cs="Times New Roman"/>
          <w:color w:val="000000" w:themeColor="text1"/>
          <w:sz w:val="21"/>
          <w:lang w:eastAsia="zh-CN"/>
          <w14:textFill>
            <w14:solidFill>
              <w14:schemeClr w14:val="tx1"/>
            </w14:solidFill>
          </w14:textFill>
        </w:rPr>
        <w:t>预处理措施包括土体注浆加固、裂缝嵌补</w:t>
      </w:r>
      <w:r>
        <w:rPr>
          <w:rFonts w:hint="eastAsia" w:cs="Times New Roman"/>
          <w:color w:val="000000" w:themeColor="text1"/>
          <w:sz w:val="21"/>
          <w:lang w:eastAsia="zh-CN"/>
          <w14:textFill>
            <w14:solidFill>
              <w14:schemeClr w14:val="tx1"/>
            </w14:solidFill>
          </w14:textFill>
        </w:rPr>
        <w:t>、堵漏、复圆、错口及脱节修复</w:t>
      </w:r>
      <w:r>
        <w:rPr>
          <w:rFonts w:cs="Times New Roman"/>
          <w:color w:val="000000" w:themeColor="text1"/>
          <w:sz w:val="21"/>
          <w:lang w:eastAsia="zh-CN"/>
          <w14:textFill>
            <w14:solidFill>
              <w14:schemeClr w14:val="tx1"/>
            </w14:solidFill>
          </w14:textFill>
        </w:rPr>
        <w:t>等。</w:t>
      </w:r>
    </w:p>
    <w:p>
      <w:pPr>
        <w:ind w:firstLine="420" w:firstLineChars="0"/>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5</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管道内衬施工前应按现行行业标准《城镇排水管渠与泵站运行、维护及安全技术规程》CJJ 68的有关规定对修复管段进行封堵排水作业。封堵排水应得到排水管理单位批准，并做好临时排水措施。</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5</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w:t>
      </w:r>
      <w:r>
        <w:rPr>
          <w:rFonts w:cs="Times New Roman"/>
          <w:b/>
          <w:bCs/>
          <w:color w:val="000000" w:themeColor="text1"/>
          <w:sz w:val="21"/>
          <w:lang w:eastAsia="zh-CN"/>
          <w14:textFill>
            <w14:solidFill>
              <w14:schemeClr w14:val="tx1"/>
            </w14:solidFill>
          </w14:textFill>
        </w:rPr>
        <w:t xml:space="preserve">3 </w:t>
      </w:r>
      <w:r>
        <w:rPr>
          <w:rFonts w:cs="Times New Roman"/>
          <w:color w:val="000000" w:themeColor="text1"/>
          <w:sz w:val="21"/>
          <w:lang w:eastAsia="zh-CN"/>
          <w14:textFill>
            <w14:solidFill>
              <w14:schemeClr w14:val="tx1"/>
            </w14:solidFill>
          </w14:textFill>
        </w:rPr>
        <w:t>管道清洗宜采用高压水射流，必要时辅以清洗剂，清洗产生的废水应排入污水管道，污物应按管渠污泥的要求进行处理处置；清洗时，应避免高压水射流对管道造成损伤和破坏；采用喷涂法修复时，高压水枪应有足够压力，冲洗后所有基底应清洁、坚固并有足够的粗糙度，粗骨料应裸露。</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5</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1.4</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对于结构性缺陷等级</w:t>
      </w:r>
      <w:r>
        <w:rPr>
          <w:rFonts w:hint="eastAsia" w:cs="Times New Roman"/>
          <w:color w:val="000000" w:themeColor="text1"/>
          <w:sz w:val="21"/>
          <w:lang w:eastAsia="zh-CN"/>
          <w14:textFill>
            <w14:solidFill>
              <w14:schemeClr w14:val="tx1"/>
            </w14:solidFill>
          </w14:textFill>
        </w:rPr>
        <w:t>达到2级及以上</w:t>
      </w:r>
      <w:r>
        <w:rPr>
          <w:rFonts w:cs="Times New Roman"/>
          <w:color w:val="000000" w:themeColor="text1"/>
          <w:sz w:val="21"/>
          <w:lang w:eastAsia="zh-CN"/>
          <w14:textFill>
            <w14:solidFill>
              <w14:schemeClr w14:val="tx1"/>
            </w14:solidFill>
          </w14:textFill>
        </w:rPr>
        <w:t>的管道，在修复前宜采用裂缝嵌补、土体注浆等方法进行止水或加固，并</w:t>
      </w:r>
      <w:r>
        <w:rPr>
          <w:rFonts w:hint="eastAsia" w:cs="Times New Roman"/>
          <w:color w:val="000000" w:themeColor="text1"/>
          <w:sz w:val="21"/>
          <w:lang w:eastAsia="zh-CN"/>
          <w14:textFill>
            <w14:solidFill>
              <w14:schemeClr w14:val="tx1"/>
            </w14:solidFill>
          </w14:textFill>
        </w:rPr>
        <w:t>宜</w:t>
      </w:r>
      <w:r>
        <w:rPr>
          <w:rFonts w:cs="Times New Roman"/>
          <w:color w:val="000000" w:themeColor="text1"/>
          <w:sz w:val="21"/>
          <w:lang w:eastAsia="zh-CN"/>
          <w14:textFill>
            <w14:solidFill>
              <w14:schemeClr w14:val="tx1"/>
            </w14:solidFill>
          </w14:textFill>
        </w:rPr>
        <w:t>进行预处理专项设计。</w:t>
      </w:r>
    </w:p>
    <w:p>
      <w:pPr>
        <w:ind w:firstLine="420" w:firstLineChars="0"/>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5.1.5</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管道</w:t>
      </w:r>
      <w:r>
        <w:rPr>
          <w:rFonts w:hint="eastAsia" w:cs="Times New Roman"/>
          <w:color w:val="000000" w:themeColor="text1"/>
          <w:sz w:val="21"/>
          <w:lang w:eastAsia="zh-CN"/>
          <w14:textFill>
            <w14:solidFill>
              <w14:schemeClr w14:val="tx1"/>
            </w14:solidFill>
          </w14:textFill>
        </w:rPr>
        <w:t>非开挖修复方法</w:t>
      </w:r>
      <w:r>
        <w:rPr>
          <w:rFonts w:cs="Times New Roman"/>
          <w:color w:val="000000" w:themeColor="text1"/>
          <w:sz w:val="21"/>
          <w:lang w:eastAsia="zh-CN"/>
          <w14:textFill>
            <w14:solidFill>
              <w14:schemeClr w14:val="tx1"/>
            </w14:solidFill>
          </w14:textFill>
        </w:rPr>
        <w:t>预处理</w:t>
      </w:r>
      <w:r>
        <w:rPr>
          <w:rFonts w:hint="eastAsia" w:cs="Times New Roman"/>
          <w:color w:val="000000" w:themeColor="text1"/>
          <w:sz w:val="21"/>
          <w:lang w:eastAsia="zh-CN"/>
          <w14:textFill>
            <w14:solidFill>
              <w14:schemeClr w14:val="tx1"/>
            </w14:solidFill>
          </w14:textFill>
        </w:rPr>
        <w:t>的质量</w:t>
      </w:r>
      <w:r>
        <w:rPr>
          <w:rFonts w:cs="Times New Roman"/>
          <w:color w:val="000000" w:themeColor="text1"/>
          <w:sz w:val="21"/>
          <w:lang w:eastAsia="zh-CN"/>
          <w14:textFill>
            <w14:solidFill>
              <w14:schemeClr w14:val="tx1"/>
            </w14:solidFill>
          </w14:textFill>
        </w:rPr>
        <w:t>应符合表</w:t>
      </w:r>
      <w:r>
        <w:rPr>
          <w:rFonts w:hint="eastAsia" w:cs="Times New Roman"/>
          <w:color w:val="000000" w:themeColor="text1"/>
          <w:sz w:val="21"/>
          <w:lang w:eastAsia="zh-CN"/>
          <w14:textFill>
            <w14:solidFill>
              <w14:schemeClr w14:val="tx1"/>
            </w14:solidFill>
          </w14:textFill>
        </w:rPr>
        <w:t>5.1.5</w:t>
      </w:r>
      <w:r>
        <w:rPr>
          <w:rFonts w:cs="Times New Roman"/>
          <w:color w:val="000000" w:themeColor="text1"/>
          <w:sz w:val="21"/>
          <w:lang w:eastAsia="zh-CN"/>
          <w14:textFill>
            <w14:solidFill>
              <w14:schemeClr w14:val="tx1"/>
            </w14:solidFill>
          </w14:textFill>
        </w:rPr>
        <w:t>的规定。</w:t>
      </w:r>
    </w:p>
    <w:p>
      <w:pPr>
        <w:ind w:firstLine="420" w:firstLineChars="0"/>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5.1.5</w:t>
      </w:r>
      <w:r>
        <w:rPr>
          <w:rFonts w:cs="Times New Roman"/>
          <w:b/>
          <w:bCs/>
          <w:color w:val="000000" w:themeColor="text1"/>
          <w:sz w:val="21"/>
          <w:lang w:eastAsia="zh-CN"/>
          <w14:textFill>
            <w14:solidFill>
              <w14:schemeClr w14:val="tx1"/>
            </w14:solidFill>
          </w14:textFill>
        </w:rPr>
        <w:t xml:space="preserve"> 管道预处理的</w:t>
      </w:r>
      <w:r>
        <w:rPr>
          <w:rFonts w:hint="eastAsia" w:cs="Times New Roman"/>
          <w:b/>
          <w:bCs/>
          <w:color w:val="000000" w:themeColor="text1"/>
          <w:sz w:val="21"/>
          <w:lang w:eastAsia="zh-CN"/>
          <w14:textFill>
            <w14:solidFill>
              <w14:schemeClr w14:val="tx1"/>
            </w14:solidFill>
          </w14:textFill>
        </w:rPr>
        <w:t>质量</w:t>
      </w:r>
      <w:r>
        <w:rPr>
          <w:rFonts w:cs="Times New Roman"/>
          <w:b/>
          <w:bCs/>
          <w:color w:val="000000" w:themeColor="text1"/>
          <w:sz w:val="21"/>
          <w:lang w:eastAsia="zh-CN"/>
          <w14:textFill>
            <w14:solidFill>
              <w14:schemeClr w14:val="tx1"/>
            </w14:solidFill>
          </w14:textFill>
        </w:rPr>
        <w:t>要求</w:t>
      </w:r>
    </w:p>
    <w:tbl>
      <w:tblPr>
        <w:tblStyle w:val="1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42"/>
        <w:gridCol w:w="64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98"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非开挖修复方法</w:t>
            </w:r>
          </w:p>
        </w:tc>
        <w:tc>
          <w:tcPr>
            <w:tcW w:w="3802"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质量</w:t>
            </w:r>
            <w:r>
              <w:rPr>
                <w:rFonts w:cs="Times New Roman"/>
                <w:color w:val="000000" w:themeColor="text1"/>
                <w:sz w:val="21"/>
                <w:lang w:eastAsia="zh-CN"/>
                <w14:textFill>
                  <w14:solidFill>
                    <w14:schemeClr w14:val="tx1"/>
                  </w14:solidFill>
                </w14:textFill>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98"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不锈钢双胀环法</w:t>
            </w:r>
          </w:p>
        </w:tc>
        <w:tc>
          <w:tcPr>
            <w:tcW w:w="3802" w:type="pct"/>
            <w:vMerge w:val="restar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基体表面应坚实、干燥，不得有松散附着物及锈蚀、渗水现象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98"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不锈钢快速锁法</w:t>
            </w:r>
          </w:p>
        </w:tc>
        <w:tc>
          <w:tcPr>
            <w:tcW w:w="3802" w:type="pct"/>
            <w:vMerge w:val="continue"/>
            <w:vAlign w:val="center"/>
          </w:tcPr>
          <w:p>
            <w:pPr>
              <w:ind w:firstLine="420" w:firstLineChars="0"/>
              <w:jc w:val="center"/>
              <w:rPr>
                <w:rFonts w:cs="Times New Roman"/>
                <w:color w:val="000000" w:themeColor="text1"/>
                <w:sz w:val="21"/>
                <w:lang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98"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原位固化法</w:t>
            </w:r>
          </w:p>
        </w:tc>
        <w:tc>
          <w:tcPr>
            <w:tcW w:w="3802"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管道表面应无明显附着物、尖锐毛刺及凸起物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98"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螺旋缠绕</w:t>
            </w:r>
            <w:r>
              <w:rPr>
                <w:rFonts w:hint="eastAsia" w:cs="Times New Roman"/>
                <w:color w:val="000000" w:themeColor="text1"/>
                <w:sz w:val="21"/>
                <w:lang w:eastAsia="zh-CN"/>
                <w14:textFill>
                  <w14:solidFill>
                    <w14:schemeClr w14:val="tx1"/>
                  </w14:solidFill>
                </w14:textFill>
              </w:rPr>
              <w:t>内衬</w:t>
            </w:r>
            <w:r>
              <w:rPr>
                <w:rFonts w:cs="Times New Roman"/>
                <w:color w:val="000000" w:themeColor="text1"/>
                <w:sz w:val="21"/>
                <w:lang w:eastAsia="zh-CN"/>
                <w14:textFill>
                  <w14:solidFill>
                    <w14:schemeClr w14:val="tx1"/>
                  </w14:solidFill>
                </w14:textFill>
              </w:rPr>
              <w:t>法</w:t>
            </w:r>
          </w:p>
        </w:tc>
        <w:tc>
          <w:tcPr>
            <w:tcW w:w="3802"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管道内应无沉积、结垢和障碍物，水深不应超过管径的20％</w:t>
            </w:r>
            <w:r>
              <w:rPr>
                <w:rFonts w:hint="eastAsia" w:cs="Times New Roman"/>
                <w:color w:val="000000" w:themeColor="text1"/>
                <w:sz w:val="21"/>
                <w:lang w:eastAsia="zh-CN"/>
                <w14:textFill>
                  <w14:solidFill>
                    <w14:schemeClr w14:val="tx1"/>
                  </w14:solidFill>
                </w14:textFill>
              </w:rPr>
              <w:t>，且不得超过400mm。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98" w:type="pct"/>
            <w:shd w:val="clear" w:color="auto" w:fill="auto"/>
            <w:vAlign w:val="center"/>
          </w:tcPr>
          <w:p>
            <w:pPr>
              <w:ind w:firstLine="0" w:firstLineChars="0"/>
              <w:jc w:val="center"/>
              <w:rPr>
                <w:rFonts w:cs="Times New Roman"/>
                <w:color w:val="000000" w:themeColor="text1"/>
                <w:sz w:val="21"/>
                <w:highlight w:val="none"/>
                <w:lang w:eastAsia="zh-CN"/>
                <w14:textFill>
                  <w14:solidFill>
                    <w14:schemeClr w14:val="tx1"/>
                  </w14:solidFill>
                </w14:textFill>
              </w:rPr>
            </w:pPr>
            <w:r>
              <w:rPr>
                <w:rFonts w:cs="Times New Roman"/>
                <w:color w:val="000000" w:themeColor="text1"/>
                <w:sz w:val="21"/>
                <w:highlight w:val="none"/>
                <w:lang w:eastAsia="zh-CN"/>
                <w14:textFill>
                  <w14:solidFill>
                    <w14:schemeClr w14:val="tx1"/>
                  </w14:solidFill>
                </w14:textFill>
              </w:rPr>
              <w:t>碎（裂）管法</w:t>
            </w:r>
          </w:p>
        </w:tc>
        <w:tc>
          <w:tcPr>
            <w:tcW w:w="3802" w:type="pct"/>
            <w:shd w:val="clear" w:color="auto" w:fill="auto"/>
            <w:vAlign w:val="center"/>
          </w:tcPr>
          <w:p>
            <w:pPr>
              <w:ind w:firstLine="0" w:firstLineChars="0"/>
              <w:jc w:val="center"/>
              <w:rPr>
                <w:rFonts w:cs="Times New Roman"/>
                <w:color w:val="000000" w:themeColor="text1"/>
                <w:sz w:val="21"/>
                <w:highlight w:val="none"/>
                <w:lang w:eastAsia="zh-CN"/>
                <w14:textFill>
                  <w14:solidFill>
                    <w14:schemeClr w14:val="tx1"/>
                  </w14:solidFill>
                </w14:textFill>
              </w:rPr>
            </w:pPr>
            <w:r>
              <w:rPr>
                <w:rFonts w:cs="Times New Roman"/>
                <w:color w:val="000000" w:themeColor="text1"/>
                <w:sz w:val="21"/>
                <w:highlight w:val="none"/>
                <w:lang w:eastAsia="zh-CN"/>
                <w14:textFill>
                  <w14:solidFill>
                    <w14:schemeClr w14:val="tx1"/>
                  </w14:solidFill>
                </w14:textFill>
              </w:rPr>
              <w:t>原有管道应无堵塞，宜排除积水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98"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原位</w:t>
            </w:r>
            <w:r>
              <w:rPr>
                <w:rFonts w:cs="Times New Roman"/>
                <w:color w:val="000000" w:themeColor="text1"/>
                <w:sz w:val="21"/>
                <w:lang w:eastAsia="zh-CN"/>
                <w14:textFill>
                  <w14:solidFill>
                    <w14:schemeClr w14:val="tx1"/>
                  </w14:solidFill>
                </w14:textFill>
              </w:rPr>
              <w:t>热塑成型法</w:t>
            </w:r>
          </w:p>
        </w:tc>
        <w:tc>
          <w:tcPr>
            <w:tcW w:w="3802"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管道内应无沉积、结垢和障碍物，基面应平整圆顺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98"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短管</w:t>
            </w:r>
            <w:r>
              <w:rPr>
                <w:rFonts w:cs="Times New Roman"/>
                <w:color w:val="000000" w:themeColor="text1"/>
                <w:sz w:val="21"/>
                <w:lang w:eastAsia="zh-CN"/>
                <w14:textFill>
                  <w14:solidFill>
                    <w14:schemeClr w14:val="tx1"/>
                  </w14:solidFill>
                </w14:textFill>
              </w:rPr>
              <w:t>内衬法</w:t>
            </w:r>
          </w:p>
        </w:tc>
        <w:tc>
          <w:tcPr>
            <w:tcW w:w="3802"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管道内应无沉积、结垢和障碍物</w:t>
            </w:r>
            <w:r>
              <w:rPr>
                <w:rFonts w:hint="eastAsia" w:cs="Times New Roman"/>
                <w:color w:val="000000" w:themeColor="text1"/>
                <w:sz w:val="21"/>
                <w:lang w:eastAsia="zh-CN"/>
                <w14:textFill>
                  <w14:solidFill>
                    <w14:schemeClr w14:val="tx1"/>
                  </w14:solidFill>
                </w14:textFill>
              </w:rPr>
              <w:t>，管道内壁表面应洁净，底部</w:t>
            </w:r>
            <w:r>
              <w:rPr>
                <w:rFonts w:cs="Times New Roman"/>
                <w:color w:val="000000" w:themeColor="text1"/>
                <w:sz w:val="21"/>
                <w:lang w:eastAsia="zh-CN"/>
                <w14:textFill>
                  <w14:solidFill>
                    <w14:schemeClr w14:val="tx1"/>
                  </w14:solidFill>
                </w14:textFill>
              </w:rPr>
              <w:t>135°</w:t>
            </w:r>
            <w:r>
              <w:rPr>
                <w:rFonts w:hint="eastAsia" w:cs="Times New Roman"/>
                <w:color w:val="000000" w:themeColor="text1"/>
                <w:sz w:val="21"/>
                <w:lang w:eastAsia="zh-CN"/>
                <w14:textFill>
                  <w14:solidFill>
                    <w14:schemeClr w14:val="tx1"/>
                  </w14:solidFill>
                </w14:textFill>
              </w:rPr>
              <w:t>范围内应无附着物以及可能划伤管道的尖锐毛刺、凸起硬物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98"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喷</w:t>
            </w:r>
            <w:r>
              <w:rPr>
                <w:rFonts w:hint="eastAsia" w:cs="Times New Roman"/>
                <w:color w:val="000000" w:themeColor="text1"/>
                <w:sz w:val="21"/>
                <w:lang w:eastAsia="zh-CN"/>
                <w14:textFill>
                  <w14:solidFill>
                    <w14:schemeClr w14:val="tx1"/>
                  </w14:solidFill>
                </w14:textFill>
              </w:rPr>
              <w:t>涂</w:t>
            </w:r>
            <w:r>
              <w:rPr>
                <w:rFonts w:cs="Times New Roman"/>
                <w:color w:val="000000" w:themeColor="text1"/>
                <w:sz w:val="21"/>
                <w:lang w:eastAsia="zh-CN"/>
                <w14:textFill>
                  <w14:solidFill>
                    <w14:schemeClr w14:val="tx1"/>
                  </w14:solidFill>
                </w14:textFill>
              </w:rPr>
              <w:t>法</w:t>
            </w:r>
          </w:p>
        </w:tc>
        <w:tc>
          <w:tcPr>
            <w:tcW w:w="3802" w:type="pct"/>
            <w:shd w:val="clear" w:color="auto" w:fill="auto"/>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管道内应无漏水，管道表面应润湿和粗糙</w:t>
            </w:r>
          </w:p>
        </w:tc>
      </w:tr>
    </w:tbl>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5.1.6 </w:t>
      </w:r>
      <w:r>
        <w:rPr>
          <w:rFonts w:hint="eastAsia" w:cs="Times New Roman"/>
          <w:color w:val="000000" w:themeColor="text1"/>
          <w:sz w:val="21"/>
          <w:lang w:eastAsia="zh-CN"/>
          <w14:textFill>
            <w14:solidFill>
              <w14:schemeClr w14:val="tx1"/>
            </w14:solidFill>
          </w14:textFill>
        </w:rPr>
        <w:t>管道预处理清洗产生的污水和污物应从检查井内排出，污水和污物处理应按现行行业标准《城镇排水管渠与泵站运行、维护及安全技术规程》CJJ 68的有关规定执行。</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5.1.7 </w:t>
      </w:r>
      <w:r>
        <w:rPr>
          <w:rFonts w:hint="eastAsia" w:cs="Times New Roman"/>
          <w:color w:val="000000" w:themeColor="text1"/>
          <w:sz w:val="21"/>
          <w:lang w:eastAsia="zh-CN"/>
          <w14:textFill>
            <w14:solidFill>
              <w14:schemeClr w14:val="tx1"/>
            </w14:solidFill>
          </w14:textFill>
        </w:rPr>
        <w:t>管道预处理完成后应进行CCTV视频检测，经验收合格后方可进入下一步施工。</w:t>
      </w:r>
    </w:p>
    <w:p>
      <w:pPr>
        <w:pStyle w:val="3"/>
        <w:ind w:firstLine="560"/>
      </w:pPr>
      <w:bookmarkStart w:id="131" w:name="_Toc196915214"/>
      <w:r>
        <w:rPr>
          <w:rFonts w:hint="eastAsia"/>
        </w:rPr>
        <w:t>5.2</w:t>
      </w:r>
      <w:r>
        <w:t xml:space="preserve"> </w:t>
      </w:r>
      <w:r>
        <w:rPr>
          <w:rFonts w:hint="eastAsia"/>
        </w:rPr>
        <w:t>功能性缺陷修复</w:t>
      </w:r>
      <w:bookmarkEnd w:id="131"/>
    </w:p>
    <w:p>
      <w:pPr>
        <w:ind w:firstLine="420" w:firstLineChars="0"/>
        <w:jc w:val="center"/>
        <w:rPr>
          <w:rFonts w:cs="Times New Roman"/>
          <w:color w:val="000000" w:themeColor="text1"/>
          <w:sz w:val="21"/>
          <w:lang w:eastAsia="zh-CN"/>
          <w14:textFill>
            <w14:solidFill>
              <w14:schemeClr w14:val="tx1"/>
            </w14:solidFill>
          </w14:textFill>
        </w:rPr>
      </w:pPr>
      <w:bookmarkStart w:id="132" w:name="OLE_LINK17"/>
      <w:r>
        <w:rPr>
          <w:rFonts w:cs="Times New Roman"/>
          <w:color w:val="000000" w:themeColor="text1"/>
          <w:sz w:val="21"/>
          <w:lang w:eastAsia="zh-CN"/>
          <w14:textFill>
            <w14:solidFill>
              <w14:schemeClr w14:val="tx1"/>
            </w14:solidFill>
          </w14:textFill>
        </w:rPr>
        <w:t>Ⅰ 排水管道疏通</w:t>
      </w:r>
    </w:p>
    <w:bookmarkEnd w:id="132"/>
    <w:p>
      <w:pPr>
        <w:ind w:firstLine="420" w:firstLineChars="0"/>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5.2.1 </w:t>
      </w:r>
      <w:r>
        <w:rPr>
          <w:rFonts w:hint="eastAsia" w:cs="Times New Roman"/>
          <w:color w:val="000000" w:themeColor="text1"/>
          <w:sz w:val="21"/>
          <w:lang w:eastAsia="zh-CN"/>
          <w14:textFill>
            <w14:solidFill>
              <w14:schemeClr w14:val="tx1"/>
            </w14:solidFill>
          </w14:textFill>
        </w:rPr>
        <w:t>管道疏通包含浮渣、沉积物、障碍物、结垢、树根、残墙、坝根清除。</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5</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高压水射流管道清洗时应符合下列规定</w:t>
      </w:r>
      <w:r>
        <w:rPr>
          <w:rFonts w:hint="eastAsia" w:cs="Times New Roman"/>
          <w:color w:val="000000" w:themeColor="text1"/>
          <w:sz w:val="21"/>
          <w:lang w:eastAsia="zh-CN"/>
          <w14:textFill>
            <w14:solidFill>
              <w14:schemeClr w14:val="tx1"/>
            </w14:solidFill>
          </w14:textFill>
        </w:rPr>
        <w:t>：</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水流压力不应对管壁造成剥蚀、刻槽、裂缝及穿孔等损坏，当管道内有沉积碎片或碎石时，应防止碎石弹射而造成管道损坏；</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喷射水流不宜在管道内壁某一局部停留过长时间；</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对严重腐蚀管道应试喷确定合适压力后方可整段清洗；</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对存在塌陷或空洞管段，不应用高压水流冲洗暴露的土体；</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当管道直径大于800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 时，可采取人工进入管内进行高压水射流清洗，高压水射流的压力不应破坏原有管道结构；</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高压水射流设备应由专业人员操作，并</w:t>
      </w:r>
      <w:r>
        <w:rPr>
          <w:rFonts w:cs="Times New Roman"/>
          <w:color w:val="000000" w:themeColor="text1"/>
          <w:sz w:val="21"/>
          <w:lang w:eastAsia="zh-CN"/>
          <w14:textFill>
            <w14:solidFill>
              <w14:schemeClr w14:val="tx1"/>
            </w14:solidFill>
          </w14:textFill>
        </w:rPr>
        <w:t>应符合现行国家标准</w:t>
      </w:r>
      <w:bookmarkStart w:id="133" w:name="OLE_LINK97"/>
      <w:bookmarkStart w:id="134" w:name="_Hlk196922221"/>
      <w:r>
        <w:rPr>
          <w:rFonts w:cs="Times New Roman"/>
          <w:color w:val="000000" w:themeColor="text1"/>
          <w:sz w:val="21"/>
          <w:lang w:eastAsia="zh-CN"/>
          <w14:textFill>
            <w14:solidFill>
              <w14:schemeClr w14:val="tx1"/>
            </w14:solidFill>
          </w14:textFill>
        </w:rPr>
        <w:t>《高水射流清洗作业安全规范》</w:t>
      </w:r>
      <w:bookmarkEnd w:id="133"/>
      <w:r>
        <w:rPr>
          <w:rFonts w:cs="Times New Roman"/>
          <w:color w:val="000000" w:themeColor="text1"/>
          <w:sz w:val="21"/>
          <w:lang w:eastAsia="zh-CN"/>
          <w14:textFill>
            <w14:solidFill>
              <w14:schemeClr w14:val="tx1"/>
            </w14:solidFill>
          </w14:textFill>
        </w:rPr>
        <w:t>GB</w:t>
      </w:r>
      <w:r>
        <w:rPr>
          <w:rFonts w:hint="eastAsia" w:cs="Times New Roman"/>
          <w:color w:val="000000" w:themeColor="text1"/>
          <w:sz w:val="21"/>
          <w:lang w:eastAsia="zh-CN"/>
          <w14:textFill>
            <w14:solidFill>
              <w14:schemeClr w14:val="tx1"/>
            </w14:solidFill>
          </w14:textFill>
        </w:rPr>
        <w:t xml:space="preserve">/T </w:t>
      </w:r>
      <w:r>
        <w:rPr>
          <w:rFonts w:cs="Times New Roman"/>
          <w:color w:val="000000" w:themeColor="text1"/>
          <w:sz w:val="21"/>
          <w:lang w:eastAsia="zh-CN"/>
          <w14:textFill>
            <w14:solidFill>
              <w14:schemeClr w14:val="tx1"/>
            </w14:solidFill>
          </w14:textFill>
        </w:rPr>
        <w:t>26148</w:t>
      </w:r>
      <w:bookmarkEnd w:id="134"/>
      <w:r>
        <w:rPr>
          <w:rFonts w:cs="Times New Roman"/>
          <w:color w:val="000000" w:themeColor="text1"/>
          <w:sz w:val="21"/>
          <w:lang w:eastAsia="zh-CN"/>
          <w14:textFill>
            <w14:solidFill>
              <w14:schemeClr w14:val="tx1"/>
            </w14:solidFill>
          </w14:textFill>
        </w:rPr>
        <w:t>的有关规定。</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5.2.3</w:t>
      </w:r>
      <w:r>
        <w:rPr>
          <w:rFonts w:hint="eastAsia" w:cs="Times New Roman"/>
          <w:color w:val="000000" w:themeColor="text1"/>
          <w:sz w:val="21"/>
          <w:lang w:eastAsia="zh-CN"/>
          <w14:textFill>
            <w14:solidFill>
              <w14:schemeClr w14:val="tx1"/>
            </w14:solidFill>
          </w14:textFill>
        </w:rPr>
        <w:t xml:space="preserve"> 铣刀疏通管道时应符合下列规定：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根据障碍物的材质（如树根、混凝土、金属）和管道直径选择合适型号的铣刀</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确保铣刀尺寸适配管道，避免损坏。</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确认铣刀及配套机械（如疏通机）处于良好工作状态，润滑充分，电源正常。</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3 </w:t>
      </w:r>
      <w:r>
        <w:rPr>
          <w:rFonts w:cs="Times New Roman"/>
          <w:color w:val="000000" w:themeColor="text1"/>
          <w:sz w:val="21"/>
          <w:lang w:eastAsia="zh-CN"/>
          <w14:textFill>
            <w14:solidFill>
              <w14:schemeClr w14:val="tx1"/>
            </w14:solidFill>
          </w14:textFill>
        </w:rPr>
        <w:t>在铣削前，先用其他工具（如通条）清除松散垃圾或小障碍物，减少铣刀负担。</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通过内窥镜等设备准确定位障碍物，避免盲目操作。</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5 </w:t>
      </w:r>
      <w:r>
        <w:rPr>
          <w:rFonts w:cs="Times New Roman"/>
          <w:color w:val="000000" w:themeColor="text1"/>
          <w:sz w:val="21"/>
          <w:lang w:eastAsia="zh-CN"/>
          <w14:textFill>
            <w14:solidFill>
              <w14:schemeClr w14:val="tx1"/>
            </w14:solidFill>
          </w14:textFill>
        </w:rPr>
        <w:t>缓慢进给，确保铣刀均匀切割障碍物，避免因力度过大导致管道变形或断裂。</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 xml:space="preserve"> 根据材料硬度调整铣刀转速和施加的压力，防止设备过载或损坏管道</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实时观察铣削效果及管道反应，及时调整参数。</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 xml:space="preserve"> 操作完成后，使用高压水冲洗管道，确保无残留碎屑，避免再次堵塞。</w:t>
      </w:r>
    </w:p>
    <w:p>
      <w:pPr>
        <w:ind w:firstLine="42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 xml:space="preserve">Ⅱ </w:t>
      </w:r>
      <w:r>
        <w:rPr>
          <w:rFonts w:hint="eastAsia" w:cs="Times New Roman"/>
          <w:color w:val="000000" w:themeColor="text1"/>
          <w:sz w:val="21"/>
          <w:lang w:eastAsia="zh-CN"/>
          <w14:textFill>
            <w14:solidFill>
              <w14:schemeClr w14:val="tx1"/>
            </w14:solidFill>
          </w14:textFill>
        </w:rPr>
        <w:t>检查井清洗</w:t>
      </w:r>
    </w:p>
    <w:p>
      <w:pPr>
        <w:ind w:firstLine="422"/>
        <w:rPr>
          <w:lang w:eastAsia="zh-CN"/>
        </w:rPr>
      </w:pPr>
      <w:r>
        <w:rPr>
          <w:rFonts w:hint="eastAsia" w:cs="Times New Roman"/>
          <w:b/>
          <w:bCs/>
          <w:color w:val="000000" w:themeColor="text1"/>
          <w:sz w:val="21"/>
          <w:lang w:eastAsia="zh-CN"/>
          <w14:textFill>
            <w14:solidFill>
              <w14:schemeClr w14:val="tx1"/>
            </w14:solidFill>
          </w14:textFill>
        </w:rPr>
        <w:t>5</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检查井宜采用高压水射流进行清洗。</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5</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5</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高压水射流清洗检查井应符合下列规定：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水流压力不得对井壁造成剥蚀、裂缝及穿孔等损坏；</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对严重腐蚀检查井应进行试喷，确定合适压力后方可整体清洗；</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对井壁已发生塌陷或空洞处</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不得采用高压水流冲洗；人工进入井内清洗作业应符合现行国家标准《高压水射流清洗作业安全规范》</w:t>
      </w:r>
      <w:r>
        <w:rPr>
          <w:rFonts w:cs="Times New Roman"/>
          <w:color w:val="000000" w:themeColor="text1"/>
          <w:sz w:val="21"/>
          <w:lang w:eastAsia="zh-CN"/>
          <w14:textFill>
            <w14:solidFill>
              <w14:schemeClr w14:val="tx1"/>
            </w14:solidFill>
          </w14:textFill>
        </w:rPr>
        <w:t>GB</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26148</w:t>
      </w:r>
      <w:r>
        <w:rPr>
          <w:rFonts w:hint="eastAsia" w:cs="Times New Roman"/>
          <w:color w:val="000000" w:themeColor="text1"/>
          <w:sz w:val="21"/>
          <w:lang w:eastAsia="zh-CN"/>
          <w14:textFill>
            <w14:solidFill>
              <w14:schemeClr w14:val="tx1"/>
            </w14:solidFill>
          </w14:textFill>
        </w:rPr>
        <w:t>的有关规定。</w:t>
      </w:r>
    </w:p>
    <w:p>
      <w:pPr>
        <w:ind w:firstLine="422"/>
        <w:rPr>
          <w:lang w:eastAsia="zh-CN"/>
        </w:rPr>
      </w:pPr>
      <w:r>
        <w:rPr>
          <w:rFonts w:hint="eastAsia" w:cs="Times New Roman"/>
          <w:b/>
          <w:bCs/>
          <w:color w:val="000000" w:themeColor="text1"/>
          <w:sz w:val="21"/>
          <w:lang w:eastAsia="zh-CN"/>
          <w14:textFill>
            <w14:solidFill>
              <w14:schemeClr w14:val="tx1"/>
            </w14:solidFill>
          </w14:textFill>
        </w:rPr>
        <w:t>5</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检查井清洗产生的污水和污物应从检查井内排出，污物处理应符合现行行业标准《城镇排水管渠与泵站运行、维护及安全技术规程》</w:t>
      </w:r>
      <w:r>
        <w:rPr>
          <w:rFonts w:cs="Times New Roman"/>
          <w:color w:val="000000" w:themeColor="text1"/>
          <w:sz w:val="21"/>
          <w:lang w:eastAsia="zh-CN"/>
          <w14:textFill>
            <w14:solidFill>
              <w14:schemeClr w14:val="tx1"/>
            </w14:solidFill>
          </w14:textFill>
        </w:rPr>
        <w:t>CJJ</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68</w:t>
      </w:r>
      <w:r>
        <w:rPr>
          <w:rFonts w:hint="eastAsia" w:cs="Times New Roman"/>
          <w:color w:val="000000" w:themeColor="text1"/>
          <w:sz w:val="21"/>
          <w:lang w:eastAsia="zh-CN"/>
          <w14:textFill>
            <w14:solidFill>
              <w14:schemeClr w14:val="tx1"/>
            </w14:solidFill>
          </w14:textFill>
        </w:rPr>
        <w:t>的有关规定，污水应排放至规定地点。</w:t>
      </w:r>
    </w:p>
    <w:p>
      <w:pPr>
        <w:pStyle w:val="3"/>
        <w:ind w:firstLine="560"/>
      </w:pPr>
      <w:bookmarkStart w:id="135" w:name="_Toc196915215"/>
      <w:r>
        <w:t xml:space="preserve">5.3 </w:t>
      </w:r>
      <w:r>
        <w:rPr>
          <w:rFonts w:hint="eastAsia"/>
        </w:rPr>
        <w:t>预处理</w:t>
      </w:r>
      <w:bookmarkEnd w:id="135"/>
    </w:p>
    <w:p>
      <w:pPr>
        <w:ind w:firstLine="0" w:firstLineChars="0"/>
        <w:jc w:val="center"/>
        <w:rPr>
          <w:rFonts w:cs="Times New Roman"/>
          <w:color w:val="auto"/>
          <w:sz w:val="21"/>
          <w:lang w:eastAsia="zh-CN"/>
        </w:rPr>
      </w:pPr>
      <w:bookmarkStart w:id="136" w:name="_Toc196155878"/>
      <w:bookmarkStart w:id="137" w:name="_Toc195818018"/>
      <w:bookmarkStart w:id="138" w:name="_Toc193270235"/>
      <w:r>
        <w:rPr>
          <w:rFonts w:cs="Times New Roman"/>
          <w:color w:val="auto"/>
          <w:sz w:val="21"/>
          <w:lang w:eastAsia="zh-CN"/>
        </w:rPr>
        <w:t>Ⅰ</w:t>
      </w:r>
      <w:r>
        <w:rPr>
          <w:rFonts w:hint="eastAsia" w:cs="Times New Roman"/>
          <w:color w:val="auto"/>
          <w:sz w:val="21"/>
          <w:lang w:eastAsia="zh-CN"/>
        </w:rPr>
        <w:t xml:space="preserve"> </w:t>
      </w:r>
      <w:r>
        <w:rPr>
          <w:rFonts w:cs="Times New Roman"/>
          <w:color w:val="auto"/>
          <w:sz w:val="21"/>
          <w:lang w:eastAsia="zh-CN"/>
        </w:rPr>
        <w:t>土体注</w:t>
      </w:r>
      <w:r>
        <w:rPr>
          <w:rFonts w:hint="eastAsia" w:cs="Times New Roman"/>
          <w:color w:val="auto"/>
          <w:sz w:val="21"/>
          <w:lang w:eastAsia="zh-CN"/>
        </w:rPr>
        <w:t>浆法</w:t>
      </w:r>
    </w:p>
    <w:p>
      <w:pPr>
        <w:ind w:firstLine="420" w:firstLineChars="0"/>
        <w:rPr>
          <w:rFonts w:cs="Times New Roman"/>
          <w:color w:val="auto"/>
          <w:sz w:val="21"/>
          <w:lang w:eastAsia="zh-CN"/>
        </w:rPr>
      </w:pPr>
      <w:r>
        <w:rPr>
          <w:rFonts w:hint="eastAsia" w:cs="Times New Roman"/>
          <w:b/>
          <w:bCs/>
          <w:color w:val="auto"/>
          <w:sz w:val="21"/>
          <w:lang w:eastAsia="zh-CN"/>
        </w:rPr>
        <w:t>5.3.1</w:t>
      </w:r>
      <w:r>
        <w:rPr>
          <w:rFonts w:hint="eastAsia" w:cs="Times New Roman"/>
          <w:color w:val="auto"/>
          <w:sz w:val="21"/>
          <w:lang w:eastAsia="zh-CN"/>
        </w:rPr>
        <w:t xml:space="preserve"> 采用管内注浆施工时，应符合下列规定：</w:t>
      </w:r>
    </w:p>
    <w:p>
      <w:pPr>
        <w:ind w:left="420" w:firstLine="420" w:firstLineChars="0"/>
        <w:rPr>
          <w:rFonts w:cs="Times New Roman"/>
          <w:color w:val="auto"/>
          <w:sz w:val="21"/>
          <w:lang w:eastAsia="zh-CN"/>
        </w:rPr>
      </w:pPr>
      <w:r>
        <w:rPr>
          <w:rFonts w:hint="eastAsia" w:cs="Times New Roman"/>
          <w:b/>
          <w:bCs/>
          <w:color w:val="auto"/>
          <w:sz w:val="21"/>
          <w:lang w:eastAsia="zh-CN"/>
        </w:rPr>
        <w:t>1</w:t>
      </w:r>
      <w:r>
        <w:rPr>
          <w:rFonts w:hint="eastAsia" w:cs="Times New Roman"/>
          <w:color w:val="auto"/>
          <w:sz w:val="21"/>
          <w:lang w:eastAsia="zh-CN"/>
        </w:rPr>
        <w:t xml:space="preserve"> 宜根据专项设计方案对注浆孔的位置进行定位；</w:t>
      </w:r>
    </w:p>
    <w:p>
      <w:pPr>
        <w:ind w:left="420" w:firstLine="420" w:firstLineChars="0"/>
        <w:rPr>
          <w:rFonts w:cs="Times New Roman"/>
          <w:color w:val="auto"/>
          <w:sz w:val="21"/>
          <w:lang w:eastAsia="zh-CN"/>
        </w:rPr>
      </w:pPr>
      <w:r>
        <w:rPr>
          <w:rFonts w:hint="eastAsia" w:cs="Times New Roman"/>
          <w:b/>
          <w:bCs/>
          <w:color w:val="auto"/>
          <w:sz w:val="21"/>
          <w:lang w:eastAsia="zh-CN"/>
        </w:rPr>
        <w:t>2</w:t>
      </w:r>
      <w:r>
        <w:rPr>
          <w:rFonts w:hint="eastAsia" w:cs="Times New Roman"/>
          <w:color w:val="auto"/>
          <w:sz w:val="21"/>
          <w:lang w:eastAsia="zh-CN"/>
        </w:rPr>
        <w:t xml:space="preserve"> 钻孔应钻穿管壁，孔径不宜大于 25 mm；</w:t>
      </w:r>
    </w:p>
    <w:p>
      <w:pPr>
        <w:ind w:left="420" w:firstLine="420" w:firstLineChars="0"/>
        <w:rPr>
          <w:rFonts w:cs="Times New Roman"/>
          <w:color w:val="auto"/>
          <w:sz w:val="21"/>
          <w:lang w:eastAsia="zh-CN"/>
        </w:rPr>
      </w:pPr>
      <w:r>
        <w:rPr>
          <w:rFonts w:hint="eastAsia" w:cs="Times New Roman"/>
          <w:b/>
          <w:bCs/>
          <w:color w:val="auto"/>
          <w:sz w:val="21"/>
          <w:lang w:eastAsia="zh-CN"/>
        </w:rPr>
        <w:t>3</w:t>
      </w:r>
      <w:r>
        <w:rPr>
          <w:rFonts w:hint="eastAsia" w:cs="Times New Roman"/>
          <w:color w:val="auto"/>
          <w:sz w:val="21"/>
          <w:lang w:eastAsia="zh-CN"/>
        </w:rPr>
        <w:t xml:space="preserve"> 在注浆结束后，应对修复管段施工垃圾进行清理，保证无异物残留。</w:t>
      </w:r>
    </w:p>
    <w:p>
      <w:pPr>
        <w:ind w:firstLine="420" w:firstLineChars="0"/>
        <w:rPr>
          <w:rFonts w:cs="Times New Roman"/>
          <w:b/>
          <w:bCs/>
          <w:color w:val="auto"/>
          <w:sz w:val="21"/>
          <w:lang w:eastAsia="zh-CN"/>
        </w:rPr>
      </w:pPr>
      <w:r>
        <w:rPr>
          <w:rFonts w:hint="eastAsia" w:cs="Times New Roman"/>
          <w:b/>
          <w:bCs/>
          <w:color w:val="auto"/>
          <w:sz w:val="21"/>
          <w:lang w:eastAsia="zh-CN"/>
        </w:rPr>
        <w:t xml:space="preserve">5.3.2 </w:t>
      </w:r>
      <w:r>
        <w:rPr>
          <w:rFonts w:hint="eastAsia" w:cs="Times New Roman"/>
          <w:color w:val="auto"/>
          <w:sz w:val="21"/>
          <w:lang w:eastAsia="zh-CN"/>
        </w:rPr>
        <w:t>采用管外注浆施工时，应符合下列规定：</w:t>
      </w:r>
    </w:p>
    <w:p>
      <w:pPr>
        <w:ind w:left="420" w:firstLine="420" w:firstLineChars="0"/>
        <w:rPr>
          <w:rFonts w:cs="Times New Roman"/>
          <w:color w:val="auto"/>
          <w:sz w:val="21"/>
          <w:lang w:eastAsia="zh-CN"/>
        </w:rPr>
      </w:pPr>
      <w:r>
        <w:rPr>
          <w:rFonts w:hint="eastAsia" w:cs="Times New Roman"/>
          <w:b/>
          <w:bCs/>
          <w:color w:val="auto"/>
          <w:sz w:val="21"/>
          <w:lang w:eastAsia="zh-CN"/>
        </w:rPr>
        <w:t xml:space="preserve">1 </w:t>
      </w:r>
      <w:r>
        <w:rPr>
          <w:rFonts w:hint="eastAsia" w:cs="Times New Roman"/>
          <w:color w:val="auto"/>
          <w:sz w:val="21"/>
          <w:lang w:eastAsia="zh-CN"/>
        </w:rPr>
        <w:t>应采用探地雷达、管线探测仪等检测方法，探明原有管道上部管线及其他地下构筑物分布情况；</w:t>
      </w:r>
    </w:p>
    <w:p>
      <w:pPr>
        <w:ind w:left="420" w:firstLine="420" w:firstLineChars="0"/>
        <w:rPr>
          <w:rFonts w:cs="Times New Roman"/>
          <w:color w:val="auto"/>
          <w:sz w:val="21"/>
          <w:lang w:eastAsia="zh-CN"/>
        </w:rPr>
      </w:pPr>
      <w:r>
        <w:rPr>
          <w:rFonts w:hint="eastAsia" w:cs="Times New Roman"/>
          <w:b/>
          <w:bCs/>
          <w:color w:val="auto"/>
          <w:sz w:val="21"/>
          <w:lang w:eastAsia="zh-CN"/>
        </w:rPr>
        <w:t>2</w:t>
      </w:r>
      <w:r>
        <w:rPr>
          <w:rFonts w:hint="eastAsia" w:cs="Times New Roman"/>
          <w:color w:val="auto"/>
          <w:sz w:val="21"/>
          <w:lang w:eastAsia="zh-CN"/>
        </w:rPr>
        <w:t xml:space="preserve"> 钻孔深度应达到待修管道外部病害区域；</w:t>
      </w:r>
    </w:p>
    <w:p>
      <w:pPr>
        <w:ind w:left="420" w:firstLine="420" w:firstLineChars="0"/>
        <w:rPr>
          <w:rFonts w:cs="Times New Roman"/>
          <w:color w:val="auto"/>
          <w:sz w:val="21"/>
          <w:lang w:eastAsia="zh-CN"/>
        </w:rPr>
      </w:pPr>
      <w:r>
        <w:rPr>
          <w:rFonts w:hint="eastAsia" w:cs="Times New Roman"/>
          <w:b/>
          <w:bCs/>
          <w:color w:val="auto"/>
          <w:sz w:val="21"/>
          <w:lang w:eastAsia="zh-CN"/>
        </w:rPr>
        <w:t>3</w:t>
      </w:r>
      <w:r>
        <w:rPr>
          <w:rFonts w:hint="eastAsia" w:cs="Times New Roman"/>
          <w:color w:val="auto"/>
          <w:sz w:val="21"/>
          <w:lang w:eastAsia="zh-CN"/>
        </w:rPr>
        <w:t xml:space="preserve"> 注浆过程中应采用 CCTV 和潜望镜等可视化设备进行实时监控；如材料进入管道内，宜减慢注浆速度或采用间歇注浆法，注浆压力不得影响其他公用管线的安全；</w:t>
      </w:r>
    </w:p>
    <w:p>
      <w:pPr>
        <w:ind w:left="420" w:firstLine="420" w:firstLineChars="0"/>
        <w:rPr>
          <w:rFonts w:cs="Times New Roman"/>
          <w:color w:val="auto"/>
          <w:sz w:val="21"/>
          <w:lang w:eastAsia="zh-CN"/>
        </w:rPr>
      </w:pPr>
      <w:r>
        <w:rPr>
          <w:rFonts w:hint="eastAsia" w:cs="Times New Roman"/>
          <w:b/>
          <w:bCs/>
          <w:color w:val="auto"/>
          <w:sz w:val="21"/>
          <w:lang w:eastAsia="zh-CN"/>
        </w:rPr>
        <w:t>4</w:t>
      </w:r>
      <w:r>
        <w:rPr>
          <w:rFonts w:hint="eastAsia" w:cs="Times New Roman"/>
          <w:color w:val="auto"/>
          <w:sz w:val="21"/>
          <w:lang w:eastAsia="zh-CN"/>
        </w:rPr>
        <w:t xml:space="preserve"> 如产生管道偏移，应立即中断注浆，调整注浆方案。</w:t>
      </w:r>
    </w:p>
    <w:p>
      <w:pPr>
        <w:ind w:firstLine="420" w:firstLineChars="0"/>
        <w:rPr>
          <w:rFonts w:cs="Times New Roman"/>
          <w:sz w:val="21"/>
          <w:lang w:eastAsia="zh-CN"/>
        </w:rPr>
      </w:pPr>
      <w:r>
        <w:rPr>
          <w:rFonts w:hint="eastAsia" w:cs="Times New Roman"/>
          <w:b/>
          <w:bCs/>
          <w:sz w:val="21"/>
          <w:lang w:eastAsia="zh-CN"/>
        </w:rPr>
        <w:t>5.3.3</w:t>
      </w:r>
      <w:r>
        <w:rPr>
          <w:rFonts w:cs="Times New Roman"/>
          <w:sz w:val="21"/>
          <w:lang w:eastAsia="zh-CN"/>
        </w:rPr>
        <w:t xml:space="preserve"> </w:t>
      </w:r>
      <w:r>
        <w:rPr>
          <w:rFonts w:hint="eastAsia" w:cs="Times New Roman"/>
          <w:sz w:val="21"/>
          <w:lang w:eastAsia="zh-CN"/>
        </w:rPr>
        <w:t>管周土体处理宜符合下列规定：</w:t>
      </w:r>
    </w:p>
    <w:p>
      <w:pPr>
        <w:ind w:left="420" w:firstLine="420" w:firstLineChars="0"/>
        <w:rPr>
          <w:rFonts w:cs="Times New Roman"/>
          <w:sz w:val="21"/>
          <w:lang w:eastAsia="zh-CN"/>
        </w:rPr>
      </w:pPr>
      <w:r>
        <w:rPr>
          <w:rFonts w:hint="eastAsia" w:cs="Times New Roman"/>
          <w:b/>
          <w:bCs/>
          <w:sz w:val="21"/>
          <w:lang w:eastAsia="zh-CN"/>
        </w:rPr>
        <w:t>1</w:t>
      </w:r>
      <w:r>
        <w:rPr>
          <w:rFonts w:hint="eastAsia" w:cs="Times New Roman"/>
          <w:sz w:val="21"/>
          <w:lang w:eastAsia="zh-CN"/>
        </w:rPr>
        <w:t xml:space="preserve"> 宜用地质雷达法等方法，查明管周土体孔洞、孔隙与疏松区；</w:t>
      </w:r>
    </w:p>
    <w:p>
      <w:pPr>
        <w:ind w:left="420" w:firstLine="420" w:firstLineChars="0"/>
        <w:rPr>
          <w:rFonts w:cs="Times New Roman"/>
          <w:sz w:val="21"/>
          <w:lang w:eastAsia="zh-CN"/>
        </w:rPr>
      </w:pPr>
      <w:r>
        <w:rPr>
          <w:rFonts w:hint="eastAsia" w:cs="Times New Roman"/>
          <w:b/>
          <w:bCs/>
          <w:sz w:val="21"/>
          <w:lang w:eastAsia="zh-CN"/>
        </w:rPr>
        <w:t>2</w:t>
      </w:r>
      <w:r>
        <w:rPr>
          <w:rFonts w:hint="eastAsia" w:cs="Times New Roman"/>
          <w:sz w:val="21"/>
          <w:lang w:eastAsia="zh-CN"/>
        </w:rPr>
        <w:t xml:space="preserve"> 宜用管内或管外注浆法对管周土体缺陷进行处理；</w:t>
      </w:r>
    </w:p>
    <w:p>
      <w:pPr>
        <w:ind w:left="420" w:firstLine="420" w:firstLineChars="0"/>
        <w:rPr>
          <w:rFonts w:cs="Times New Roman"/>
          <w:sz w:val="21"/>
          <w:lang w:eastAsia="zh-CN"/>
        </w:rPr>
      </w:pPr>
      <w:r>
        <w:rPr>
          <w:rFonts w:hint="eastAsia" w:cs="Times New Roman"/>
          <w:b/>
          <w:bCs/>
          <w:sz w:val="21"/>
          <w:lang w:eastAsia="zh-CN"/>
        </w:rPr>
        <w:t>3</w:t>
      </w:r>
      <w:r>
        <w:rPr>
          <w:rFonts w:hint="eastAsia" w:cs="Times New Roman"/>
          <w:sz w:val="21"/>
          <w:lang w:eastAsia="zh-CN"/>
        </w:rPr>
        <w:t xml:space="preserve"> 宜用管内地质雷达法对管周土体密实度进行检验。</w:t>
      </w:r>
    </w:p>
    <w:p>
      <w:pPr>
        <w:ind w:firstLine="420" w:firstLineChars="0"/>
        <w:rPr>
          <w:rFonts w:cs="Times New Roman"/>
          <w:sz w:val="21"/>
          <w:lang w:eastAsia="zh-CN"/>
        </w:rPr>
      </w:pPr>
      <w:r>
        <w:rPr>
          <w:rFonts w:cs="Times New Roman"/>
          <w:b/>
          <w:bCs/>
          <w:sz w:val="21"/>
          <w:lang w:eastAsia="zh-CN"/>
        </w:rPr>
        <w:t>5.3.</w:t>
      </w:r>
      <w:r>
        <w:rPr>
          <w:rFonts w:hint="eastAsia" w:cs="Times New Roman"/>
          <w:b/>
          <w:bCs/>
          <w:sz w:val="21"/>
          <w:lang w:eastAsia="zh-CN"/>
        </w:rPr>
        <w:t>4</w:t>
      </w:r>
      <w:r>
        <w:rPr>
          <w:rFonts w:hint="eastAsia" w:cs="Times New Roman"/>
          <w:sz w:val="21"/>
          <w:lang w:eastAsia="zh-CN"/>
        </w:rPr>
        <w:t xml:space="preserve"> 用于堵漏的注浆处理应采用井内注浆法。用于加固的注浆处理宜采用井内注浆法，也可采用井外注浆法。</w:t>
      </w:r>
    </w:p>
    <w:p>
      <w:pPr>
        <w:ind w:firstLine="420"/>
        <w:jc w:val="center"/>
        <w:rPr>
          <w:rFonts w:cs="Times New Roman"/>
          <w:color w:val="auto"/>
          <w:sz w:val="21"/>
          <w:lang w:eastAsia="zh-CN"/>
        </w:rPr>
      </w:pPr>
      <w:r>
        <w:rPr>
          <w:rFonts w:cs="Times New Roman"/>
          <w:color w:val="auto"/>
          <w:sz w:val="21"/>
          <w:lang w:eastAsia="zh-CN"/>
        </w:rPr>
        <w:t>Ⅱ 裂缝嵌补</w:t>
      </w:r>
      <w:bookmarkEnd w:id="136"/>
      <w:bookmarkEnd w:id="137"/>
      <w:bookmarkEnd w:id="138"/>
      <w:r>
        <w:rPr>
          <w:rFonts w:hint="eastAsia" w:cs="Times New Roman"/>
          <w:color w:val="auto"/>
          <w:sz w:val="21"/>
          <w:lang w:eastAsia="zh-CN"/>
        </w:rPr>
        <w:t>法</w:t>
      </w:r>
    </w:p>
    <w:p>
      <w:pPr>
        <w:ind w:firstLine="422"/>
        <w:rPr>
          <w:rFonts w:cs="Times New Roman"/>
          <w:color w:val="auto"/>
          <w:sz w:val="21"/>
          <w:lang w:eastAsia="zh-CN"/>
        </w:rPr>
      </w:pPr>
      <w:r>
        <w:rPr>
          <w:rFonts w:hint="eastAsia" w:cs="Times New Roman"/>
          <w:b/>
          <w:bCs/>
          <w:color w:val="auto"/>
          <w:sz w:val="21"/>
          <w:lang w:eastAsia="zh-CN"/>
        </w:rPr>
        <w:t>5.3</w:t>
      </w:r>
      <w:r>
        <w:rPr>
          <w:rFonts w:cs="Times New Roman"/>
          <w:b/>
          <w:bCs/>
          <w:color w:val="auto"/>
          <w:sz w:val="21"/>
          <w:lang w:eastAsia="zh-CN"/>
        </w:rPr>
        <w:t>.</w:t>
      </w:r>
      <w:r>
        <w:rPr>
          <w:rFonts w:hint="eastAsia" w:cs="Times New Roman"/>
          <w:b/>
          <w:bCs/>
          <w:color w:val="auto"/>
          <w:sz w:val="21"/>
          <w:lang w:eastAsia="zh-CN"/>
        </w:rPr>
        <w:t>5</w:t>
      </w:r>
      <w:r>
        <w:rPr>
          <w:rFonts w:cs="Times New Roman"/>
          <w:color w:val="auto"/>
          <w:sz w:val="21"/>
          <w:lang w:eastAsia="zh-CN"/>
        </w:rPr>
        <w:t xml:space="preserve"> 采用裂缝嵌补时，宜在需要嵌补的部位预埋注浆胶管或灌浆止水针管，并采用</w:t>
      </w:r>
      <w:r>
        <w:rPr>
          <w:rFonts w:hint="eastAsia" w:cs="Times New Roman"/>
          <w:color w:val="auto"/>
          <w:sz w:val="21"/>
          <w:lang w:eastAsia="zh-CN"/>
        </w:rPr>
        <w:t>快干</w:t>
      </w:r>
      <w:r>
        <w:rPr>
          <w:rFonts w:cs="Times New Roman"/>
          <w:color w:val="auto"/>
          <w:sz w:val="21"/>
          <w:lang w:eastAsia="zh-CN"/>
        </w:rPr>
        <w:t>水泥封缝；封缝层表面应密实、平整，与管道接口黏结牢固；注浆胶管或灌浆止水针管位置和间距应满足注浆要求，并应设进浆口和排气口。</w:t>
      </w:r>
    </w:p>
    <w:p>
      <w:pPr>
        <w:ind w:firstLine="422"/>
        <w:rPr>
          <w:rFonts w:cs="Times New Roman"/>
          <w:color w:val="auto"/>
          <w:sz w:val="21"/>
          <w:lang w:eastAsia="zh-CN"/>
        </w:rPr>
      </w:pPr>
      <w:r>
        <w:rPr>
          <w:rFonts w:hint="eastAsia" w:cs="Times New Roman"/>
          <w:b/>
          <w:bCs/>
          <w:color w:val="auto"/>
          <w:sz w:val="21"/>
          <w:lang w:eastAsia="zh-CN"/>
        </w:rPr>
        <w:t>5.3</w:t>
      </w:r>
      <w:r>
        <w:rPr>
          <w:rFonts w:cs="Times New Roman"/>
          <w:b/>
          <w:bCs/>
          <w:color w:val="auto"/>
          <w:sz w:val="21"/>
          <w:lang w:eastAsia="zh-CN"/>
        </w:rPr>
        <w:t>.</w:t>
      </w:r>
      <w:r>
        <w:rPr>
          <w:rFonts w:hint="eastAsia" w:cs="Times New Roman"/>
          <w:b/>
          <w:bCs/>
          <w:color w:val="auto"/>
          <w:sz w:val="21"/>
          <w:lang w:eastAsia="zh-CN"/>
        </w:rPr>
        <w:t>6</w:t>
      </w:r>
      <w:r>
        <w:rPr>
          <w:rFonts w:cs="Times New Roman"/>
          <w:color w:val="auto"/>
          <w:sz w:val="21"/>
          <w:lang w:eastAsia="zh-CN"/>
        </w:rPr>
        <w:t xml:space="preserve"> 在</w:t>
      </w:r>
      <w:r>
        <w:rPr>
          <w:rFonts w:hint="eastAsia" w:cs="Times New Roman"/>
          <w:color w:val="auto"/>
          <w:sz w:val="21"/>
          <w:lang w:eastAsia="zh-CN"/>
        </w:rPr>
        <w:t>快干</w:t>
      </w:r>
      <w:r>
        <w:rPr>
          <w:rFonts w:cs="Times New Roman"/>
          <w:color w:val="auto"/>
          <w:sz w:val="21"/>
          <w:lang w:eastAsia="zh-CN"/>
        </w:rPr>
        <w:t>水泥达到设计强度后，应由管道下部向上部逐一压注水性聚氨酯注浆液，待所有的注浆管都注浆后，回到第一个注浆管再次注浆。</w:t>
      </w:r>
    </w:p>
    <w:p>
      <w:pPr>
        <w:ind w:firstLine="422"/>
        <w:rPr>
          <w:rFonts w:cs="Times New Roman"/>
          <w:color w:val="auto"/>
          <w:sz w:val="21"/>
          <w:lang w:eastAsia="zh-CN"/>
        </w:rPr>
      </w:pPr>
      <w:r>
        <w:rPr>
          <w:rFonts w:hint="eastAsia" w:cs="Times New Roman"/>
          <w:b/>
          <w:bCs/>
          <w:color w:val="auto"/>
          <w:sz w:val="21"/>
          <w:lang w:eastAsia="zh-CN"/>
        </w:rPr>
        <w:t>5.3</w:t>
      </w:r>
      <w:r>
        <w:rPr>
          <w:rFonts w:cs="Times New Roman"/>
          <w:b/>
          <w:bCs/>
          <w:color w:val="auto"/>
          <w:sz w:val="21"/>
          <w:lang w:eastAsia="zh-CN"/>
        </w:rPr>
        <w:t>.</w:t>
      </w:r>
      <w:r>
        <w:rPr>
          <w:rFonts w:hint="eastAsia" w:cs="Times New Roman"/>
          <w:b/>
          <w:bCs/>
          <w:color w:val="auto"/>
          <w:sz w:val="21"/>
          <w:lang w:eastAsia="zh-CN"/>
        </w:rPr>
        <w:t>7</w:t>
      </w:r>
      <w:r>
        <w:rPr>
          <w:rFonts w:cs="Times New Roman"/>
          <w:color w:val="auto"/>
          <w:sz w:val="21"/>
          <w:lang w:eastAsia="zh-CN"/>
        </w:rPr>
        <w:t xml:space="preserve"> 宜按施工要求严格控制注浆压力和注浆量，防止水性聚氨酯注浆液从封缝层以及粘结处流出；宜在相邻注浆管开始出浆后，保持压力 3 min~5 min 后停止注浆，改注相邻注浆管。</w:t>
      </w:r>
    </w:p>
    <w:p>
      <w:pPr>
        <w:ind w:firstLine="422"/>
        <w:rPr>
          <w:rFonts w:cs="Times New Roman"/>
          <w:color w:val="auto"/>
          <w:sz w:val="21"/>
          <w:lang w:eastAsia="zh-CN"/>
        </w:rPr>
      </w:pPr>
      <w:r>
        <w:rPr>
          <w:rFonts w:hint="eastAsia" w:cs="Times New Roman"/>
          <w:b/>
          <w:bCs/>
          <w:color w:val="auto"/>
          <w:sz w:val="21"/>
          <w:lang w:eastAsia="zh-CN"/>
        </w:rPr>
        <w:t>5.3</w:t>
      </w:r>
      <w:r>
        <w:rPr>
          <w:rFonts w:cs="Times New Roman"/>
          <w:b/>
          <w:bCs/>
          <w:color w:val="auto"/>
          <w:sz w:val="21"/>
          <w:lang w:eastAsia="zh-CN"/>
        </w:rPr>
        <w:t>.</w:t>
      </w:r>
      <w:r>
        <w:rPr>
          <w:rFonts w:hint="eastAsia" w:cs="Times New Roman"/>
          <w:b/>
          <w:bCs/>
          <w:color w:val="auto"/>
          <w:sz w:val="21"/>
          <w:lang w:eastAsia="zh-CN"/>
        </w:rPr>
        <w:t>8</w:t>
      </w:r>
      <w:r>
        <w:rPr>
          <w:rFonts w:cs="Times New Roman"/>
          <w:color w:val="auto"/>
          <w:sz w:val="21"/>
          <w:lang w:eastAsia="zh-CN"/>
        </w:rPr>
        <w:t xml:space="preserve"> 宜在注浆完毕 24 h，且经检查不渗水后，清理注浆胶管或灌浆止水针及已固化的溢漏浆液，并按设计要求进行表面防水和增强等处理。</w:t>
      </w:r>
    </w:p>
    <w:p>
      <w:pPr>
        <w:ind w:firstLine="422"/>
        <w:rPr>
          <w:rFonts w:cs="Times New Roman"/>
          <w:color w:val="auto"/>
          <w:sz w:val="21"/>
          <w:lang w:eastAsia="zh-CN"/>
        </w:rPr>
      </w:pPr>
      <w:r>
        <w:rPr>
          <w:rFonts w:hint="eastAsia" w:cs="Times New Roman"/>
          <w:b/>
          <w:bCs/>
          <w:color w:val="auto"/>
          <w:sz w:val="21"/>
          <w:lang w:eastAsia="zh-CN"/>
        </w:rPr>
        <w:t>5.3</w:t>
      </w:r>
      <w:r>
        <w:rPr>
          <w:rFonts w:cs="Times New Roman"/>
          <w:b/>
          <w:bCs/>
          <w:color w:val="auto"/>
          <w:sz w:val="21"/>
          <w:lang w:eastAsia="zh-CN"/>
        </w:rPr>
        <w:t>.</w:t>
      </w:r>
      <w:r>
        <w:rPr>
          <w:rFonts w:hint="eastAsia" w:cs="Times New Roman"/>
          <w:b/>
          <w:bCs/>
          <w:color w:val="auto"/>
          <w:sz w:val="21"/>
          <w:lang w:eastAsia="zh-CN"/>
        </w:rPr>
        <w:t>9</w:t>
      </w:r>
      <w:r>
        <w:rPr>
          <w:rFonts w:cs="Times New Roman"/>
          <w:color w:val="auto"/>
          <w:sz w:val="21"/>
          <w:lang w:eastAsia="zh-CN"/>
        </w:rPr>
        <w:t xml:space="preserve"> 注浆孔的布设应符合下列规定:</w:t>
      </w:r>
    </w:p>
    <w:p>
      <w:pPr>
        <w:ind w:left="418" w:firstLine="422"/>
        <w:rPr>
          <w:rFonts w:cs="Times New Roman"/>
          <w:color w:val="auto"/>
          <w:sz w:val="21"/>
          <w:lang w:eastAsia="zh-CN"/>
        </w:rPr>
      </w:pPr>
      <w:r>
        <w:rPr>
          <w:rFonts w:cs="Times New Roman"/>
          <w:b/>
          <w:bCs/>
          <w:color w:val="auto"/>
          <w:sz w:val="21"/>
          <w:lang w:eastAsia="zh-CN"/>
        </w:rPr>
        <w:t>1</w:t>
      </w:r>
      <w:r>
        <w:rPr>
          <w:rFonts w:cs="Times New Roman"/>
          <w:color w:val="auto"/>
          <w:sz w:val="21"/>
          <w:lang w:eastAsia="zh-CN"/>
        </w:rPr>
        <w:t xml:space="preserve"> 应在井内使用电钻沿裂缝两侧或渗漏点进行钻孔,钻孔角度宜为90°,裂缝渗漏缝隙钻孔间距不应大于500</w:t>
      </w:r>
      <w:r>
        <w:rPr>
          <w:rFonts w:hint="eastAsia" w:cs="Times New Roman"/>
          <w:color w:val="auto"/>
          <w:sz w:val="21"/>
          <w:lang w:eastAsia="zh-CN"/>
        </w:rPr>
        <w:t xml:space="preserve"> </w:t>
      </w:r>
      <w:r>
        <w:rPr>
          <w:rFonts w:cs="Times New Roman"/>
          <w:color w:val="auto"/>
          <w:sz w:val="21"/>
          <w:lang w:eastAsia="zh-CN"/>
        </w:rPr>
        <w:t>mm；</w:t>
      </w:r>
    </w:p>
    <w:p>
      <w:pPr>
        <w:ind w:left="418" w:firstLine="422"/>
        <w:rPr>
          <w:rFonts w:cs="Times New Roman"/>
          <w:color w:val="auto"/>
          <w:sz w:val="21"/>
          <w:lang w:eastAsia="zh-CN"/>
        </w:rPr>
      </w:pPr>
      <w:r>
        <w:rPr>
          <w:rFonts w:cs="Times New Roman"/>
          <w:b/>
          <w:bCs/>
          <w:color w:val="auto"/>
          <w:sz w:val="21"/>
          <w:lang w:eastAsia="zh-CN"/>
        </w:rPr>
        <w:t>2</w:t>
      </w:r>
      <w:r>
        <w:rPr>
          <w:rFonts w:cs="Times New Roman"/>
          <w:color w:val="auto"/>
          <w:sz w:val="21"/>
          <w:lang w:eastAsia="zh-CN"/>
        </w:rPr>
        <w:t xml:space="preserve"> 当有较大漏水点或多个漏水点时，应同时布设多个钻孔点。</w:t>
      </w:r>
    </w:p>
    <w:p>
      <w:pPr>
        <w:ind w:firstLine="422"/>
        <w:rPr>
          <w:rFonts w:cs="Times New Roman"/>
          <w:color w:val="auto"/>
          <w:sz w:val="21"/>
          <w:lang w:eastAsia="zh-CN"/>
        </w:rPr>
      </w:pPr>
      <w:r>
        <w:rPr>
          <w:rFonts w:hint="eastAsia" w:cs="Times New Roman"/>
          <w:b/>
          <w:bCs/>
          <w:color w:val="auto"/>
          <w:sz w:val="21"/>
          <w:lang w:eastAsia="zh-CN"/>
        </w:rPr>
        <w:t>5.3</w:t>
      </w:r>
      <w:r>
        <w:rPr>
          <w:rFonts w:cs="Times New Roman"/>
          <w:b/>
          <w:bCs/>
          <w:color w:val="auto"/>
          <w:sz w:val="21"/>
          <w:lang w:eastAsia="zh-CN"/>
        </w:rPr>
        <w:t>.</w:t>
      </w:r>
      <w:r>
        <w:rPr>
          <w:rFonts w:hint="eastAsia" w:cs="Times New Roman"/>
          <w:b/>
          <w:bCs/>
          <w:color w:val="auto"/>
          <w:sz w:val="21"/>
          <w:lang w:eastAsia="zh-CN"/>
        </w:rPr>
        <w:t>10</w:t>
      </w:r>
      <w:r>
        <w:rPr>
          <w:rFonts w:cs="Times New Roman"/>
          <w:color w:val="auto"/>
          <w:sz w:val="21"/>
          <w:lang w:eastAsia="zh-CN"/>
        </w:rPr>
        <w:t xml:space="preserve"> 注浆管埋设时，钻孔深度应钻穿井壁,并应在钻好的孔内安装注浆管，注浆嘴周围与钻孔之间应无空隙、不漏水。</w:t>
      </w:r>
    </w:p>
    <w:p>
      <w:pPr>
        <w:ind w:firstLine="422"/>
        <w:rPr>
          <w:rFonts w:cs="Times New Roman"/>
          <w:color w:val="auto"/>
          <w:sz w:val="21"/>
          <w:lang w:eastAsia="zh-CN"/>
        </w:rPr>
      </w:pPr>
      <w:r>
        <w:rPr>
          <w:rFonts w:hint="eastAsia" w:cs="Times New Roman"/>
          <w:b/>
          <w:bCs/>
          <w:color w:val="auto"/>
          <w:sz w:val="21"/>
          <w:lang w:eastAsia="zh-CN"/>
        </w:rPr>
        <w:t>5.3</w:t>
      </w:r>
      <w:r>
        <w:rPr>
          <w:rFonts w:cs="Times New Roman"/>
          <w:b/>
          <w:bCs/>
          <w:color w:val="auto"/>
          <w:sz w:val="21"/>
          <w:lang w:eastAsia="zh-CN"/>
        </w:rPr>
        <w:t>.1</w:t>
      </w:r>
      <w:r>
        <w:rPr>
          <w:rFonts w:hint="eastAsia" w:cs="Times New Roman"/>
          <w:b/>
          <w:bCs/>
          <w:color w:val="auto"/>
          <w:sz w:val="21"/>
          <w:lang w:eastAsia="zh-CN"/>
        </w:rPr>
        <w:t>1</w:t>
      </w:r>
      <w:r>
        <w:rPr>
          <w:rFonts w:cs="Times New Roman"/>
          <w:color w:val="auto"/>
          <w:sz w:val="21"/>
          <w:lang w:eastAsia="zh-CN"/>
        </w:rPr>
        <w:t xml:space="preserve"> 注浆施工应符合下列规定：</w:t>
      </w:r>
    </w:p>
    <w:p>
      <w:pPr>
        <w:ind w:left="418" w:firstLine="422"/>
        <w:rPr>
          <w:rFonts w:cs="Times New Roman"/>
          <w:color w:val="auto"/>
          <w:sz w:val="21"/>
          <w:lang w:eastAsia="zh-CN"/>
        </w:rPr>
      </w:pPr>
      <w:r>
        <w:rPr>
          <w:rFonts w:cs="Times New Roman"/>
          <w:b/>
          <w:bCs/>
          <w:color w:val="auto"/>
          <w:sz w:val="21"/>
          <w:lang w:eastAsia="zh-CN"/>
        </w:rPr>
        <w:t>1</w:t>
      </w:r>
      <w:r>
        <w:rPr>
          <w:rFonts w:cs="Times New Roman"/>
          <w:color w:val="auto"/>
          <w:sz w:val="21"/>
          <w:lang w:eastAsia="zh-CN"/>
        </w:rPr>
        <w:t xml:space="preserve"> 注浆时，应按照1:1体积比注浆，并应保持注浆压力为0.5</w:t>
      </w:r>
      <w:r>
        <w:rPr>
          <w:rFonts w:hint="eastAsia" w:cs="Times New Roman"/>
          <w:color w:val="auto"/>
          <w:sz w:val="21"/>
          <w:lang w:eastAsia="zh-CN"/>
        </w:rPr>
        <w:t xml:space="preserve"> </w:t>
      </w:r>
      <w:r>
        <w:rPr>
          <w:rFonts w:cs="Times New Roman"/>
          <w:color w:val="auto"/>
          <w:sz w:val="21"/>
          <w:lang w:eastAsia="zh-CN"/>
        </w:rPr>
        <w:t>MPa</w:t>
      </w:r>
      <w:r>
        <w:rPr>
          <w:rFonts w:hint="eastAsia" w:cs="Times New Roman"/>
          <w:color w:val="auto"/>
          <w:sz w:val="21"/>
          <w:lang w:eastAsia="zh-CN"/>
        </w:rPr>
        <w:t xml:space="preserve"> </w:t>
      </w:r>
      <w:r>
        <w:rPr>
          <w:rFonts w:cs="Times New Roman"/>
          <w:color w:val="auto"/>
          <w:sz w:val="21"/>
          <w:lang w:eastAsia="zh-CN"/>
        </w:rPr>
        <w:t>~</w:t>
      </w:r>
      <w:r>
        <w:rPr>
          <w:rFonts w:hint="eastAsia" w:cs="Times New Roman"/>
          <w:color w:val="auto"/>
          <w:sz w:val="21"/>
          <w:lang w:eastAsia="zh-CN"/>
        </w:rPr>
        <w:t xml:space="preserve"> </w:t>
      </w:r>
      <w:r>
        <w:rPr>
          <w:rFonts w:cs="Times New Roman"/>
          <w:color w:val="auto"/>
          <w:sz w:val="21"/>
          <w:lang w:eastAsia="zh-CN"/>
        </w:rPr>
        <w:t>4</w:t>
      </w:r>
      <w:r>
        <w:rPr>
          <w:rFonts w:hint="eastAsia" w:cs="Times New Roman"/>
          <w:color w:val="auto"/>
          <w:sz w:val="21"/>
          <w:lang w:eastAsia="zh-CN"/>
        </w:rPr>
        <w:t xml:space="preserve"> </w:t>
      </w:r>
      <w:r>
        <w:rPr>
          <w:rFonts w:cs="Times New Roman"/>
          <w:color w:val="auto"/>
          <w:sz w:val="21"/>
          <w:lang w:eastAsia="zh-CN"/>
        </w:rPr>
        <w:t>MPa；</w:t>
      </w:r>
    </w:p>
    <w:p>
      <w:pPr>
        <w:ind w:left="418" w:firstLine="422"/>
        <w:rPr>
          <w:rFonts w:cs="Times New Roman"/>
          <w:color w:val="auto"/>
          <w:sz w:val="21"/>
          <w:lang w:eastAsia="zh-CN"/>
        </w:rPr>
      </w:pPr>
      <w:r>
        <w:rPr>
          <w:rFonts w:cs="Times New Roman"/>
          <w:b/>
          <w:bCs/>
          <w:color w:val="auto"/>
          <w:sz w:val="21"/>
          <w:lang w:eastAsia="zh-CN"/>
        </w:rPr>
        <w:t>2</w:t>
      </w:r>
      <w:r>
        <w:rPr>
          <w:rFonts w:cs="Times New Roman"/>
          <w:color w:val="auto"/>
          <w:sz w:val="21"/>
          <w:lang w:eastAsia="zh-CN"/>
        </w:rPr>
        <w:t xml:space="preserve"> 注浆过程中，相邻的注浆管注浆液溢流或注浆管之间缝隙溢流即可结束注浆；</w:t>
      </w:r>
    </w:p>
    <w:p>
      <w:pPr>
        <w:ind w:left="418" w:firstLine="422"/>
        <w:rPr>
          <w:rFonts w:cs="Times New Roman"/>
          <w:color w:val="auto"/>
          <w:sz w:val="21"/>
          <w:lang w:eastAsia="zh-CN"/>
        </w:rPr>
      </w:pPr>
      <w:r>
        <w:rPr>
          <w:rFonts w:cs="Times New Roman"/>
          <w:b/>
          <w:bCs/>
          <w:color w:val="auto"/>
          <w:sz w:val="21"/>
          <w:lang w:eastAsia="zh-CN"/>
        </w:rPr>
        <w:t>3</w:t>
      </w:r>
      <w:r>
        <w:rPr>
          <w:rFonts w:cs="Times New Roman"/>
          <w:color w:val="auto"/>
          <w:sz w:val="21"/>
          <w:lang w:eastAsia="zh-CN"/>
        </w:rPr>
        <w:t xml:space="preserve"> 注浆结束后，应截断留在井壁内的注浆管，并应进行封孔处理；</w:t>
      </w:r>
    </w:p>
    <w:p>
      <w:pPr>
        <w:ind w:left="418" w:firstLine="422"/>
        <w:rPr>
          <w:rFonts w:cs="Times New Roman"/>
          <w:color w:val="auto"/>
          <w:sz w:val="21"/>
          <w:lang w:eastAsia="zh-CN"/>
        </w:rPr>
      </w:pPr>
      <w:r>
        <w:rPr>
          <w:rFonts w:cs="Times New Roman"/>
          <w:b/>
          <w:bCs/>
          <w:color w:val="auto"/>
          <w:sz w:val="21"/>
          <w:lang w:eastAsia="zh-CN"/>
        </w:rPr>
        <w:t>4</w:t>
      </w:r>
      <w:r>
        <w:rPr>
          <w:rFonts w:cs="Times New Roman"/>
          <w:color w:val="auto"/>
          <w:sz w:val="21"/>
          <w:lang w:eastAsia="zh-CN"/>
        </w:rPr>
        <w:t xml:space="preserve"> 应及时清理井室内注浆产生的垃圾。</w:t>
      </w:r>
    </w:p>
    <w:p>
      <w:pPr>
        <w:ind w:firstLine="420"/>
        <w:jc w:val="center"/>
        <w:rPr>
          <w:rFonts w:cs="Times New Roman"/>
          <w:color w:val="auto"/>
          <w:sz w:val="21"/>
          <w:lang w:eastAsia="zh-CN"/>
        </w:rPr>
      </w:pPr>
      <w:bookmarkStart w:id="139" w:name="_Toc185579973"/>
      <w:bookmarkStart w:id="140" w:name="_Toc187611788"/>
      <w:bookmarkStart w:id="141" w:name="_Toc195818019"/>
      <w:bookmarkStart w:id="142" w:name="_Toc193270236"/>
      <w:r>
        <w:rPr>
          <w:rFonts w:cs="Times New Roman"/>
          <w:color w:val="auto"/>
          <w:sz w:val="21"/>
          <w:lang w:eastAsia="zh-CN"/>
        </w:rPr>
        <w:t>Ⅲ 堵漏</w:t>
      </w:r>
    </w:p>
    <w:p>
      <w:pPr>
        <w:ind w:firstLine="420" w:firstLineChars="0"/>
        <w:rPr>
          <w:rFonts w:cs="Times New Roman"/>
          <w:color w:val="000000" w:themeColor="text1"/>
          <w:sz w:val="21"/>
          <w:lang w:eastAsia="zh-CN"/>
          <w14:textFill>
            <w14:solidFill>
              <w14:schemeClr w14:val="tx1"/>
            </w14:solidFill>
          </w14:textFill>
        </w:rPr>
      </w:pPr>
      <w:bookmarkStart w:id="143" w:name="OLE_LINK12"/>
      <w:r>
        <w:rPr>
          <w:rFonts w:cs="Times New Roman"/>
          <w:b/>
          <w:bCs/>
          <w:color w:val="auto"/>
          <w:sz w:val="21"/>
          <w:lang w:eastAsia="zh-CN"/>
        </w:rPr>
        <w:t>5.</w:t>
      </w:r>
      <w:r>
        <w:rPr>
          <w:rFonts w:hint="eastAsia" w:cs="Times New Roman"/>
          <w:b/>
          <w:bCs/>
          <w:color w:val="auto"/>
          <w:sz w:val="21"/>
          <w:lang w:eastAsia="zh-CN"/>
        </w:rPr>
        <w:t>3</w:t>
      </w:r>
      <w:r>
        <w:rPr>
          <w:rFonts w:cs="Times New Roman"/>
          <w:b/>
          <w:bCs/>
          <w:color w:val="000000" w:themeColor="text1"/>
          <w:sz w:val="21"/>
          <w:lang w:eastAsia="zh-CN"/>
          <w14:textFill>
            <w14:solidFill>
              <w14:schemeClr w14:val="tx1"/>
            </w14:solidFill>
          </w14:textFill>
        </w:rPr>
        <w:t>.1</w:t>
      </w:r>
      <w:bookmarkEnd w:id="143"/>
      <w:r>
        <w:rPr>
          <w:rFonts w:hint="eastAsia" w:cs="Times New Roman"/>
          <w:b/>
          <w:bCs/>
          <w:color w:val="000000" w:themeColor="text1"/>
          <w:sz w:val="21"/>
          <w:lang w:eastAsia="zh-CN"/>
          <w14:textFill>
            <w14:solidFill>
              <w14:schemeClr w14:val="tx1"/>
            </w14:solidFill>
          </w14:textFill>
        </w:rPr>
        <w:t>2</w:t>
      </w:r>
      <w:r>
        <w:rPr>
          <w:rFonts w:ascii="宋体" w:hAnsi="宋体"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DN800及以上排水管道宜在嵌缝后，应采用不锈钢双胀圈、快干水泥或水溶性聚氨酯注浆进行堵漏。</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13</w:t>
      </w:r>
      <w:r>
        <w:rPr>
          <w:rFonts w:ascii="宋体" w:hAnsi="宋体"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DN800以下排水管道宜采用不锈钢快速锁法进行堵漏，并应符合现行行业标准《城镇排水管道非开挖修复更新工程技术规程》CJJ/T 210规定。</w:t>
      </w:r>
    </w:p>
    <w:p>
      <w:pPr>
        <w:ind w:firstLine="422"/>
        <w:rPr>
          <w:rFonts w:cs="Times New Roman"/>
          <w:color w:val="auto"/>
          <w:sz w:val="21"/>
          <w:lang w:eastAsia="zh-CN"/>
        </w:rPr>
      </w:pPr>
      <w:r>
        <w:rPr>
          <w:rFonts w:cs="Times New Roman"/>
          <w:b/>
          <w:bCs/>
          <w:color w:val="auto"/>
          <w:sz w:val="21"/>
          <w:lang w:eastAsia="zh-CN"/>
        </w:rPr>
        <w:t>5.</w:t>
      </w:r>
      <w:r>
        <w:rPr>
          <w:rFonts w:hint="eastAsia" w:cs="Times New Roman"/>
          <w:b/>
          <w:bCs/>
          <w:color w:val="auto"/>
          <w:sz w:val="21"/>
          <w:lang w:eastAsia="zh-CN"/>
        </w:rPr>
        <w:t>3</w:t>
      </w:r>
      <w:r>
        <w:rPr>
          <w:rFonts w:cs="Times New Roman"/>
          <w:b/>
          <w:bCs/>
          <w:color w:val="auto"/>
          <w:sz w:val="21"/>
          <w:lang w:eastAsia="zh-CN"/>
        </w:rPr>
        <w:t>.</w:t>
      </w:r>
      <w:r>
        <w:rPr>
          <w:rFonts w:hint="eastAsia" w:cs="Times New Roman"/>
          <w:b/>
          <w:bCs/>
          <w:color w:val="auto"/>
          <w:sz w:val="21"/>
          <w:lang w:eastAsia="zh-CN"/>
        </w:rPr>
        <w:t>14</w:t>
      </w:r>
      <w:r>
        <w:rPr>
          <w:rFonts w:cs="Times New Roman"/>
          <w:color w:val="auto"/>
          <w:sz w:val="21"/>
          <w:lang w:eastAsia="zh-CN"/>
        </w:rPr>
        <w:t xml:space="preserve"> 检查井宜采用水溶性聚氨酯进行堵漏，并应符合下列规定：</w:t>
      </w:r>
    </w:p>
    <w:p>
      <w:pPr>
        <w:ind w:left="418" w:firstLine="422"/>
        <w:rPr>
          <w:rFonts w:cs="Times New Roman"/>
          <w:color w:val="auto"/>
          <w:sz w:val="21"/>
          <w:lang w:eastAsia="zh-CN"/>
        </w:rPr>
      </w:pPr>
      <w:r>
        <w:rPr>
          <w:rFonts w:cs="Times New Roman"/>
          <w:b/>
          <w:bCs/>
          <w:color w:val="auto"/>
          <w:sz w:val="21"/>
          <w:lang w:eastAsia="zh-CN"/>
        </w:rPr>
        <w:t>1</w:t>
      </w:r>
      <w:r>
        <w:rPr>
          <w:rFonts w:cs="Times New Roman"/>
          <w:color w:val="auto"/>
          <w:sz w:val="21"/>
          <w:lang w:eastAsia="zh-CN"/>
        </w:rPr>
        <w:t xml:space="preserve"> 水溶性聚氨酯材料应具有良好的亲水性，遇水后能够迅速膨胀并形成弹性固结体；</w:t>
      </w:r>
    </w:p>
    <w:p>
      <w:pPr>
        <w:ind w:left="420" w:firstLine="422"/>
        <w:rPr>
          <w:rFonts w:cs="Times New Roman"/>
          <w:color w:val="auto"/>
          <w:sz w:val="21"/>
          <w:lang w:eastAsia="zh-CN"/>
        </w:rPr>
      </w:pPr>
      <w:r>
        <w:rPr>
          <w:rFonts w:cs="Times New Roman"/>
          <w:b/>
          <w:bCs/>
          <w:color w:val="auto"/>
          <w:sz w:val="21"/>
          <w:lang w:eastAsia="zh-CN"/>
        </w:rPr>
        <w:t>2</w:t>
      </w:r>
      <w:r>
        <w:rPr>
          <w:rFonts w:cs="Times New Roman"/>
          <w:color w:val="auto"/>
          <w:sz w:val="21"/>
          <w:lang w:eastAsia="zh-CN"/>
        </w:rPr>
        <w:t xml:space="preserve"> 在渗漏部位钻孔，孔径和孔距应根据渗漏情况确定，一般孔距宜200</w:t>
      </w:r>
      <w:r>
        <w:rPr>
          <w:rFonts w:hint="eastAsia" w:cs="Times New Roman"/>
          <w:color w:val="auto"/>
          <w:sz w:val="21"/>
          <w:lang w:eastAsia="zh-CN"/>
        </w:rPr>
        <w:t xml:space="preserve"> </w:t>
      </w:r>
      <w:r>
        <w:rPr>
          <w:rFonts w:cs="Times New Roman"/>
          <w:color w:val="auto"/>
          <w:sz w:val="21"/>
          <w:lang w:eastAsia="zh-CN"/>
        </w:rPr>
        <w:t>mm</w:t>
      </w:r>
      <w:r>
        <w:rPr>
          <w:rFonts w:hint="eastAsia" w:cs="Times New Roman"/>
          <w:color w:val="auto"/>
          <w:sz w:val="21"/>
          <w:lang w:eastAsia="zh-CN"/>
        </w:rPr>
        <w:t xml:space="preserve"> </w:t>
      </w:r>
      <w:r>
        <w:rPr>
          <w:rFonts w:cs="Times New Roman"/>
          <w:color w:val="auto"/>
          <w:sz w:val="21"/>
          <w:lang w:eastAsia="zh-CN"/>
        </w:rPr>
        <w:t>~</w:t>
      </w:r>
      <w:r>
        <w:rPr>
          <w:rFonts w:hint="eastAsia" w:cs="Times New Roman"/>
          <w:color w:val="auto"/>
          <w:sz w:val="21"/>
          <w:lang w:eastAsia="zh-CN"/>
        </w:rPr>
        <w:t xml:space="preserve"> </w:t>
      </w:r>
      <w:r>
        <w:rPr>
          <w:rFonts w:cs="Times New Roman"/>
          <w:color w:val="auto"/>
          <w:sz w:val="21"/>
          <w:lang w:eastAsia="zh-CN"/>
        </w:rPr>
        <w:t>500</w:t>
      </w:r>
      <w:r>
        <w:rPr>
          <w:rFonts w:hint="eastAsia" w:cs="Times New Roman"/>
          <w:color w:val="auto"/>
          <w:sz w:val="21"/>
          <w:lang w:eastAsia="zh-CN"/>
        </w:rPr>
        <w:t xml:space="preserve"> </w:t>
      </w:r>
      <w:r>
        <w:rPr>
          <w:rFonts w:cs="Times New Roman"/>
          <w:color w:val="auto"/>
          <w:sz w:val="21"/>
          <w:lang w:eastAsia="zh-CN"/>
        </w:rPr>
        <w:t>mm；钻孔完成后应埋设注浆嘴，并用快干水泥或专用封缝胶封闭孔口及裂缝表面；</w:t>
      </w:r>
    </w:p>
    <w:p>
      <w:pPr>
        <w:ind w:left="420" w:firstLine="422"/>
        <w:rPr>
          <w:rFonts w:cs="Times New Roman"/>
          <w:color w:val="auto"/>
          <w:sz w:val="21"/>
          <w:lang w:eastAsia="zh-CN"/>
        </w:rPr>
      </w:pPr>
      <w:r>
        <w:rPr>
          <w:rFonts w:cs="Times New Roman"/>
          <w:b/>
          <w:bCs/>
          <w:color w:val="auto"/>
          <w:sz w:val="21"/>
          <w:lang w:eastAsia="zh-CN"/>
        </w:rPr>
        <w:t>3</w:t>
      </w:r>
      <w:r>
        <w:rPr>
          <w:rFonts w:cs="Times New Roman"/>
          <w:color w:val="auto"/>
          <w:sz w:val="21"/>
          <w:lang w:eastAsia="zh-CN"/>
        </w:rPr>
        <w:t xml:space="preserve"> 灌浆时应根据渗漏情况控制灌浆压力和灌浆量；灌浆顺序宜从下往上、从外往内进行；当相邻注浆嘴出浆时，应停止灌浆并移至下一注浆嘴继续灌浆，直至灌浆压力稳定上升且无渗漏为止；</w:t>
      </w:r>
    </w:p>
    <w:p>
      <w:pPr>
        <w:ind w:left="420" w:firstLine="422"/>
        <w:rPr>
          <w:rFonts w:cs="Times New Roman"/>
          <w:color w:val="auto"/>
          <w:sz w:val="21"/>
          <w:lang w:eastAsia="zh-CN"/>
        </w:rPr>
      </w:pPr>
      <w:r>
        <w:rPr>
          <w:rFonts w:cs="Times New Roman"/>
          <w:b/>
          <w:bCs/>
          <w:color w:val="auto"/>
          <w:sz w:val="21"/>
          <w:lang w:eastAsia="zh-CN"/>
        </w:rPr>
        <w:t>4</w:t>
      </w:r>
      <w:r>
        <w:rPr>
          <w:rFonts w:cs="Times New Roman"/>
          <w:color w:val="auto"/>
          <w:sz w:val="21"/>
          <w:lang w:eastAsia="zh-CN"/>
        </w:rPr>
        <w:t xml:space="preserve"> 灌浆结束后，应待浆液固化后拆除注浆嘴，并对注浆孔进行封堵处理，确保表面平整、密实。</w:t>
      </w:r>
      <w:bookmarkEnd w:id="139"/>
      <w:bookmarkEnd w:id="140"/>
      <w:bookmarkEnd w:id="141"/>
      <w:bookmarkEnd w:id="142"/>
    </w:p>
    <w:p>
      <w:pPr>
        <w:ind w:firstLine="0" w:firstLineChars="0"/>
        <w:jc w:val="center"/>
        <w:rPr>
          <w:rFonts w:cs="Times New Roman"/>
          <w:color w:val="auto"/>
          <w:sz w:val="21"/>
          <w:lang w:eastAsia="zh-CN"/>
        </w:rPr>
      </w:pPr>
      <w:r>
        <w:rPr>
          <w:rFonts w:cs="Times New Roman"/>
          <w:color w:val="auto"/>
          <w:sz w:val="21"/>
          <w:lang w:eastAsia="zh-CN"/>
        </w:rPr>
        <w:t xml:space="preserve">Ⅳ </w:t>
      </w:r>
      <w:bookmarkStart w:id="144" w:name="OLE_LINK24"/>
      <w:r>
        <w:rPr>
          <w:rFonts w:cs="Times New Roman"/>
          <w:color w:val="auto"/>
          <w:sz w:val="21"/>
          <w:lang w:eastAsia="zh-CN"/>
        </w:rPr>
        <w:t>不锈钢双胀环法</w:t>
      </w:r>
    </w:p>
    <w:bookmarkEnd w:id="144"/>
    <w:p>
      <w:pPr>
        <w:ind w:firstLine="422"/>
        <w:rPr>
          <w:rFonts w:cs="Times New Roman"/>
          <w:color w:val="auto"/>
          <w:sz w:val="21"/>
          <w:lang w:eastAsia="zh-CN"/>
        </w:rPr>
      </w:pPr>
      <w:r>
        <w:rPr>
          <w:rFonts w:cs="Times New Roman"/>
          <w:b/>
          <w:bCs/>
          <w:color w:val="auto"/>
          <w:sz w:val="21"/>
          <w:lang w:eastAsia="zh-CN"/>
        </w:rPr>
        <w:t>5.</w:t>
      </w:r>
      <w:r>
        <w:rPr>
          <w:rFonts w:hint="eastAsia" w:cs="Times New Roman"/>
          <w:b/>
          <w:bCs/>
          <w:color w:val="auto"/>
          <w:sz w:val="21"/>
          <w:lang w:eastAsia="zh-CN"/>
        </w:rPr>
        <w:t>3</w:t>
      </w:r>
      <w:r>
        <w:rPr>
          <w:rFonts w:cs="Times New Roman"/>
          <w:b/>
          <w:bCs/>
          <w:color w:val="auto"/>
          <w:sz w:val="21"/>
          <w:lang w:eastAsia="zh-CN"/>
        </w:rPr>
        <w:t>.1</w:t>
      </w:r>
      <w:r>
        <w:rPr>
          <w:rFonts w:hint="eastAsia" w:cs="Times New Roman"/>
          <w:b/>
          <w:bCs/>
          <w:color w:val="auto"/>
          <w:sz w:val="21"/>
          <w:lang w:eastAsia="zh-CN"/>
        </w:rPr>
        <w:t>5</w:t>
      </w:r>
      <w:r>
        <w:rPr>
          <w:rFonts w:cs="Times New Roman"/>
          <w:color w:val="auto"/>
          <w:sz w:val="21"/>
          <w:lang w:eastAsia="zh-CN"/>
        </w:rPr>
        <w:t xml:space="preserve"> </w:t>
      </w:r>
      <w:bookmarkStart w:id="145" w:name="OLE_LINK22"/>
      <w:r>
        <w:rPr>
          <w:rFonts w:cs="Times New Roman"/>
          <w:color w:val="auto"/>
          <w:sz w:val="21"/>
          <w:lang w:eastAsia="zh-CN"/>
        </w:rPr>
        <w:t>不锈钢胀环法</w:t>
      </w:r>
      <w:bookmarkEnd w:id="145"/>
      <w:bookmarkStart w:id="146" w:name="OLE_LINK32"/>
      <w:r>
        <w:rPr>
          <w:rFonts w:cs="Times New Roman"/>
          <w:color w:val="auto"/>
          <w:sz w:val="21"/>
          <w:lang w:eastAsia="zh-CN"/>
        </w:rPr>
        <w:t>修复</w:t>
      </w:r>
      <w:bookmarkEnd w:id="146"/>
      <w:r>
        <w:rPr>
          <w:rFonts w:cs="Times New Roman"/>
          <w:color w:val="auto"/>
          <w:sz w:val="21"/>
          <w:lang w:eastAsia="zh-CN"/>
        </w:rPr>
        <w:t>施工时，应符合下列规定：</w:t>
      </w:r>
    </w:p>
    <w:p>
      <w:pPr>
        <w:ind w:left="418" w:firstLine="422"/>
        <w:rPr>
          <w:rFonts w:cs="Times New Roman"/>
          <w:color w:val="auto"/>
          <w:sz w:val="21"/>
          <w:lang w:eastAsia="zh-CN"/>
        </w:rPr>
      </w:pPr>
      <w:r>
        <w:rPr>
          <w:rFonts w:cs="Times New Roman"/>
          <w:b/>
          <w:bCs/>
          <w:color w:val="auto"/>
          <w:sz w:val="21"/>
          <w:lang w:eastAsia="zh-CN"/>
        </w:rPr>
        <w:t>1</w:t>
      </w:r>
      <w:r>
        <w:rPr>
          <w:rFonts w:cs="Times New Roman"/>
          <w:color w:val="auto"/>
          <w:sz w:val="21"/>
          <w:lang w:eastAsia="zh-CN"/>
        </w:rPr>
        <w:t xml:space="preserve"> 修复前应检查缺陷点，若存在明显内渗漏、错口、异物等，应先采取注浆、堵水等必要的预处理措施；</w:t>
      </w:r>
    </w:p>
    <w:p>
      <w:pPr>
        <w:ind w:left="418" w:firstLine="422"/>
        <w:rPr>
          <w:rFonts w:cs="Times New Roman"/>
          <w:color w:val="auto"/>
          <w:sz w:val="21"/>
          <w:lang w:eastAsia="zh-CN"/>
        </w:rPr>
      </w:pPr>
      <w:r>
        <w:rPr>
          <w:rFonts w:cs="Times New Roman"/>
          <w:b/>
          <w:bCs/>
          <w:color w:val="auto"/>
          <w:sz w:val="21"/>
          <w:lang w:eastAsia="zh-CN"/>
        </w:rPr>
        <w:t>2</w:t>
      </w:r>
      <w:r>
        <w:rPr>
          <w:rFonts w:cs="Times New Roman"/>
          <w:color w:val="auto"/>
          <w:sz w:val="21"/>
          <w:lang w:eastAsia="zh-CN"/>
        </w:rPr>
        <w:t xml:space="preserve"> 止水橡胶带宜采用人工辅助沿管道环向平铺于管道内壁的方式，平铺后应完全覆盖管道缺陷处，同时橡胶带表面应平整、无褶皱，内壁应紧贴原管道；</w:t>
      </w:r>
    </w:p>
    <w:p>
      <w:pPr>
        <w:ind w:left="418" w:firstLine="422"/>
        <w:rPr>
          <w:rFonts w:cs="Times New Roman"/>
          <w:color w:val="auto"/>
          <w:sz w:val="21"/>
          <w:lang w:eastAsia="zh-CN"/>
        </w:rPr>
      </w:pPr>
      <w:r>
        <w:rPr>
          <w:rFonts w:cs="Times New Roman"/>
          <w:b/>
          <w:bCs/>
          <w:color w:val="auto"/>
          <w:sz w:val="21"/>
          <w:lang w:eastAsia="zh-CN"/>
        </w:rPr>
        <w:t>3</w:t>
      </w:r>
      <w:r>
        <w:rPr>
          <w:rFonts w:cs="Times New Roman"/>
          <w:color w:val="auto"/>
          <w:sz w:val="21"/>
          <w:lang w:eastAsia="zh-CN"/>
        </w:rPr>
        <w:t xml:space="preserve"> 不锈钢胀环应沿止水橡胶带的压槽安装，安装时钢套环应垂直无倾斜，牢固可靠；</w:t>
      </w:r>
    </w:p>
    <w:p>
      <w:pPr>
        <w:ind w:left="420" w:firstLine="422"/>
        <w:rPr>
          <w:rFonts w:cs="Times New Roman"/>
          <w:color w:val="auto"/>
          <w:sz w:val="21"/>
          <w:lang w:eastAsia="zh-CN"/>
        </w:rPr>
      </w:pPr>
      <w:r>
        <w:rPr>
          <w:rFonts w:cs="Times New Roman"/>
          <w:b/>
          <w:bCs/>
          <w:color w:val="auto"/>
          <w:sz w:val="21"/>
          <w:lang w:eastAsia="zh-CN"/>
        </w:rPr>
        <w:t>4</w:t>
      </w:r>
      <w:r>
        <w:rPr>
          <w:rFonts w:cs="Times New Roman"/>
          <w:color w:val="auto"/>
          <w:sz w:val="21"/>
          <w:lang w:eastAsia="zh-CN"/>
        </w:rPr>
        <w:t xml:space="preserve"> 安装完成后应拆除胀环上焊接的液压设备支撑点，拆除时应沿环向施力拆除，禁止沿纵向施力拆除。</w:t>
      </w:r>
    </w:p>
    <w:p>
      <w:pPr>
        <w:ind w:firstLine="422"/>
        <w:rPr>
          <w:rFonts w:cs="Times New Roman"/>
          <w:color w:val="auto"/>
          <w:sz w:val="21"/>
          <w:lang w:eastAsia="zh-CN"/>
        </w:rPr>
      </w:pPr>
      <w:r>
        <w:rPr>
          <w:rFonts w:cs="Times New Roman"/>
          <w:b/>
          <w:bCs/>
          <w:color w:val="auto"/>
          <w:sz w:val="21"/>
          <w:lang w:eastAsia="zh-CN"/>
        </w:rPr>
        <w:t>5.</w:t>
      </w:r>
      <w:r>
        <w:rPr>
          <w:rFonts w:hint="eastAsia" w:cs="Times New Roman"/>
          <w:b/>
          <w:bCs/>
          <w:color w:val="auto"/>
          <w:sz w:val="21"/>
          <w:lang w:eastAsia="zh-CN"/>
        </w:rPr>
        <w:t>3</w:t>
      </w:r>
      <w:r>
        <w:rPr>
          <w:rFonts w:cs="Times New Roman"/>
          <w:b/>
          <w:bCs/>
          <w:color w:val="auto"/>
          <w:sz w:val="21"/>
          <w:lang w:eastAsia="zh-CN"/>
        </w:rPr>
        <w:t>.</w:t>
      </w:r>
      <w:r>
        <w:rPr>
          <w:rFonts w:hint="eastAsia" w:cs="Times New Roman"/>
          <w:b/>
          <w:bCs/>
          <w:color w:val="auto"/>
          <w:sz w:val="21"/>
          <w:lang w:eastAsia="zh-CN"/>
        </w:rPr>
        <w:t>16</w:t>
      </w:r>
      <w:r>
        <w:rPr>
          <w:rFonts w:cs="Times New Roman"/>
          <w:color w:val="auto"/>
          <w:sz w:val="21"/>
          <w:lang w:eastAsia="zh-CN"/>
        </w:rPr>
        <w:t xml:space="preserve"> 修复施工时，应做好注浆用量、注浆压力、液压设备的撑力，修复前、后的渗水程度等施工记录。</w:t>
      </w:r>
    </w:p>
    <w:p>
      <w:pPr>
        <w:ind w:firstLine="420"/>
        <w:jc w:val="center"/>
        <w:rPr>
          <w:rFonts w:cs="Times New Roman"/>
          <w:color w:val="auto"/>
          <w:sz w:val="21"/>
          <w:lang w:eastAsia="zh-CN"/>
        </w:rPr>
      </w:pPr>
      <w:r>
        <w:rPr>
          <w:rFonts w:cs="Times New Roman"/>
          <w:color w:val="auto"/>
          <w:sz w:val="21"/>
          <w:lang w:eastAsia="zh-CN"/>
        </w:rPr>
        <w:t>Ⅴ 不锈钢快速锁</w:t>
      </w:r>
    </w:p>
    <w:p>
      <w:pPr>
        <w:ind w:firstLine="422"/>
        <w:rPr>
          <w:rFonts w:cs="Times New Roman"/>
          <w:color w:val="auto"/>
          <w:sz w:val="21"/>
          <w:lang w:eastAsia="zh-CN"/>
        </w:rPr>
      </w:pPr>
      <w:r>
        <w:rPr>
          <w:rFonts w:cs="Times New Roman"/>
          <w:b/>
          <w:bCs/>
          <w:color w:val="auto"/>
          <w:sz w:val="21"/>
          <w:lang w:eastAsia="zh-CN"/>
        </w:rPr>
        <w:t>5.</w:t>
      </w:r>
      <w:r>
        <w:rPr>
          <w:rFonts w:hint="eastAsia" w:cs="Times New Roman"/>
          <w:b/>
          <w:bCs/>
          <w:color w:val="auto"/>
          <w:sz w:val="21"/>
          <w:lang w:eastAsia="zh-CN"/>
        </w:rPr>
        <w:t>3</w:t>
      </w:r>
      <w:r>
        <w:rPr>
          <w:rFonts w:cs="Times New Roman"/>
          <w:b/>
          <w:bCs/>
          <w:color w:val="auto"/>
          <w:sz w:val="21"/>
          <w:lang w:eastAsia="zh-CN"/>
        </w:rPr>
        <w:t>.</w:t>
      </w:r>
      <w:r>
        <w:rPr>
          <w:rFonts w:hint="eastAsia" w:cs="Times New Roman"/>
          <w:b/>
          <w:bCs/>
          <w:color w:val="auto"/>
          <w:sz w:val="21"/>
          <w:lang w:eastAsia="zh-CN"/>
        </w:rPr>
        <w:t>17</w:t>
      </w:r>
      <w:r>
        <w:rPr>
          <w:rFonts w:cs="Times New Roman"/>
          <w:color w:val="auto"/>
          <w:sz w:val="21"/>
          <w:lang w:eastAsia="zh-CN"/>
        </w:rPr>
        <w:t xml:space="preserve"> 不锈钢快速锁应覆盖待修复缺陷，且覆盖缺陷部位以外的轴向前、后超出长度均应大于100 mm；当缺陷轴向长度超过单个快速锁长度时，宜采取多个快速锁搭接方式。</w:t>
      </w:r>
    </w:p>
    <w:p>
      <w:pPr>
        <w:ind w:firstLine="422"/>
        <w:rPr>
          <w:rFonts w:cs="Times New Roman"/>
          <w:color w:val="auto"/>
          <w:sz w:val="21"/>
          <w:lang w:eastAsia="zh-CN"/>
        </w:rPr>
      </w:pPr>
      <w:r>
        <w:rPr>
          <w:rFonts w:cs="Times New Roman"/>
          <w:b/>
          <w:bCs/>
          <w:color w:val="auto"/>
          <w:sz w:val="21"/>
          <w:lang w:eastAsia="zh-CN"/>
        </w:rPr>
        <w:t>5.</w:t>
      </w:r>
      <w:r>
        <w:rPr>
          <w:rFonts w:hint="eastAsia" w:cs="Times New Roman"/>
          <w:b/>
          <w:bCs/>
          <w:color w:val="auto"/>
          <w:sz w:val="21"/>
          <w:lang w:eastAsia="zh-CN"/>
        </w:rPr>
        <w:t>3</w:t>
      </w:r>
      <w:r>
        <w:rPr>
          <w:rFonts w:cs="Times New Roman"/>
          <w:b/>
          <w:bCs/>
          <w:color w:val="auto"/>
          <w:sz w:val="21"/>
          <w:lang w:eastAsia="zh-CN"/>
        </w:rPr>
        <w:t>.</w:t>
      </w:r>
      <w:r>
        <w:rPr>
          <w:rFonts w:hint="eastAsia" w:cs="Times New Roman"/>
          <w:b/>
          <w:bCs/>
          <w:color w:val="auto"/>
          <w:sz w:val="21"/>
          <w:lang w:eastAsia="zh-CN"/>
        </w:rPr>
        <w:t>18</w:t>
      </w:r>
      <w:r>
        <w:rPr>
          <w:rFonts w:cs="Times New Roman"/>
          <w:color w:val="auto"/>
          <w:sz w:val="21"/>
          <w:lang w:eastAsia="zh-CN"/>
        </w:rPr>
        <w:t xml:space="preserve"> 采用气囊安装的不锈钢快速锁应符合下列规定：</w:t>
      </w:r>
    </w:p>
    <w:p>
      <w:pPr>
        <w:ind w:left="418" w:firstLine="422"/>
        <w:rPr>
          <w:rFonts w:cs="Times New Roman"/>
          <w:color w:val="auto"/>
          <w:sz w:val="21"/>
          <w:lang w:eastAsia="zh-CN"/>
        </w:rPr>
      </w:pPr>
      <w:r>
        <w:rPr>
          <w:rFonts w:cs="Times New Roman"/>
          <w:b/>
          <w:bCs/>
          <w:color w:val="auto"/>
          <w:sz w:val="21"/>
          <w:lang w:eastAsia="zh-CN"/>
        </w:rPr>
        <w:t>1</w:t>
      </w:r>
      <w:r>
        <w:rPr>
          <w:rFonts w:cs="Times New Roman"/>
          <w:color w:val="auto"/>
          <w:sz w:val="21"/>
          <w:lang w:eastAsia="zh-CN"/>
        </w:rPr>
        <w:t xml:space="preserve"> 应采用CCTV或潜望镜设备实时监测、辅助气囊定位；</w:t>
      </w:r>
    </w:p>
    <w:p>
      <w:pPr>
        <w:ind w:left="418" w:firstLine="422"/>
        <w:rPr>
          <w:rFonts w:cs="Times New Roman"/>
          <w:color w:val="auto"/>
          <w:sz w:val="21"/>
          <w:lang w:eastAsia="zh-CN"/>
        </w:rPr>
      </w:pPr>
      <w:r>
        <w:rPr>
          <w:rFonts w:cs="Times New Roman"/>
          <w:b/>
          <w:bCs/>
          <w:color w:val="auto"/>
          <w:sz w:val="21"/>
          <w:lang w:eastAsia="zh-CN"/>
        </w:rPr>
        <w:t>2</w:t>
      </w:r>
      <w:r>
        <w:rPr>
          <w:rFonts w:cs="Times New Roman"/>
          <w:color w:val="auto"/>
          <w:sz w:val="21"/>
          <w:lang w:eastAsia="zh-CN"/>
        </w:rPr>
        <w:t xml:space="preserve"> 气囊内的气体压力应保证快速锁缓慢展开、紧贴原有管道内壁，气囊压力宜为0.35 MPa～0.40 MPa；</w:t>
      </w:r>
    </w:p>
    <w:p>
      <w:pPr>
        <w:ind w:left="418" w:firstLine="422"/>
        <w:rPr>
          <w:rFonts w:cs="Times New Roman"/>
          <w:color w:val="auto"/>
          <w:sz w:val="21"/>
          <w:lang w:eastAsia="zh-CN"/>
        </w:rPr>
      </w:pPr>
      <w:r>
        <w:rPr>
          <w:rFonts w:cs="Times New Roman"/>
          <w:b/>
          <w:bCs/>
          <w:color w:val="auto"/>
          <w:sz w:val="21"/>
          <w:lang w:eastAsia="zh-CN"/>
        </w:rPr>
        <w:t>3</w:t>
      </w:r>
      <w:r>
        <w:rPr>
          <w:rFonts w:cs="Times New Roman"/>
          <w:color w:val="auto"/>
          <w:sz w:val="21"/>
          <w:lang w:eastAsia="zh-CN"/>
        </w:rPr>
        <w:t xml:space="preserve"> 快速锁完全张开后，应缓慢释放气囊内的压力并撤出；</w:t>
      </w:r>
    </w:p>
    <w:p>
      <w:pPr>
        <w:ind w:left="418" w:firstLine="422"/>
        <w:rPr>
          <w:rFonts w:cs="Times New Roman"/>
          <w:color w:val="auto"/>
          <w:sz w:val="21"/>
          <w:lang w:eastAsia="zh-CN"/>
        </w:rPr>
      </w:pPr>
      <w:r>
        <w:rPr>
          <w:rFonts w:cs="Times New Roman"/>
          <w:b/>
          <w:bCs/>
          <w:color w:val="auto"/>
          <w:sz w:val="21"/>
          <w:lang w:eastAsia="zh-CN"/>
        </w:rPr>
        <w:t>4</w:t>
      </w:r>
      <w:r>
        <w:rPr>
          <w:rFonts w:cs="Times New Roman"/>
          <w:color w:val="auto"/>
          <w:sz w:val="21"/>
          <w:lang w:eastAsia="zh-CN"/>
        </w:rPr>
        <w:t xml:space="preserve"> 采用气囊安装的不锈钢快速锁不宜采用搭接方式。</w:t>
      </w:r>
    </w:p>
    <w:p>
      <w:pPr>
        <w:ind w:firstLine="422"/>
        <w:rPr>
          <w:rFonts w:cs="Times New Roman"/>
          <w:color w:val="auto"/>
          <w:sz w:val="21"/>
          <w:lang w:eastAsia="zh-CN"/>
        </w:rPr>
      </w:pPr>
      <w:r>
        <w:rPr>
          <w:rFonts w:cs="Times New Roman"/>
          <w:b/>
          <w:bCs/>
          <w:color w:val="auto"/>
          <w:sz w:val="21"/>
          <w:lang w:eastAsia="zh-CN"/>
        </w:rPr>
        <w:t>5.</w:t>
      </w:r>
      <w:r>
        <w:rPr>
          <w:rFonts w:hint="eastAsia" w:cs="Times New Roman"/>
          <w:b/>
          <w:bCs/>
          <w:color w:val="auto"/>
          <w:sz w:val="21"/>
          <w:lang w:eastAsia="zh-CN"/>
        </w:rPr>
        <w:t>3</w:t>
      </w:r>
      <w:r>
        <w:rPr>
          <w:rFonts w:cs="Times New Roman"/>
          <w:b/>
          <w:bCs/>
          <w:color w:val="auto"/>
          <w:sz w:val="21"/>
          <w:lang w:eastAsia="zh-CN"/>
        </w:rPr>
        <w:t>.</w:t>
      </w:r>
      <w:r>
        <w:rPr>
          <w:rFonts w:hint="eastAsia" w:cs="Times New Roman"/>
          <w:b/>
          <w:bCs/>
          <w:color w:val="auto"/>
          <w:sz w:val="21"/>
          <w:lang w:eastAsia="zh-CN"/>
        </w:rPr>
        <w:t>19</w:t>
      </w:r>
      <w:r>
        <w:rPr>
          <w:rFonts w:cs="Times New Roman"/>
          <w:color w:val="auto"/>
          <w:sz w:val="21"/>
          <w:lang w:eastAsia="zh-CN"/>
        </w:rPr>
        <w:t xml:space="preserve"> 采用人工方式安装的不锈钢快速锁应符合下列规定：</w:t>
      </w:r>
    </w:p>
    <w:p>
      <w:pPr>
        <w:ind w:left="418" w:firstLine="422"/>
        <w:rPr>
          <w:rFonts w:cs="Times New Roman"/>
          <w:color w:val="auto"/>
          <w:sz w:val="21"/>
          <w:lang w:eastAsia="zh-CN"/>
        </w:rPr>
      </w:pPr>
      <w:r>
        <w:rPr>
          <w:rFonts w:cs="Times New Roman"/>
          <w:b/>
          <w:bCs/>
          <w:color w:val="auto"/>
          <w:sz w:val="21"/>
          <w:lang w:eastAsia="zh-CN"/>
        </w:rPr>
        <w:t>1</w:t>
      </w:r>
      <w:r>
        <w:rPr>
          <w:rFonts w:cs="Times New Roman"/>
          <w:color w:val="auto"/>
          <w:sz w:val="21"/>
          <w:lang w:eastAsia="zh-CN"/>
        </w:rPr>
        <w:t xml:space="preserve"> 不锈钢环片、橡胶套等应由检查井置入待修复位置；</w:t>
      </w:r>
    </w:p>
    <w:p>
      <w:pPr>
        <w:ind w:left="418" w:firstLine="422"/>
        <w:rPr>
          <w:rFonts w:cs="Times New Roman"/>
          <w:color w:val="auto"/>
          <w:sz w:val="21"/>
          <w:lang w:eastAsia="zh-CN"/>
        </w:rPr>
      </w:pPr>
      <w:r>
        <w:rPr>
          <w:rFonts w:cs="Times New Roman"/>
          <w:b/>
          <w:bCs/>
          <w:color w:val="auto"/>
          <w:sz w:val="21"/>
          <w:lang w:eastAsia="zh-CN"/>
        </w:rPr>
        <w:t>2</w:t>
      </w:r>
      <w:r>
        <w:rPr>
          <w:rFonts w:cs="Times New Roman"/>
          <w:color w:val="auto"/>
          <w:sz w:val="21"/>
          <w:lang w:eastAsia="zh-CN"/>
        </w:rPr>
        <w:t xml:space="preserve"> 不锈钢环片应在井内拼装成钢圈，安装橡胶套时迎水坡边宜朝来水方向；</w:t>
      </w:r>
    </w:p>
    <w:p>
      <w:pPr>
        <w:ind w:left="418" w:firstLine="422"/>
        <w:rPr>
          <w:rFonts w:cs="Times New Roman"/>
          <w:color w:val="auto"/>
          <w:sz w:val="21"/>
          <w:lang w:eastAsia="zh-CN"/>
        </w:rPr>
      </w:pPr>
      <w:r>
        <w:rPr>
          <w:rFonts w:cs="Times New Roman"/>
          <w:b/>
          <w:bCs/>
          <w:color w:val="auto"/>
          <w:sz w:val="21"/>
          <w:lang w:eastAsia="zh-CN"/>
        </w:rPr>
        <w:t>3</w:t>
      </w:r>
      <w:r>
        <w:rPr>
          <w:rFonts w:cs="Times New Roman"/>
          <w:color w:val="auto"/>
          <w:sz w:val="21"/>
          <w:lang w:eastAsia="zh-CN"/>
        </w:rPr>
        <w:t xml:space="preserve"> 快速锁扩张过程中可用橡胶锤环向振击，确认各部位与原管壁紧密贴合后紧固螺丝。</w:t>
      </w:r>
    </w:p>
    <w:p>
      <w:pPr>
        <w:kinsoku/>
        <w:autoSpaceDE/>
        <w:autoSpaceDN/>
        <w:adjustRightInd/>
        <w:snapToGrid/>
        <w:spacing w:line="240" w:lineRule="auto"/>
        <w:ind w:firstLine="0" w:firstLineChars="0"/>
        <w:jc w:val="left"/>
        <w:textAlignment w:val="auto"/>
        <w:rPr>
          <w:rFonts w:cs="Times New Roman"/>
          <w:color w:val="auto"/>
          <w:sz w:val="21"/>
          <w:lang w:eastAsia="zh-CN"/>
        </w:rPr>
      </w:pPr>
      <w:r>
        <w:rPr>
          <w:rFonts w:cs="Times New Roman"/>
          <w:color w:val="auto"/>
          <w:sz w:val="21"/>
          <w:lang w:eastAsia="zh-CN"/>
        </w:rPr>
        <w:br w:type="page"/>
      </w:r>
    </w:p>
    <w:p>
      <w:pPr>
        <w:pStyle w:val="15"/>
        <w:ind w:firstLine="0" w:firstLineChars="0"/>
        <w:rPr>
          <w:rFonts w:ascii="Times New Roman" w:hAnsi="Times New Roman" w:eastAsia="黑体" w:cs="Times New Roman"/>
          <w:color w:val="000000" w:themeColor="text1"/>
          <w:lang w:eastAsia="zh-CN"/>
          <w14:textFill>
            <w14:solidFill>
              <w14:schemeClr w14:val="tx1"/>
            </w14:solidFill>
          </w14:textFill>
        </w:rPr>
      </w:pPr>
      <w:bookmarkStart w:id="147" w:name="_Toc196915216"/>
      <w:r>
        <w:rPr>
          <w:rFonts w:hint="eastAsia" w:ascii="Times New Roman" w:hAnsi="Times New Roman" w:eastAsia="黑体" w:cs="Times New Roman"/>
          <w:color w:val="000000" w:themeColor="text1"/>
          <w:lang w:eastAsia="zh-CN"/>
          <w14:textFill>
            <w14:solidFill>
              <w14:schemeClr w14:val="tx1"/>
            </w14:solidFill>
          </w14:textFill>
        </w:rPr>
        <w:t>6</w:t>
      </w:r>
      <w:r>
        <w:rPr>
          <w:rFonts w:ascii="Times New Roman" w:hAnsi="Times New Roman" w:eastAsia="黑体" w:cs="Times New Roman"/>
          <w:color w:val="000000" w:themeColor="text1"/>
          <w:lang w:eastAsia="zh-CN"/>
          <w14:textFill>
            <w14:solidFill>
              <w14:schemeClr w14:val="tx1"/>
            </w14:solidFill>
          </w14:textFill>
        </w:rPr>
        <w:t xml:space="preserve"> 施</w:t>
      </w:r>
      <w:r>
        <w:rPr>
          <w:rFonts w:hint="eastAsia" w:ascii="Times New Roman" w:hAnsi="Times New Roman" w:eastAsia="黑体" w:cs="Times New Roman"/>
          <w:color w:val="000000" w:themeColor="text1"/>
          <w:lang w:eastAsia="zh-CN"/>
          <w14:textFill>
            <w14:solidFill>
              <w14:schemeClr w14:val="tx1"/>
            </w14:solidFill>
          </w14:textFill>
        </w:rPr>
        <w:t xml:space="preserve"> </w:t>
      </w:r>
      <w:r>
        <w:rPr>
          <w:rFonts w:ascii="Times New Roman" w:hAnsi="Times New Roman" w:eastAsia="黑体" w:cs="Times New Roman"/>
          <w:color w:val="000000" w:themeColor="text1"/>
          <w:lang w:eastAsia="zh-CN"/>
          <w14:textFill>
            <w14:solidFill>
              <w14:schemeClr w14:val="tx1"/>
            </w14:solidFill>
          </w14:textFill>
        </w:rPr>
        <w:t>工</w:t>
      </w:r>
      <w:bookmarkEnd w:id="147"/>
    </w:p>
    <w:p>
      <w:pPr>
        <w:pStyle w:val="3"/>
        <w:ind w:firstLine="560"/>
      </w:pPr>
      <w:bookmarkStart w:id="148" w:name="_Toc196915217"/>
      <w:r>
        <w:rPr>
          <w:rFonts w:hint="eastAsia"/>
        </w:rPr>
        <w:t>6</w:t>
      </w:r>
      <w:r>
        <w:t>.1 一般规定</w:t>
      </w:r>
      <w:bookmarkEnd w:id="148"/>
    </w:p>
    <w:p>
      <w:pPr>
        <w:ind w:firstLine="422"/>
        <w:rPr>
          <w:rFonts w:cs="Times New Roman"/>
          <w:color w:val="auto"/>
          <w:sz w:val="21"/>
          <w:lang w:eastAsia="zh-CN"/>
        </w:rPr>
      </w:pPr>
      <w:r>
        <w:rPr>
          <w:rFonts w:hint="eastAsia" w:cs="Times New Roman"/>
          <w:b/>
          <w:bCs/>
          <w:color w:val="auto"/>
          <w:sz w:val="21"/>
          <w:lang w:eastAsia="zh-CN"/>
        </w:rPr>
        <w:t>6</w:t>
      </w:r>
      <w:r>
        <w:rPr>
          <w:rFonts w:cs="Times New Roman"/>
          <w:b/>
          <w:bCs/>
          <w:color w:val="auto"/>
          <w:sz w:val="21"/>
          <w:lang w:eastAsia="zh-CN"/>
        </w:rPr>
        <w:t>.1</w:t>
      </w:r>
      <w:r>
        <w:rPr>
          <w:rFonts w:hint="eastAsia" w:cs="Times New Roman"/>
          <w:b/>
          <w:bCs/>
          <w:color w:val="auto"/>
          <w:sz w:val="21"/>
          <w:lang w:eastAsia="zh-CN"/>
        </w:rPr>
        <w:t>.1</w:t>
      </w:r>
      <w:r>
        <w:rPr>
          <w:rFonts w:cs="Times New Roman"/>
          <w:color w:val="auto"/>
          <w:sz w:val="21"/>
          <w:lang w:eastAsia="zh-CN"/>
        </w:rPr>
        <w:t xml:space="preserve"> 埋设于交通繁忙、环境敏感、施工空间受限等区域的排水管道的修复、更新宜优先选用非开挖修复技术进行修复。</w:t>
      </w:r>
    </w:p>
    <w:p>
      <w:pPr>
        <w:ind w:firstLine="422"/>
        <w:rPr>
          <w:rFonts w:cs="Times New Roman"/>
          <w:color w:val="auto"/>
          <w:sz w:val="21"/>
          <w:lang w:eastAsia="zh-CN"/>
        </w:rPr>
      </w:pP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1.</w:t>
      </w:r>
      <w:r>
        <w:rPr>
          <w:rFonts w:cs="Times New Roman"/>
          <w:b/>
          <w:bCs/>
          <w:color w:val="auto"/>
          <w:sz w:val="21"/>
          <w:lang w:eastAsia="zh-CN"/>
        </w:rPr>
        <w:t>2</w:t>
      </w:r>
      <w:r>
        <w:rPr>
          <w:rFonts w:cs="Times New Roman"/>
          <w:color w:val="auto"/>
          <w:sz w:val="21"/>
          <w:lang w:eastAsia="zh-CN"/>
        </w:rPr>
        <w:t xml:space="preserve"> 非开挖修复工程应依据管道专项检测评估报告和岩土勘察报告，结合现状管道缺陷等级进行设计。</w:t>
      </w:r>
    </w:p>
    <w:p>
      <w:pPr>
        <w:ind w:firstLine="422"/>
        <w:rPr>
          <w:rFonts w:cs="Times New Roman"/>
          <w:color w:val="auto"/>
          <w:sz w:val="21"/>
          <w:lang w:eastAsia="zh-CN"/>
        </w:rPr>
      </w:pP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1.3</w:t>
      </w:r>
      <w:r>
        <w:rPr>
          <w:rFonts w:cs="Times New Roman"/>
          <w:color w:val="auto"/>
          <w:sz w:val="21"/>
          <w:lang w:eastAsia="zh-CN"/>
        </w:rPr>
        <w:t xml:space="preserve"> 非开挖修复宜采用管内修复、管周保护的方式。</w:t>
      </w:r>
    </w:p>
    <w:p>
      <w:pPr>
        <w:ind w:firstLine="422"/>
        <w:rPr>
          <w:rFonts w:cs="Times New Roman"/>
          <w:color w:val="auto"/>
          <w:sz w:val="21"/>
          <w:lang w:eastAsia="zh-CN"/>
        </w:rPr>
      </w:pP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1.4</w:t>
      </w:r>
      <w:r>
        <w:rPr>
          <w:rFonts w:cs="Times New Roman"/>
          <w:color w:val="auto"/>
          <w:sz w:val="21"/>
          <w:lang w:eastAsia="zh-CN"/>
        </w:rPr>
        <w:t xml:space="preserve"> 非开挖修复工程所用的管材、管件、构(配)件等应具有质量合格证书、性能检测报告和使用说明书。</w:t>
      </w:r>
    </w:p>
    <w:p>
      <w:pPr>
        <w:ind w:firstLine="422"/>
        <w:rPr>
          <w:rFonts w:cs="Times New Roman"/>
          <w:color w:val="auto"/>
          <w:sz w:val="21"/>
          <w:lang w:eastAsia="zh-CN"/>
        </w:rPr>
      </w:pP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1.</w:t>
      </w:r>
      <w:r>
        <w:rPr>
          <w:rFonts w:cs="Times New Roman"/>
          <w:b/>
          <w:bCs/>
          <w:color w:val="auto"/>
          <w:sz w:val="21"/>
          <w:lang w:eastAsia="zh-CN"/>
        </w:rPr>
        <w:t>5</w:t>
      </w:r>
      <w:r>
        <w:rPr>
          <w:rFonts w:cs="Times New Roman"/>
          <w:color w:val="auto"/>
          <w:sz w:val="21"/>
          <w:lang w:eastAsia="zh-CN"/>
        </w:rPr>
        <w:t xml:space="preserve"> 非开挖修复工程应符合《城镇排水管道维护安全技术规程》CJJ 6</w:t>
      </w:r>
      <w:r>
        <w:rPr>
          <w:rFonts w:hint="eastAsia" w:cs="Times New Roman"/>
          <w:color w:val="auto"/>
          <w:sz w:val="21"/>
          <w:lang w:eastAsia="zh-CN"/>
        </w:rPr>
        <w:t>和</w:t>
      </w:r>
      <w:r>
        <w:rPr>
          <w:rFonts w:cs="Times New Roman"/>
          <w:color w:val="auto"/>
          <w:sz w:val="21"/>
          <w:lang w:eastAsia="zh-CN"/>
        </w:rPr>
        <w:t>《城镇排水管渠与泵站运行、维护及安全技术规程》CJJ 68的有关规定。</w:t>
      </w:r>
    </w:p>
    <w:p>
      <w:pPr>
        <w:ind w:firstLine="422"/>
        <w:rPr>
          <w:rFonts w:cs="Times New Roman"/>
          <w:color w:val="auto"/>
          <w:sz w:val="21"/>
          <w:lang w:eastAsia="zh-CN"/>
        </w:rPr>
      </w:pP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1.</w:t>
      </w:r>
      <w:r>
        <w:rPr>
          <w:rFonts w:cs="Times New Roman"/>
          <w:b/>
          <w:bCs/>
          <w:color w:val="auto"/>
          <w:sz w:val="21"/>
          <w:lang w:eastAsia="zh-CN"/>
        </w:rPr>
        <w:t>6</w:t>
      </w:r>
      <w:r>
        <w:rPr>
          <w:rFonts w:cs="Times New Roman"/>
          <w:color w:val="auto"/>
          <w:sz w:val="21"/>
          <w:lang w:eastAsia="zh-CN"/>
        </w:rPr>
        <w:t xml:space="preserve"> 非开挖修复工程所产生的污物、噪音及振动应符合国家和地方政府有关环境保护的法律、法规的规定。</w:t>
      </w:r>
    </w:p>
    <w:p>
      <w:pPr>
        <w:ind w:firstLine="422"/>
        <w:rPr>
          <w:rFonts w:cs="Times New Roman"/>
          <w:color w:val="auto"/>
          <w:sz w:val="21"/>
          <w:lang w:eastAsia="zh-CN"/>
        </w:rPr>
      </w:pP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1.</w:t>
      </w:r>
      <w:r>
        <w:rPr>
          <w:rFonts w:cs="Times New Roman"/>
          <w:b/>
          <w:bCs/>
          <w:color w:val="auto"/>
          <w:sz w:val="21"/>
          <w:lang w:eastAsia="zh-CN"/>
        </w:rPr>
        <w:t>7</w:t>
      </w:r>
      <w:r>
        <w:rPr>
          <w:rFonts w:cs="Times New Roman"/>
          <w:color w:val="auto"/>
          <w:sz w:val="21"/>
          <w:lang w:eastAsia="zh-CN"/>
        </w:rPr>
        <w:t xml:space="preserve"> 非开挖修复工程应在验收合格后方可投入使用，验收不合格时，应拆除修复材料，重新对原管道进行评估后，再进行修复。</w:t>
      </w:r>
    </w:p>
    <w:p>
      <w:pPr>
        <w:ind w:firstLine="422"/>
        <w:rPr>
          <w:rFonts w:cs="Times New Roman"/>
          <w:color w:val="auto"/>
          <w:sz w:val="21"/>
          <w:lang w:eastAsia="zh-CN"/>
        </w:rPr>
      </w:pP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1.</w:t>
      </w:r>
      <w:r>
        <w:rPr>
          <w:rFonts w:cs="Times New Roman"/>
          <w:b/>
          <w:bCs/>
          <w:color w:val="auto"/>
          <w:sz w:val="21"/>
          <w:lang w:eastAsia="zh-CN"/>
        </w:rPr>
        <w:t>8</w:t>
      </w:r>
      <w:r>
        <w:rPr>
          <w:rFonts w:cs="Times New Roman"/>
          <w:color w:val="auto"/>
          <w:sz w:val="21"/>
          <w:lang w:eastAsia="zh-CN"/>
        </w:rPr>
        <w:t xml:space="preserve"> 非开挖修复后的管道应满足日常的疏通养护作业需要。</w:t>
      </w:r>
    </w:p>
    <w:p>
      <w:pPr>
        <w:ind w:firstLine="422"/>
        <w:rPr>
          <w:rFonts w:cs="Times New Roman"/>
          <w:color w:val="auto"/>
          <w:sz w:val="21"/>
          <w:lang w:eastAsia="zh-CN"/>
        </w:rPr>
      </w:pP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1.</w:t>
      </w:r>
      <w:r>
        <w:rPr>
          <w:rFonts w:cs="Times New Roman"/>
          <w:b/>
          <w:bCs/>
          <w:color w:val="auto"/>
          <w:sz w:val="21"/>
          <w:lang w:eastAsia="zh-CN"/>
        </w:rPr>
        <w:t>9</w:t>
      </w:r>
      <w:r>
        <w:rPr>
          <w:rFonts w:cs="Times New Roman"/>
          <w:color w:val="auto"/>
          <w:sz w:val="21"/>
          <w:lang w:eastAsia="zh-CN"/>
        </w:rPr>
        <w:t xml:space="preserve"> 管道修复后使用年限应符合《城镇排水管道非开挖修复更新工程技术规程》CJJ/T 210的相关规定。</w:t>
      </w:r>
    </w:p>
    <w:p>
      <w:pPr>
        <w:ind w:firstLine="422"/>
        <w:rPr>
          <w:rFonts w:cs="Times New Roman"/>
          <w:color w:val="auto"/>
          <w:sz w:val="21"/>
          <w:lang w:eastAsia="zh-CN"/>
        </w:rPr>
      </w:pP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1.</w:t>
      </w:r>
      <w:r>
        <w:rPr>
          <w:rFonts w:cs="Times New Roman"/>
          <w:b/>
          <w:bCs/>
          <w:color w:val="auto"/>
          <w:sz w:val="21"/>
          <w:lang w:eastAsia="zh-CN"/>
        </w:rPr>
        <w:t>10</w:t>
      </w:r>
      <w:r>
        <w:rPr>
          <w:rFonts w:cs="Times New Roman"/>
          <w:color w:val="auto"/>
          <w:sz w:val="21"/>
          <w:lang w:eastAsia="zh-CN"/>
        </w:rPr>
        <w:t xml:space="preserve"> 管道与检查井连接应采用摄像检查，确认连接效果。</w:t>
      </w:r>
    </w:p>
    <w:p>
      <w:pPr>
        <w:pStyle w:val="3"/>
        <w:ind w:firstLine="560"/>
      </w:pPr>
      <w:bookmarkStart w:id="149" w:name="_Toc196915218"/>
      <w:r>
        <w:t>6.</w:t>
      </w:r>
      <w:r>
        <w:rPr>
          <w:rFonts w:hint="eastAsia"/>
        </w:rPr>
        <w:t>2</w:t>
      </w:r>
      <w:r>
        <w:t xml:space="preserve"> </w:t>
      </w:r>
      <w:r>
        <w:rPr>
          <w:rFonts w:hint="eastAsia"/>
        </w:rPr>
        <w:t>紫外光原位固化法</w:t>
      </w:r>
      <w:bookmarkEnd w:id="149"/>
    </w:p>
    <w:p>
      <w:pPr>
        <w:ind w:firstLine="420" w:firstLineChars="0"/>
        <w:rPr>
          <w:rFonts w:cs="Times New Roman"/>
          <w:color w:val="000000" w:themeColor="text1"/>
          <w:sz w:val="21"/>
          <w:lang w:eastAsia="zh-CN"/>
          <w14:textFill>
            <w14:solidFill>
              <w14:schemeClr w14:val="tx1"/>
            </w14:solidFill>
          </w14:textFill>
        </w:rPr>
      </w:pPr>
      <w:bookmarkStart w:id="150" w:name="OLE_LINK73"/>
      <w:r>
        <w:rPr>
          <w:rFonts w:hint="eastAsia" w:cs="Times New Roman"/>
          <w:b/>
          <w:bCs/>
          <w:color w:val="000000" w:themeColor="text1"/>
          <w:sz w:val="21"/>
          <w:lang w:eastAsia="zh-CN"/>
          <w14:textFill>
            <w14:solidFill>
              <w14:schemeClr w14:val="tx1"/>
            </w14:solidFill>
          </w14:textFill>
        </w:rPr>
        <w:t>6.2.1</w:t>
      </w:r>
      <w:bookmarkEnd w:id="150"/>
      <w:r>
        <w:rPr>
          <w:rFonts w:hint="eastAsia"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内衬软管拉入前应在原有管道底部铺设垫膜。垫膜宽度应大于原有管道周长的1/3，长度应超出修复管段长度500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600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mm，拉入后的垫膜不应发生断裂、堆积、表面无磨损或划伤，并应在两端锚固。垫膜上宜喷洒对原有管材无腐蚀性、可生物降解的润滑液体。</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6.2.2</w:t>
      </w:r>
      <w:r>
        <w:rPr>
          <w:rFonts w:cs="Times New Roman"/>
          <w:color w:val="000000" w:themeColor="text1"/>
          <w:sz w:val="21"/>
          <w:lang w:eastAsia="zh-CN"/>
          <w14:textFill>
            <w14:solidFill>
              <w14:schemeClr w14:val="tx1"/>
            </w14:solidFill>
          </w14:textFill>
        </w:rPr>
        <w:t xml:space="preserve"> 玻纤软管端头应对折后拉入原有管道，对折部分应绑扎保护垫膜，拉入过程中不应出现堆积或翻转</w:t>
      </w:r>
      <w:r>
        <w:rPr>
          <w:rFonts w:hint="eastAsia" w:cs="Times New Roman"/>
          <w:color w:val="000000" w:themeColor="text1"/>
          <w:sz w:val="21"/>
          <w:lang w:eastAsia="zh-CN"/>
          <w14:textFill>
            <w14:solidFill>
              <w14:schemeClr w14:val="tx1"/>
            </w14:solidFill>
          </w14:textFill>
        </w:rPr>
        <w:t>，拉入速度</w:t>
      </w:r>
      <w:r>
        <w:rPr>
          <w:rFonts w:cs="Times New Roman"/>
          <w:color w:val="000000" w:themeColor="text1"/>
          <w:sz w:val="21"/>
          <w:lang w:eastAsia="zh-CN"/>
          <w14:textFill>
            <w14:solidFill>
              <w14:schemeClr w14:val="tx1"/>
            </w14:solidFill>
          </w14:textFill>
        </w:rPr>
        <w:t>不应大于5</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m/min。</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6.2.3</w:t>
      </w:r>
      <w:r>
        <w:rPr>
          <w:rFonts w:cs="Times New Roman"/>
          <w:color w:val="000000" w:themeColor="text1"/>
          <w:sz w:val="21"/>
          <w:lang w:eastAsia="zh-CN"/>
          <w14:textFill>
            <w14:solidFill>
              <w14:schemeClr w14:val="tx1"/>
            </w14:solidFill>
          </w14:textFill>
        </w:rPr>
        <w:t xml:space="preserve"> 当玻纤软管管径</w:t>
      </w:r>
      <w:r>
        <w:rPr>
          <w:rFonts w:hint="eastAsia" w:cs="Times New Roman"/>
          <w:snapToGrid/>
          <w:color w:val="auto"/>
          <w:kern w:val="2"/>
          <w:szCs w:val="24"/>
          <w:lang w:eastAsia="zh-CN"/>
        </w:rPr>
        <w:t>≥</w:t>
      </w:r>
      <w:r>
        <w:rPr>
          <w:rFonts w:cs="Times New Roman"/>
          <w:color w:val="000000" w:themeColor="text1"/>
          <w:sz w:val="21"/>
          <w:lang w:eastAsia="zh-CN"/>
          <w14:textFill>
            <w14:solidFill>
              <w14:schemeClr w14:val="tx1"/>
            </w14:solidFill>
          </w14:textFill>
        </w:rPr>
        <w:t>DN800时，玻纤软管拉入宜采用送料平台辅助。</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6.2.4</w:t>
      </w:r>
      <w:r>
        <w:rPr>
          <w:rFonts w:cs="Times New Roman"/>
          <w:color w:val="000000" w:themeColor="text1"/>
          <w:sz w:val="21"/>
          <w:lang w:eastAsia="zh-CN"/>
          <w14:textFill>
            <w14:solidFill>
              <w14:schemeClr w14:val="tx1"/>
            </w14:solidFill>
          </w14:textFill>
        </w:rPr>
        <w:t xml:space="preserve"> 拉入完成时，内衬软管两端应伸出原有管道，内衬管两端伸出原有管道的长度不应小于</w:t>
      </w:r>
      <w:r>
        <w:rPr>
          <w:rFonts w:hint="eastAsia" w:cs="Times New Roman"/>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00mm。</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6.2.5</w:t>
      </w:r>
      <w:r>
        <w:rPr>
          <w:rFonts w:cs="Times New Roman"/>
          <w:color w:val="000000" w:themeColor="text1"/>
          <w:sz w:val="21"/>
          <w:lang w:eastAsia="zh-CN"/>
          <w14:textFill>
            <w14:solidFill>
              <w14:schemeClr w14:val="tx1"/>
            </w14:solidFill>
          </w14:textFill>
        </w:rPr>
        <w:t xml:space="preserve"> 扎头绑扎应牢固，不应破坏玻纤软管内膜</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绑扎完成后、应对气体接口、压力传感器接口等连接外进行密封性检查。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6.2.6</w:t>
      </w:r>
      <w:r>
        <w:rPr>
          <w:rFonts w:hint="eastAsia" w:cs="Times New Roman"/>
          <w:snapToGrid/>
          <w:color w:val="auto"/>
          <w:kern w:val="2"/>
          <w:szCs w:val="24"/>
          <w:lang w:eastAsia="zh-CN"/>
        </w:rPr>
        <w:t xml:space="preserve"> </w:t>
      </w:r>
      <w:r>
        <w:rPr>
          <w:rFonts w:cs="Times New Roman"/>
          <w:color w:val="000000" w:themeColor="text1"/>
          <w:sz w:val="21"/>
          <w:lang w:eastAsia="zh-CN"/>
          <w14:textFill>
            <w14:solidFill>
              <w14:schemeClr w14:val="tx1"/>
            </w14:solidFill>
          </w14:textFill>
        </w:rPr>
        <w:t>内衬软管两端裸露部位应安装相应匹配的扎头布。跨井段施工时，中间检查井裸露的玻纤软管应安装拉链扎头布，扎头布伸入原有管道长度应大于250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6.2.7</w:t>
      </w:r>
      <w:r>
        <w:rPr>
          <w:rFonts w:cs="Times New Roman"/>
          <w:color w:val="000000" w:themeColor="text1"/>
          <w:sz w:val="21"/>
          <w:lang w:eastAsia="zh-CN"/>
          <w14:textFill>
            <w14:solidFill>
              <w14:schemeClr w14:val="tx1"/>
            </w14:solidFill>
          </w14:textFill>
        </w:rPr>
        <w:t xml:space="preserve"> 第一次充气过程中充气管、测压管等连接处应密封，充气压力不应低于内衬软管使用说明书规定的最低气压值，撑起后应保压 10 min~30 min。</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6.2.8</w:t>
      </w:r>
      <w:r>
        <w:rPr>
          <w:rFonts w:cs="Times New Roman"/>
          <w:color w:val="000000" w:themeColor="text1"/>
          <w:sz w:val="21"/>
          <w:lang w:eastAsia="zh-CN"/>
          <w14:textFill>
            <w14:solidFill>
              <w14:schemeClr w14:val="tx1"/>
            </w14:solidFill>
          </w14:textFill>
        </w:rPr>
        <w:t xml:space="preserve"> 紫外光灯架应与玻纤软管管径相匹配</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送入紫外光灯架</w:t>
      </w:r>
      <w:r>
        <w:rPr>
          <w:rFonts w:hint="eastAsia" w:cs="Times New Roman"/>
          <w:color w:val="000000" w:themeColor="text1"/>
          <w:sz w:val="21"/>
          <w:lang w:eastAsia="zh-CN"/>
          <w14:textFill>
            <w14:solidFill>
              <w14:schemeClr w14:val="tx1"/>
            </w14:solidFill>
          </w14:textFill>
        </w:rPr>
        <w:t>中</w:t>
      </w:r>
      <w:r>
        <w:rPr>
          <w:rFonts w:cs="Times New Roman"/>
          <w:color w:val="000000" w:themeColor="text1"/>
          <w:sz w:val="21"/>
          <w:lang w:eastAsia="zh-CN"/>
          <w14:textFill>
            <w14:solidFill>
              <w14:schemeClr w14:val="tx1"/>
            </w14:solidFill>
          </w14:textFill>
        </w:rPr>
        <w:t>不应损坏内膜。</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6.2.9</w:t>
      </w:r>
      <w:r>
        <w:rPr>
          <w:rFonts w:cs="Times New Roman"/>
          <w:color w:val="000000" w:themeColor="text1"/>
          <w:sz w:val="21"/>
          <w:lang w:eastAsia="zh-CN"/>
          <w14:textFill>
            <w14:solidFill>
              <w14:schemeClr w14:val="tx1"/>
            </w14:solidFill>
          </w14:textFill>
        </w:rPr>
        <w:t xml:space="preserve"> 第二次充气前应再次检查</w:t>
      </w:r>
      <w:r>
        <w:rPr>
          <w:rFonts w:hint="eastAsia" w:cs="Times New Roman"/>
          <w:color w:val="000000" w:themeColor="text1"/>
          <w:sz w:val="21"/>
          <w:lang w:eastAsia="zh-CN"/>
          <w14:textFill>
            <w14:solidFill>
              <w14:schemeClr w14:val="tx1"/>
            </w14:solidFill>
          </w14:textFill>
        </w:rPr>
        <w:t>内衬</w:t>
      </w:r>
      <w:r>
        <w:rPr>
          <w:rFonts w:cs="Times New Roman"/>
          <w:color w:val="000000" w:themeColor="text1"/>
          <w:sz w:val="21"/>
          <w:lang w:eastAsia="zh-CN"/>
          <w14:textFill>
            <w14:solidFill>
              <w14:schemeClr w14:val="tx1"/>
            </w14:solidFill>
          </w14:textFill>
        </w:rPr>
        <w:t>软管各连接处的密封性</w:t>
      </w:r>
      <w:r>
        <w:rPr>
          <w:rFonts w:hint="eastAsia" w:cs="Times New Roman"/>
          <w:color w:val="000000" w:themeColor="text1"/>
          <w:sz w:val="21"/>
          <w:lang w:eastAsia="zh-CN"/>
          <w14:textFill>
            <w14:solidFill>
              <w14:schemeClr w14:val="tx1"/>
            </w14:solidFill>
          </w14:textFill>
        </w:rPr>
        <w:t>；充气过程中，</w:t>
      </w:r>
      <w:r>
        <w:rPr>
          <w:rFonts w:cs="Times New Roman"/>
          <w:color w:val="000000" w:themeColor="text1"/>
          <w:sz w:val="21"/>
          <w:lang w:eastAsia="zh-CN"/>
          <w14:textFill>
            <w14:solidFill>
              <w14:schemeClr w14:val="tx1"/>
            </w14:solidFill>
          </w14:textFill>
        </w:rPr>
        <w:t>气压应缓慢升高，应使玻纤软管充分膨胀扩张紧贴原有管道内壁，各管径的压力值宜按表</w:t>
      </w:r>
      <w:r>
        <w:rPr>
          <w:rFonts w:hint="eastAsia" w:cs="Times New Roman"/>
          <w:color w:val="000000" w:themeColor="text1"/>
          <w:sz w:val="21"/>
          <w:lang w:eastAsia="zh-CN"/>
          <w14:textFill>
            <w14:solidFill>
              <w14:schemeClr w14:val="tx1"/>
            </w14:solidFill>
          </w14:textFill>
        </w:rPr>
        <w:t>6.2.9</w:t>
      </w:r>
      <w:r>
        <w:rPr>
          <w:rFonts w:cs="Times New Roman"/>
          <w:color w:val="000000" w:themeColor="text1"/>
          <w:sz w:val="21"/>
          <w:lang w:eastAsia="zh-CN"/>
          <w14:textFill>
            <w14:solidFill>
              <w14:schemeClr w14:val="tx1"/>
            </w14:solidFill>
          </w14:textFill>
        </w:rPr>
        <w:t>执行。</w:t>
      </w:r>
    </w:p>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表6.2.</w:t>
      </w: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 玻纤软管充气压力操作要求</w:t>
      </w:r>
    </w:p>
    <w:tbl>
      <w:tblPr>
        <w:tblStyle w:val="16"/>
        <w:tblW w:w="8440" w:type="dxa"/>
        <w:tblInd w:w="0" w:type="dxa"/>
        <w:tblLayout w:type="autofit"/>
        <w:tblCellMar>
          <w:top w:w="0" w:type="dxa"/>
          <w:left w:w="108" w:type="dxa"/>
          <w:bottom w:w="0" w:type="dxa"/>
          <w:right w:w="108" w:type="dxa"/>
        </w:tblCellMar>
      </w:tblPr>
      <w:tblGrid>
        <w:gridCol w:w="1240"/>
        <w:gridCol w:w="1840"/>
        <w:gridCol w:w="1680"/>
        <w:gridCol w:w="1840"/>
        <w:gridCol w:w="1840"/>
      </w:tblGrid>
      <w:tr>
        <w:tblPrEx>
          <w:tblCellMar>
            <w:top w:w="0" w:type="dxa"/>
            <w:left w:w="108" w:type="dxa"/>
            <w:bottom w:w="0" w:type="dxa"/>
            <w:right w:w="108" w:type="dxa"/>
          </w:tblCellMar>
        </w:tblPrEx>
        <w:trPr>
          <w:trHeight w:val="576" w:hRule="atLeast"/>
        </w:trPr>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管径</w:t>
            </w:r>
            <w:r>
              <w:rPr>
                <w:rFonts w:cs="Times New Roman"/>
                <w:snapToGrid/>
                <w:color w:val="000000" w:themeColor="text1"/>
                <w:sz w:val="21"/>
                <w:lang w:eastAsia="zh-CN"/>
                <w14:textFill>
                  <w14:solidFill>
                    <w14:schemeClr w14:val="tx1"/>
                  </w14:solidFill>
                </w14:textFill>
              </w:rPr>
              <w:br w:type="textWrapping"/>
            </w:r>
            <w:r>
              <w:rPr>
                <w:rFonts w:hint="eastAsia" w:cs="Times New Roman"/>
                <w:snapToGrid/>
                <w:color w:val="000000" w:themeColor="text1"/>
                <w:sz w:val="21"/>
                <w:lang w:eastAsia="zh-CN"/>
                <w14:textFill>
                  <w14:solidFill>
                    <w14:schemeClr w14:val="tx1"/>
                  </w14:solidFill>
                </w14:textFill>
              </w:rPr>
              <w:t>(</w:t>
            </w:r>
            <w:r>
              <w:rPr>
                <w:rFonts w:cs="Times New Roman"/>
                <w:snapToGrid/>
                <w:color w:val="000000" w:themeColor="text1"/>
                <w:sz w:val="21"/>
                <w:lang w:eastAsia="zh-CN"/>
                <w14:textFill>
                  <w14:solidFill>
                    <w14:schemeClr w14:val="tx1"/>
                  </w14:solidFill>
                </w14:textFill>
              </w:rPr>
              <w:t>mm)</w:t>
            </w:r>
          </w:p>
        </w:tc>
        <w:tc>
          <w:tcPr>
            <w:tcW w:w="1840" w:type="dxa"/>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充气压力</w:t>
            </w:r>
            <w:r>
              <w:rPr>
                <w:rFonts w:cs="Times New Roman"/>
                <w:snapToGrid/>
                <w:color w:val="000000" w:themeColor="text1"/>
                <w:sz w:val="21"/>
                <w:lang w:eastAsia="zh-CN"/>
                <w14:textFill>
                  <w14:solidFill>
                    <w14:schemeClr w14:val="tx1"/>
                  </w14:solidFill>
                </w14:textFill>
              </w:rPr>
              <w:br w:type="textWrapping"/>
            </w:r>
            <w:r>
              <w:rPr>
                <w:rFonts w:cs="Times New Roman"/>
                <w:snapToGrid/>
                <w:color w:val="000000" w:themeColor="text1"/>
                <w:sz w:val="21"/>
                <w:lang w:eastAsia="zh-CN"/>
                <w14:textFill>
                  <w14:solidFill>
                    <w14:schemeClr w14:val="tx1"/>
                  </w14:solidFill>
                </w14:textFill>
              </w:rPr>
              <w:t>(</w:t>
            </w:r>
            <w:r>
              <w:rPr>
                <w:rFonts w:hint="eastAsia" w:cs="Times New Roman"/>
                <w:snapToGrid/>
                <w:color w:val="000000" w:themeColor="text1"/>
                <w:sz w:val="21"/>
                <w:lang w:eastAsia="zh-CN"/>
                <w14:textFill>
                  <w14:solidFill>
                    <w14:schemeClr w14:val="tx1"/>
                  </w14:solidFill>
                </w14:textFill>
              </w:rPr>
              <w:t>Kp</w:t>
            </w:r>
            <w:r>
              <w:rPr>
                <w:rFonts w:cs="Times New Roman"/>
                <w:snapToGrid/>
                <w:color w:val="000000" w:themeColor="text1"/>
                <w:sz w:val="21"/>
                <w:lang w:eastAsia="zh-CN"/>
                <w14:textFill>
                  <w14:solidFill>
                    <w14:schemeClr w14:val="tx1"/>
                  </w14:solidFill>
                </w14:textFill>
              </w:rPr>
              <w:t>a)</w:t>
            </w:r>
          </w:p>
        </w:tc>
        <w:tc>
          <w:tcPr>
            <w:tcW w:w="1680" w:type="dxa"/>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增压次数</w:t>
            </w:r>
            <w:r>
              <w:rPr>
                <w:rFonts w:cs="Times New Roman"/>
                <w:snapToGrid/>
                <w:color w:val="000000" w:themeColor="text1"/>
                <w:sz w:val="21"/>
                <w:lang w:eastAsia="zh-CN"/>
                <w14:textFill>
                  <w14:solidFill>
                    <w14:schemeClr w14:val="tx1"/>
                  </w14:solidFill>
                </w14:textFill>
              </w:rPr>
              <w:br w:type="textWrapping"/>
            </w:r>
            <w:r>
              <w:rPr>
                <w:rFonts w:cs="Times New Roman"/>
                <w:snapToGrid/>
                <w:color w:val="000000" w:themeColor="text1"/>
                <w:sz w:val="21"/>
                <w:lang w:eastAsia="zh-CN"/>
                <w14:textFill>
                  <w14:solidFill>
                    <w14:schemeClr w14:val="tx1"/>
                  </w14:solidFill>
                </w14:textFill>
              </w:rPr>
              <w:t>（次）</w:t>
            </w:r>
          </w:p>
        </w:tc>
        <w:tc>
          <w:tcPr>
            <w:tcW w:w="1840" w:type="dxa"/>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每次增压</w:t>
            </w:r>
            <w:r>
              <w:rPr>
                <w:rFonts w:cs="Times New Roman"/>
                <w:snapToGrid/>
                <w:color w:val="000000" w:themeColor="text1"/>
                <w:sz w:val="21"/>
                <w:lang w:eastAsia="zh-CN"/>
                <w14:textFill>
                  <w14:solidFill>
                    <w14:schemeClr w14:val="tx1"/>
                  </w14:solidFill>
                </w14:textFill>
              </w:rPr>
              <w:br w:type="textWrapping"/>
            </w:r>
            <w:r>
              <w:rPr>
                <w:rFonts w:cs="Times New Roman"/>
                <w:snapToGrid/>
                <w:color w:val="000000" w:themeColor="text1"/>
                <w:sz w:val="21"/>
                <w:lang w:eastAsia="zh-CN"/>
                <w14:textFill>
                  <w14:solidFill>
                    <w14:schemeClr w14:val="tx1"/>
                  </w14:solidFill>
                </w14:textFill>
              </w:rPr>
              <w:t>(</w:t>
            </w:r>
            <w:r>
              <w:rPr>
                <w:rFonts w:hint="eastAsia" w:cs="Times New Roman"/>
                <w:snapToGrid/>
                <w:color w:val="000000" w:themeColor="text1"/>
                <w:sz w:val="21"/>
                <w:lang w:eastAsia="zh-CN"/>
                <w14:textFill>
                  <w14:solidFill>
                    <w14:schemeClr w14:val="tx1"/>
                  </w14:solidFill>
                </w14:textFill>
              </w:rPr>
              <w:t>Kp</w:t>
            </w:r>
            <w:r>
              <w:rPr>
                <w:rFonts w:cs="Times New Roman"/>
                <w:snapToGrid/>
                <w:color w:val="000000" w:themeColor="text1"/>
                <w:sz w:val="21"/>
                <w:lang w:eastAsia="zh-CN"/>
                <w14:textFill>
                  <w14:solidFill>
                    <w14:schemeClr w14:val="tx1"/>
                  </w14:solidFill>
                </w14:textFill>
              </w:rPr>
              <w:t>a)</w:t>
            </w:r>
          </w:p>
        </w:tc>
        <w:tc>
          <w:tcPr>
            <w:tcW w:w="1840" w:type="dxa"/>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停歇时间</w:t>
            </w:r>
            <w:r>
              <w:rPr>
                <w:rFonts w:cs="Times New Roman"/>
                <w:snapToGrid/>
                <w:color w:val="000000" w:themeColor="text1"/>
                <w:sz w:val="21"/>
                <w:lang w:eastAsia="zh-CN"/>
                <w14:textFill>
                  <w14:solidFill>
                    <w14:schemeClr w14:val="tx1"/>
                  </w14:solidFill>
                </w14:textFill>
              </w:rPr>
              <w:br w:type="textWrapping"/>
            </w:r>
            <w:r>
              <w:rPr>
                <w:rFonts w:cs="Times New Roman"/>
                <w:snapToGrid/>
                <w:color w:val="000000" w:themeColor="text1"/>
                <w:sz w:val="21"/>
                <w:lang w:eastAsia="zh-CN"/>
                <w14:textFill>
                  <w14:solidFill>
                    <w14:schemeClr w14:val="tx1"/>
                  </w14:solidFill>
                </w14:textFill>
              </w:rPr>
              <w:t>(min)</w:t>
            </w:r>
          </w:p>
        </w:tc>
      </w:tr>
      <w:tr>
        <w:tblPrEx>
          <w:tblCellMar>
            <w:top w:w="0" w:type="dxa"/>
            <w:left w:w="108" w:type="dxa"/>
            <w:bottom w:w="0" w:type="dxa"/>
            <w:right w:w="108" w:type="dxa"/>
          </w:tblCellMar>
        </w:tblPrEx>
        <w:trPr>
          <w:trHeight w:val="288" w:hRule="atLeast"/>
        </w:trPr>
        <w:tc>
          <w:tcPr>
            <w:tcW w:w="1240" w:type="dxa"/>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150~200</w:t>
            </w:r>
          </w:p>
        </w:tc>
        <w:tc>
          <w:tcPr>
            <w:tcW w:w="1840" w:type="dxa"/>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50~60</w:t>
            </w:r>
          </w:p>
        </w:tc>
        <w:tc>
          <w:tcPr>
            <w:tcW w:w="1680" w:type="dxa"/>
            <w:vMerge w:val="restar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8~10</w:t>
            </w:r>
          </w:p>
        </w:tc>
        <w:tc>
          <w:tcPr>
            <w:tcW w:w="1840" w:type="dxa"/>
            <w:vMerge w:val="restar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4~6</w:t>
            </w:r>
          </w:p>
        </w:tc>
        <w:tc>
          <w:tcPr>
            <w:tcW w:w="1840" w:type="dxa"/>
            <w:vMerge w:val="restar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3~5</w:t>
            </w:r>
          </w:p>
        </w:tc>
      </w:tr>
      <w:tr>
        <w:tblPrEx>
          <w:tblCellMar>
            <w:top w:w="0" w:type="dxa"/>
            <w:left w:w="108" w:type="dxa"/>
            <w:bottom w:w="0" w:type="dxa"/>
            <w:right w:w="108" w:type="dxa"/>
          </w:tblCellMar>
        </w:tblPrEx>
        <w:trPr>
          <w:trHeight w:val="288" w:hRule="atLeast"/>
        </w:trPr>
        <w:tc>
          <w:tcPr>
            <w:tcW w:w="1240" w:type="dxa"/>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250~350</w:t>
            </w:r>
          </w:p>
        </w:tc>
        <w:tc>
          <w:tcPr>
            <w:tcW w:w="1840" w:type="dxa"/>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45~55</w:t>
            </w:r>
          </w:p>
        </w:tc>
        <w:tc>
          <w:tcPr>
            <w:tcW w:w="168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left"/>
              <w:textAlignment w:val="auto"/>
              <w:rPr>
                <w:rFonts w:cs="Times New Roman"/>
                <w:snapToGrid/>
                <w:color w:val="000000" w:themeColor="text1"/>
                <w:sz w:val="21"/>
                <w:lang w:eastAsia="zh-CN"/>
                <w14:textFill>
                  <w14:solidFill>
                    <w14:schemeClr w14:val="tx1"/>
                  </w14:solidFill>
                </w14:textFill>
              </w:rPr>
            </w:pPr>
          </w:p>
        </w:tc>
        <w:tc>
          <w:tcPr>
            <w:tcW w:w="184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left"/>
              <w:textAlignment w:val="auto"/>
              <w:rPr>
                <w:rFonts w:cs="Times New Roman"/>
                <w:snapToGrid/>
                <w:color w:val="000000" w:themeColor="text1"/>
                <w:sz w:val="21"/>
                <w:lang w:eastAsia="zh-CN"/>
                <w14:textFill>
                  <w14:solidFill>
                    <w14:schemeClr w14:val="tx1"/>
                  </w14:solidFill>
                </w14:textFill>
              </w:rPr>
            </w:pPr>
          </w:p>
        </w:tc>
        <w:tc>
          <w:tcPr>
            <w:tcW w:w="184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left"/>
              <w:textAlignment w:val="auto"/>
              <w:rPr>
                <w:rFonts w:cs="Times New Roman"/>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trPr>
        <w:tc>
          <w:tcPr>
            <w:tcW w:w="1240" w:type="dxa"/>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400~500</w:t>
            </w:r>
          </w:p>
        </w:tc>
        <w:tc>
          <w:tcPr>
            <w:tcW w:w="1840" w:type="dxa"/>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44~50</w:t>
            </w:r>
          </w:p>
        </w:tc>
        <w:tc>
          <w:tcPr>
            <w:tcW w:w="168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left"/>
              <w:textAlignment w:val="auto"/>
              <w:rPr>
                <w:rFonts w:cs="Times New Roman"/>
                <w:snapToGrid/>
                <w:color w:val="000000" w:themeColor="text1"/>
                <w:sz w:val="21"/>
                <w:lang w:eastAsia="zh-CN"/>
                <w14:textFill>
                  <w14:solidFill>
                    <w14:schemeClr w14:val="tx1"/>
                  </w14:solidFill>
                </w14:textFill>
              </w:rPr>
            </w:pPr>
          </w:p>
        </w:tc>
        <w:tc>
          <w:tcPr>
            <w:tcW w:w="184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left"/>
              <w:textAlignment w:val="auto"/>
              <w:rPr>
                <w:rFonts w:cs="Times New Roman"/>
                <w:snapToGrid/>
                <w:color w:val="000000" w:themeColor="text1"/>
                <w:sz w:val="21"/>
                <w:lang w:eastAsia="zh-CN"/>
                <w14:textFill>
                  <w14:solidFill>
                    <w14:schemeClr w14:val="tx1"/>
                  </w14:solidFill>
                </w14:textFill>
              </w:rPr>
            </w:pPr>
          </w:p>
        </w:tc>
        <w:tc>
          <w:tcPr>
            <w:tcW w:w="184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left"/>
              <w:textAlignment w:val="auto"/>
              <w:rPr>
                <w:rFonts w:cs="Times New Roman"/>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trPr>
        <w:tc>
          <w:tcPr>
            <w:tcW w:w="1240" w:type="dxa"/>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600~700</w:t>
            </w:r>
          </w:p>
        </w:tc>
        <w:tc>
          <w:tcPr>
            <w:tcW w:w="1840" w:type="dxa"/>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30~40</w:t>
            </w:r>
          </w:p>
        </w:tc>
        <w:tc>
          <w:tcPr>
            <w:tcW w:w="1680" w:type="dxa"/>
            <w:vMerge w:val="restar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10~12</w:t>
            </w:r>
          </w:p>
        </w:tc>
        <w:tc>
          <w:tcPr>
            <w:tcW w:w="1840" w:type="dxa"/>
            <w:vMerge w:val="restar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w:t>
            </w:r>
          </w:p>
        </w:tc>
        <w:tc>
          <w:tcPr>
            <w:tcW w:w="1840" w:type="dxa"/>
            <w:vMerge w:val="restar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4~6</w:t>
            </w:r>
          </w:p>
        </w:tc>
      </w:tr>
      <w:tr>
        <w:tblPrEx>
          <w:tblCellMar>
            <w:top w:w="0" w:type="dxa"/>
            <w:left w:w="108" w:type="dxa"/>
            <w:bottom w:w="0" w:type="dxa"/>
            <w:right w:w="108" w:type="dxa"/>
          </w:tblCellMar>
        </w:tblPrEx>
        <w:trPr>
          <w:trHeight w:val="288" w:hRule="atLeast"/>
        </w:trPr>
        <w:tc>
          <w:tcPr>
            <w:tcW w:w="1240" w:type="dxa"/>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800~900</w:t>
            </w:r>
          </w:p>
        </w:tc>
        <w:tc>
          <w:tcPr>
            <w:tcW w:w="1840" w:type="dxa"/>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25~30</w:t>
            </w:r>
          </w:p>
        </w:tc>
        <w:tc>
          <w:tcPr>
            <w:tcW w:w="168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left"/>
              <w:textAlignment w:val="auto"/>
              <w:rPr>
                <w:rFonts w:cs="Times New Roman"/>
                <w:snapToGrid/>
                <w:color w:val="000000" w:themeColor="text1"/>
                <w:sz w:val="21"/>
                <w:lang w:eastAsia="zh-CN"/>
                <w14:textFill>
                  <w14:solidFill>
                    <w14:schemeClr w14:val="tx1"/>
                  </w14:solidFill>
                </w14:textFill>
              </w:rPr>
            </w:pPr>
          </w:p>
        </w:tc>
        <w:tc>
          <w:tcPr>
            <w:tcW w:w="184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left"/>
              <w:textAlignment w:val="auto"/>
              <w:rPr>
                <w:rFonts w:cs="Times New Roman"/>
                <w:snapToGrid/>
                <w:color w:val="000000" w:themeColor="text1"/>
                <w:sz w:val="21"/>
                <w:lang w:eastAsia="zh-CN"/>
                <w14:textFill>
                  <w14:solidFill>
                    <w14:schemeClr w14:val="tx1"/>
                  </w14:solidFill>
                </w14:textFill>
              </w:rPr>
            </w:pPr>
          </w:p>
        </w:tc>
        <w:tc>
          <w:tcPr>
            <w:tcW w:w="184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left"/>
              <w:textAlignment w:val="auto"/>
              <w:rPr>
                <w:rFonts w:cs="Times New Roman"/>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trPr>
        <w:tc>
          <w:tcPr>
            <w:tcW w:w="1240" w:type="dxa"/>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1000~1800</w:t>
            </w:r>
          </w:p>
        </w:tc>
        <w:tc>
          <w:tcPr>
            <w:tcW w:w="1840" w:type="dxa"/>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20~30</w:t>
            </w:r>
          </w:p>
        </w:tc>
        <w:tc>
          <w:tcPr>
            <w:tcW w:w="1680" w:type="dxa"/>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6~8</w:t>
            </w:r>
          </w:p>
        </w:tc>
        <w:tc>
          <w:tcPr>
            <w:tcW w:w="1840" w:type="dxa"/>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w:t>
            </w:r>
          </w:p>
        </w:tc>
        <w:tc>
          <w:tcPr>
            <w:tcW w:w="1840" w:type="dxa"/>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7~9</w:t>
            </w:r>
          </w:p>
        </w:tc>
      </w:tr>
    </w:tbl>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6.2.1</w:t>
      </w:r>
      <w:r>
        <w:rPr>
          <w:rFonts w:hint="eastAsia" w:cs="Times New Roman"/>
          <w:b/>
          <w:bCs/>
          <w:color w:val="000000" w:themeColor="text1"/>
          <w:sz w:val="21"/>
          <w:lang w:eastAsia="zh-CN"/>
          <w14:textFill>
            <w14:solidFill>
              <w14:schemeClr w14:val="tx1"/>
            </w14:solidFill>
          </w14:textFill>
        </w:rPr>
        <w:t>0</w:t>
      </w:r>
      <w:r>
        <w:rPr>
          <w:rFonts w:cs="Times New Roman"/>
          <w:color w:val="000000" w:themeColor="text1"/>
          <w:sz w:val="21"/>
          <w:lang w:eastAsia="zh-CN"/>
          <w14:textFill>
            <w14:solidFill>
              <w14:schemeClr w14:val="tx1"/>
            </w14:solidFill>
          </w14:textFill>
        </w:rPr>
        <w:t xml:space="preserve"> 固化时施工中紫外光灯持续辐照功能应正常，径向辐照应均匀。</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6.2.1</w:t>
      </w:r>
      <w:r>
        <w:rPr>
          <w:rFonts w:hint="eastAsia"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固化过程应监控内衬管壁的温度，实时调整紫外光灯架移动速度和充气设备进气量，管壁反应温度宜控制在 80 ℃~120 ℃之间</w:t>
      </w:r>
      <w:r>
        <w:rPr>
          <w:rFonts w:hint="eastAsia" w:cs="Times New Roman"/>
          <w:color w:val="000000" w:themeColor="text1"/>
          <w:sz w:val="21"/>
          <w:lang w:eastAsia="zh-CN"/>
          <w14:textFill>
            <w14:solidFill>
              <w14:schemeClr w14:val="tx1"/>
            </w14:solidFill>
          </w14:textFill>
        </w:rPr>
        <w:t>，管壁辐照剂量应满足厂家最低剂量要求</w:t>
      </w:r>
      <w:r>
        <w:rPr>
          <w:rFonts w:cs="Times New Roman"/>
          <w:color w:val="000000" w:themeColor="text1"/>
          <w:sz w:val="21"/>
          <w:lang w:eastAsia="zh-CN"/>
          <w14:textFill>
            <w14:solidFill>
              <w14:schemeClr w14:val="tx1"/>
            </w14:solidFill>
          </w14:textFill>
        </w:rPr>
        <w:t>。</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6.2.1</w:t>
      </w:r>
      <w:r>
        <w:rPr>
          <w:rFonts w:hint="eastAsia"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内衬软管固化完成后，应缓慢降低管内压力至常压，降压时间应不低于15 min。</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6.2.1</w:t>
      </w:r>
      <w:r>
        <w:rPr>
          <w:rFonts w:hint="eastAsia" w:cs="Times New Roman"/>
          <w:b/>
          <w:bCs/>
          <w:color w:val="000000" w:themeColor="text1"/>
          <w:sz w:val="21"/>
          <w:lang w:eastAsia="zh-CN"/>
          <w14:textFill>
            <w14:solidFill>
              <w14:schemeClr w14:val="tx1"/>
            </w14:solidFill>
          </w14:textFill>
        </w:rPr>
        <w:t xml:space="preserve">3 </w:t>
      </w:r>
      <w:r>
        <w:rPr>
          <w:rFonts w:cs="Times New Roman"/>
          <w:color w:val="000000" w:themeColor="text1"/>
          <w:sz w:val="21"/>
          <w:lang w:eastAsia="zh-CN"/>
          <w14:textFill>
            <w14:solidFill>
              <w14:schemeClr w14:val="tx1"/>
            </w14:solidFill>
          </w14:textFill>
        </w:rPr>
        <w:t>管道固化施工完成后，应对内衬管起点和终点端部进行切割，切割处应整齐，并宜露出</w:t>
      </w:r>
      <w:r>
        <w:rPr>
          <w:rFonts w:hint="eastAsia" w:cs="Times New Roman"/>
          <w:color w:val="000000" w:themeColor="text1"/>
          <w:sz w:val="21"/>
          <w:lang w:eastAsia="zh-CN"/>
          <w14:textFill>
            <w14:solidFill>
              <w14:schemeClr w14:val="tx1"/>
            </w14:solidFill>
          </w14:textFill>
        </w:rPr>
        <w:t>原有管道</w:t>
      </w:r>
      <w:r>
        <w:rPr>
          <w:rFonts w:cs="Times New Roman"/>
          <w:color w:val="000000" w:themeColor="text1"/>
          <w:sz w:val="21"/>
          <w:lang w:eastAsia="zh-CN"/>
          <w14:textFill>
            <w14:solidFill>
              <w14:schemeClr w14:val="tx1"/>
            </w14:solidFill>
          </w14:textFill>
        </w:rPr>
        <w:t>20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50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6.2.1</w:t>
      </w:r>
      <w:r>
        <w:rPr>
          <w:rFonts w:hint="eastAsia" w:cs="Times New Roman"/>
          <w:b/>
          <w:bCs/>
          <w:color w:val="000000" w:themeColor="text1"/>
          <w:sz w:val="21"/>
          <w:lang w:eastAsia="zh-CN"/>
          <w14:textFill>
            <w14:solidFill>
              <w14:schemeClr w14:val="tx1"/>
            </w14:solidFill>
          </w14:textFill>
        </w:rPr>
        <w:t xml:space="preserve">4 </w:t>
      </w:r>
      <w:r>
        <w:rPr>
          <w:rFonts w:cs="Times New Roman"/>
          <w:color w:val="000000" w:themeColor="text1"/>
          <w:sz w:val="21"/>
          <w:lang w:eastAsia="zh-CN"/>
          <w14:textFill>
            <w14:solidFill>
              <w14:schemeClr w14:val="tx1"/>
            </w14:solidFill>
          </w14:textFill>
        </w:rPr>
        <w:t>内衬管与原有管道的端口位置应进行密封处理，处理完成后应对端口进行清洁。</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6.2.15</w:t>
      </w:r>
      <w:r>
        <w:rPr>
          <w:rFonts w:hint="eastAsia" w:cs="Times New Roman"/>
          <w:color w:val="000000" w:themeColor="text1"/>
          <w:sz w:val="21"/>
          <w:lang w:eastAsia="zh-CN"/>
          <w14:textFill>
            <w14:solidFill>
              <w14:schemeClr w14:val="tx1"/>
            </w14:solidFill>
          </w14:textFill>
        </w:rPr>
        <w:t xml:space="preserve"> 施工</w:t>
      </w:r>
      <w:r>
        <w:rPr>
          <w:rFonts w:cs="Times New Roman"/>
          <w:color w:val="000000" w:themeColor="text1"/>
          <w:sz w:val="21"/>
          <w:lang w:eastAsia="zh-CN"/>
          <w14:textFill>
            <w14:solidFill>
              <w14:schemeClr w14:val="tx1"/>
            </w14:solidFill>
          </w14:textFill>
        </w:rPr>
        <w:t>完成后</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应</w:t>
      </w:r>
      <w:r>
        <w:rPr>
          <w:rFonts w:hint="eastAsia" w:cs="Times New Roman"/>
          <w:color w:val="000000" w:themeColor="text1"/>
          <w:sz w:val="21"/>
          <w:lang w:eastAsia="zh-CN"/>
          <w14:textFill>
            <w14:solidFill>
              <w14:schemeClr w14:val="tx1"/>
            </w14:solidFill>
          </w14:textFill>
        </w:rPr>
        <w:t>将</w:t>
      </w:r>
      <w:r>
        <w:rPr>
          <w:rFonts w:cs="Times New Roman"/>
          <w:color w:val="000000" w:themeColor="text1"/>
          <w:sz w:val="21"/>
          <w:lang w:eastAsia="zh-CN"/>
          <w14:textFill>
            <w14:solidFill>
              <w14:schemeClr w14:val="tx1"/>
            </w14:solidFill>
          </w14:textFill>
        </w:rPr>
        <w:t>内膜</w:t>
      </w:r>
      <w:r>
        <w:rPr>
          <w:rFonts w:hint="eastAsia" w:cs="Times New Roman"/>
          <w:color w:val="000000" w:themeColor="text1"/>
          <w:sz w:val="21"/>
          <w:lang w:eastAsia="zh-CN"/>
          <w14:textFill>
            <w14:solidFill>
              <w14:schemeClr w14:val="tx1"/>
            </w14:solidFill>
          </w14:textFill>
        </w:rPr>
        <w:t>拉出</w:t>
      </w:r>
      <w:r>
        <w:rPr>
          <w:rFonts w:cs="Times New Roman"/>
          <w:color w:val="000000" w:themeColor="text1"/>
          <w:sz w:val="21"/>
          <w:lang w:eastAsia="zh-CN"/>
          <w14:textFill>
            <w14:solidFill>
              <w14:schemeClr w14:val="tx1"/>
            </w14:solidFill>
          </w14:textFill>
        </w:rPr>
        <w:t>。</w:t>
      </w:r>
    </w:p>
    <w:p>
      <w:pPr>
        <w:pStyle w:val="3"/>
        <w:ind w:firstLine="560"/>
      </w:pPr>
      <w:bookmarkStart w:id="151" w:name="_Toc196915219"/>
      <w:r>
        <w:rPr>
          <w:rFonts w:hint="eastAsia"/>
        </w:rPr>
        <w:t>6.3 翻转式</w:t>
      </w:r>
      <w:r>
        <w:t>原位固</w:t>
      </w:r>
      <w:r>
        <w:rPr>
          <w:rFonts w:hint="eastAsia"/>
        </w:rPr>
        <w:t>化</w:t>
      </w:r>
      <w:r>
        <w:t>法</w:t>
      </w:r>
      <w:bookmarkEnd w:id="151"/>
    </w:p>
    <w:p>
      <w:pPr>
        <w:ind w:firstLine="420" w:firstLineChars="0"/>
        <w:rPr>
          <w:rFonts w:cs="Times New Roman"/>
          <w:color w:val="000000" w:themeColor="text1"/>
          <w:sz w:val="21"/>
          <w:lang w:eastAsia="zh-CN"/>
          <w14:textFill>
            <w14:solidFill>
              <w14:schemeClr w14:val="tx1"/>
            </w14:solidFill>
          </w14:textFill>
        </w:rPr>
      </w:pPr>
      <w:bookmarkStart w:id="152" w:name="OLE_LINK23"/>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水压翻转用水应采用自来水</w:t>
      </w:r>
      <w:r>
        <w:rPr>
          <w:rFonts w:hint="eastAsia" w:cs="Times New Roman"/>
          <w:color w:val="000000" w:themeColor="text1"/>
          <w:sz w:val="21"/>
          <w:lang w:eastAsia="zh-CN"/>
          <w14:textFill>
            <w14:solidFill>
              <w14:schemeClr w14:val="tx1"/>
            </w14:solidFill>
          </w14:textFill>
        </w:rPr>
        <w:t>或</w:t>
      </w:r>
      <w:r>
        <w:rPr>
          <w:rFonts w:cs="Times New Roman"/>
          <w:color w:val="000000" w:themeColor="text1"/>
          <w:sz w:val="21"/>
          <w:lang w:eastAsia="zh-CN"/>
          <w14:textFill>
            <w14:solidFill>
              <w14:schemeClr w14:val="tx1"/>
            </w14:solidFill>
          </w14:textFill>
        </w:rPr>
        <w:t>洁净的天然淡水，翻转水头宜采用材料商的推荐高度，无推荐高度的不宜低于</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2m。</w:t>
      </w:r>
    </w:p>
    <w:bookmarkEnd w:id="152"/>
    <w:p>
      <w:pPr>
        <w:ind w:firstLine="422"/>
        <w:rPr>
          <w:rFonts w:cs="Times New Roman"/>
          <w:bCs/>
          <w:color w:val="auto"/>
          <w:szCs w:val="18"/>
          <w:lang w:eastAsia="zh-CN"/>
        </w:rPr>
      </w:pPr>
      <w:r>
        <w:rPr>
          <w:rFonts w:hint="eastAsia" w:cs="Times New Roman"/>
          <w:b/>
          <w:bCs/>
          <w:color w:val="000000" w:themeColor="text1"/>
          <w:sz w:val="21"/>
          <w:lang w:eastAsia="zh-CN"/>
          <w14:textFill>
            <w14:solidFill>
              <w14:schemeClr w14:val="tx1"/>
            </w14:solidFill>
          </w14:textFill>
        </w:rPr>
        <w:t xml:space="preserve">6.3.2 </w:t>
      </w:r>
      <w:r>
        <w:rPr>
          <w:rFonts w:cs="Times New Roman"/>
          <w:color w:val="000000" w:themeColor="text1"/>
          <w:sz w:val="21"/>
          <w:lang w:eastAsia="zh-CN"/>
          <w14:textFill>
            <w14:solidFill>
              <w14:schemeClr w14:val="tx1"/>
            </w14:solidFill>
          </w14:textFill>
        </w:rPr>
        <w:t>翻转施工过程应符合下列规定：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内衬软管宜匀速翻转置入，保持管内压力能使其紧密贴合在原有管壁；</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内衬软管置入原管道时，位置应准确，不宜反复拖动；</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翻转完成后，内衬软管伸出原有管道</w:t>
      </w:r>
      <w:bookmarkStart w:id="153" w:name="_Hlk148627111"/>
      <w:r>
        <w:rPr>
          <w:rFonts w:cs="Times New Roman"/>
          <w:color w:val="000000" w:themeColor="text1"/>
          <w:sz w:val="21"/>
          <w:lang w:eastAsia="zh-CN"/>
          <w14:textFill>
            <w14:solidFill>
              <w14:schemeClr w14:val="tx1"/>
            </w14:solidFill>
          </w14:textFill>
        </w:rPr>
        <w:t>末端的长度</w:t>
      </w:r>
      <w:bookmarkEnd w:id="153"/>
      <w:r>
        <w:rPr>
          <w:rFonts w:cs="Times New Roman"/>
          <w:color w:val="000000" w:themeColor="text1"/>
          <w:sz w:val="21"/>
          <w:lang w:eastAsia="zh-CN"/>
          <w14:textFill>
            <w14:solidFill>
              <w14:schemeClr w14:val="tx1"/>
            </w14:solidFill>
          </w14:textFill>
        </w:rPr>
        <w:t>宜为0.5 m -1</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w:t>
      </w:r>
    </w:p>
    <w:p>
      <w:pPr>
        <w:ind w:firstLine="479" w:firstLineChars="227"/>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6.3.3 </w:t>
      </w:r>
      <w:r>
        <w:rPr>
          <w:rFonts w:hint="eastAsia" w:cs="Times New Roman"/>
          <w:color w:val="000000" w:themeColor="text1"/>
          <w:sz w:val="21"/>
          <w:lang w:eastAsia="zh-CN"/>
          <w14:textFill>
            <w14:solidFill>
              <w14:schemeClr w14:val="tx1"/>
            </w14:solidFill>
          </w14:textFill>
        </w:rPr>
        <w:t>气压翻转设备工作压力应满足</w:t>
      </w:r>
      <w:r>
        <w:rPr>
          <w:rFonts w:cs="Times New Roman"/>
          <w:color w:val="000000" w:themeColor="text1"/>
          <w:sz w:val="21"/>
          <w:lang w:eastAsia="zh-CN"/>
          <w14:textFill>
            <w14:solidFill>
              <w14:schemeClr w14:val="tx1"/>
            </w14:solidFill>
          </w14:textFill>
        </w:rPr>
        <w:t>0 MPa</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0.1</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MPa</w:t>
      </w:r>
      <w:r>
        <w:rPr>
          <w:rFonts w:hint="eastAsia" w:cs="Times New Roman"/>
          <w:color w:val="000000" w:themeColor="text1"/>
          <w:sz w:val="21"/>
          <w:lang w:eastAsia="zh-CN"/>
          <w14:textFill>
            <w14:solidFill>
              <w14:schemeClr w14:val="tx1"/>
            </w14:solidFill>
          </w14:textFill>
        </w:rPr>
        <w:t>，工作温度应满足</w:t>
      </w:r>
      <w:r>
        <w:rPr>
          <w:rFonts w:cs="Times New Roman"/>
          <w:color w:val="000000" w:themeColor="text1"/>
          <w:sz w:val="21"/>
          <w:lang w:eastAsia="zh-CN"/>
          <w14:textFill>
            <w14:solidFill>
              <w14:schemeClr w14:val="tx1"/>
            </w14:solidFill>
          </w14:textFill>
        </w:rPr>
        <w:t>5</w:t>
      </w:r>
      <w:r>
        <w:rPr>
          <w:rFonts w:hint="eastAsia" w:cs="Times New Roman"/>
          <w:color w:val="000000" w:themeColor="text1"/>
          <w:sz w:val="21"/>
          <w:lang w:eastAsia="zh-CN"/>
          <w14:textFill>
            <w14:solidFill>
              <w14:schemeClr w14:val="tx1"/>
            </w14:solidFill>
          </w14:textFill>
        </w:rPr>
        <w:t xml:space="preserve"> ℃ </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100</w:t>
      </w:r>
      <w:r>
        <w:rPr>
          <w:rFonts w:hint="eastAsia" w:cs="Times New Roman"/>
          <w:color w:val="000000" w:themeColor="text1"/>
          <w:sz w:val="21"/>
          <w:lang w:eastAsia="zh-CN"/>
          <w14:textFill>
            <w14:solidFill>
              <w14:schemeClr w14:val="tx1"/>
            </w14:solidFill>
          </w14:textFill>
        </w:rPr>
        <w:t xml:space="preserve"> ℃。</w:t>
      </w:r>
    </w:p>
    <w:p>
      <w:pPr>
        <w:ind w:firstLine="479" w:firstLineChars="227"/>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6.3.4</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固化过程中应对</w:t>
      </w:r>
      <w:r>
        <w:rPr>
          <w:rFonts w:hint="eastAsia" w:cs="Times New Roman"/>
          <w:color w:val="000000" w:themeColor="text1"/>
          <w:sz w:val="21"/>
          <w:lang w:eastAsia="zh-CN"/>
          <w14:textFill>
            <w14:solidFill>
              <w14:schemeClr w14:val="tx1"/>
            </w14:solidFill>
          </w14:textFill>
        </w:rPr>
        <w:t>循环水</w:t>
      </w:r>
      <w:r>
        <w:rPr>
          <w:rFonts w:cs="Times New Roman"/>
          <w:color w:val="000000" w:themeColor="text1"/>
          <w:sz w:val="21"/>
          <w:lang w:eastAsia="zh-CN"/>
          <w14:textFill>
            <w14:solidFill>
              <w14:schemeClr w14:val="tx1"/>
            </w14:solidFill>
          </w14:textFill>
        </w:rPr>
        <w:t>温度和压力进行跟踪测量和监控，且循环</w:t>
      </w:r>
      <w:r>
        <w:rPr>
          <w:rFonts w:hint="eastAsia" w:cs="Times New Roman"/>
          <w:color w:val="000000" w:themeColor="text1"/>
          <w:sz w:val="21"/>
          <w:lang w:eastAsia="zh-CN"/>
          <w14:textFill>
            <w14:solidFill>
              <w14:schemeClr w14:val="tx1"/>
            </w14:solidFill>
          </w14:textFill>
        </w:rPr>
        <w:t>水</w:t>
      </w:r>
      <w:r>
        <w:rPr>
          <w:rFonts w:cs="Times New Roman"/>
          <w:color w:val="000000" w:themeColor="text1"/>
          <w:sz w:val="21"/>
          <w:lang w:eastAsia="zh-CN"/>
          <w14:textFill>
            <w14:solidFill>
              <w14:schemeClr w14:val="tx1"/>
            </w14:solidFill>
          </w14:textFill>
        </w:rPr>
        <w:t>的平均温度应达到树脂固化所需温度。</w:t>
      </w:r>
    </w:p>
    <w:p>
      <w:pPr>
        <w:ind w:firstLine="479" w:firstLineChars="227"/>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.3.</w:t>
      </w:r>
      <w:r>
        <w:rPr>
          <w:rFonts w:hint="eastAsia" w:cs="Times New Roman"/>
          <w:b/>
          <w:bCs/>
          <w:color w:val="000000" w:themeColor="text1"/>
          <w:sz w:val="21"/>
          <w:lang w:eastAsia="zh-CN"/>
          <w14:textFill>
            <w14:solidFill>
              <w14:schemeClr w14:val="tx1"/>
            </w14:solidFill>
          </w14:textFill>
        </w:rPr>
        <w:t>5</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在</w:t>
      </w:r>
      <w:r>
        <w:rPr>
          <w:rFonts w:hint="eastAsia" w:cs="Times New Roman"/>
          <w:color w:val="000000" w:themeColor="text1"/>
          <w:sz w:val="21"/>
          <w:lang w:eastAsia="zh-CN"/>
          <w14:textFill>
            <w14:solidFill>
              <w14:schemeClr w14:val="tx1"/>
            </w14:solidFill>
          </w14:textFill>
        </w:rPr>
        <w:t>施工</w:t>
      </w:r>
      <w:r>
        <w:rPr>
          <w:rFonts w:cs="Times New Roman"/>
          <w:color w:val="000000" w:themeColor="text1"/>
          <w:sz w:val="21"/>
          <w:lang w:eastAsia="zh-CN"/>
          <w14:textFill>
            <w14:solidFill>
              <w14:schemeClr w14:val="tx1"/>
            </w14:solidFill>
          </w14:textFill>
        </w:rPr>
        <w:t>段起点和终点距离端口 200</w:t>
      </w:r>
      <w:bookmarkStart w:id="154" w:name="OLE_LINK56"/>
      <w:r>
        <w:rPr>
          <w:rFonts w:cs="Times New Roman"/>
          <w:color w:val="000000" w:themeColor="text1"/>
          <w:sz w:val="21"/>
          <w:lang w:eastAsia="zh-CN"/>
          <w14:textFill>
            <w14:solidFill>
              <w14:schemeClr w14:val="tx1"/>
            </w14:solidFill>
          </w14:textFill>
        </w:rPr>
        <w:t xml:space="preserve"> mm ~</w:t>
      </w:r>
      <w:bookmarkEnd w:id="154"/>
      <w:r>
        <w:rPr>
          <w:rFonts w:cs="Times New Roman"/>
          <w:color w:val="000000" w:themeColor="text1"/>
          <w:sz w:val="21"/>
          <w:lang w:eastAsia="zh-CN"/>
          <w14:textFill>
            <w14:solidFill>
              <w14:schemeClr w14:val="tx1"/>
            </w14:solidFill>
          </w14:textFill>
        </w:rPr>
        <w:t>300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 处，在</w:t>
      </w:r>
      <w:r>
        <w:rPr>
          <w:rFonts w:hint="eastAsia" w:cs="Times New Roman"/>
          <w:color w:val="000000" w:themeColor="text1"/>
          <w:sz w:val="21"/>
          <w:lang w:eastAsia="zh-CN"/>
          <w14:textFill>
            <w14:solidFill>
              <w14:schemeClr w14:val="tx1"/>
            </w14:solidFill>
          </w14:textFill>
        </w:rPr>
        <w:t>内衬</w:t>
      </w:r>
      <w:r>
        <w:rPr>
          <w:rFonts w:cs="Times New Roman"/>
          <w:color w:val="000000" w:themeColor="text1"/>
          <w:sz w:val="21"/>
          <w:lang w:eastAsia="zh-CN"/>
          <w14:textFill>
            <w14:solidFill>
              <w14:schemeClr w14:val="tx1"/>
            </w14:solidFill>
          </w14:textFill>
        </w:rPr>
        <w:t>软管与原有管道之间应安装温度感应器。</w:t>
      </w:r>
    </w:p>
    <w:p>
      <w:pPr>
        <w:ind w:firstLine="479" w:firstLineChars="227"/>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.3.</w:t>
      </w: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内衬软管</w:t>
      </w:r>
      <w:r>
        <w:rPr>
          <w:rFonts w:cs="Times New Roman"/>
          <w:color w:val="000000" w:themeColor="text1"/>
          <w:sz w:val="21"/>
          <w:lang w:eastAsia="zh-CN"/>
          <w14:textFill>
            <w14:solidFill>
              <w14:schemeClr w14:val="tx1"/>
            </w14:solidFill>
          </w14:textFill>
        </w:rPr>
        <w:t>固化应符合下列规定：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固化应采用阶段式加热方式进行，固化所需的温度和时间以及温度升高速度应按树脂材料说明书的规定或咨询树脂材料生产商，并应根据修复管段的材质、周围土体的热传导性、环境温度、地下水位等情况进行适当调整；</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固化过程中应保持始端与末端之间的内部温度差在15</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℃以内；</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可通过温度感应器监测的树脂放热曲线判定树脂固化的状况；</w:t>
      </w:r>
      <w:bookmarkStart w:id="155" w:name="_Toc30798"/>
      <w:bookmarkStart w:id="156" w:name="_Toc7616"/>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固化过程中湿软管内的压力应能使</w:t>
      </w:r>
      <w:r>
        <w:rPr>
          <w:rFonts w:hint="eastAsia" w:cs="Times New Roman"/>
          <w:color w:val="000000" w:themeColor="text1"/>
          <w:sz w:val="21"/>
          <w:lang w:eastAsia="zh-CN"/>
          <w14:textFill>
            <w14:solidFill>
              <w14:schemeClr w14:val="tx1"/>
            </w14:solidFill>
          </w14:textFill>
        </w:rPr>
        <w:t>内衬</w:t>
      </w:r>
      <w:r>
        <w:rPr>
          <w:rFonts w:cs="Times New Roman"/>
          <w:color w:val="000000" w:themeColor="text1"/>
          <w:sz w:val="21"/>
          <w:lang w:eastAsia="zh-CN"/>
          <w14:textFill>
            <w14:solidFill>
              <w14:schemeClr w14:val="tx1"/>
            </w14:solidFill>
          </w14:textFill>
        </w:rPr>
        <w:t>软管与原有管道紧密贴合，压力不得超过湿软管在固化过程中承受的最大压力，并不得损坏原有管道。</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.3.7</w:t>
      </w:r>
      <w:r>
        <w:rPr>
          <w:rFonts w:cs="Times New Roman"/>
          <w:color w:val="000000" w:themeColor="text1"/>
          <w:sz w:val="21"/>
          <w:lang w:eastAsia="zh-CN"/>
          <w14:textFill>
            <w14:solidFill>
              <w14:schemeClr w14:val="tx1"/>
            </w14:solidFill>
          </w14:textFill>
        </w:rPr>
        <w:t xml:space="preserve"> 热水宜从标高较低的端口</w:t>
      </w:r>
      <w:r>
        <w:rPr>
          <w:rFonts w:hint="eastAsia" w:cs="Times New Roman"/>
          <w:color w:val="000000" w:themeColor="text1"/>
          <w:sz w:val="21"/>
          <w:lang w:eastAsia="zh-CN"/>
          <w14:textFill>
            <w14:solidFill>
              <w14:schemeClr w14:val="tx1"/>
            </w14:solidFill>
          </w14:textFill>
        </w:rPr>
        <w:t>送</w:t>
      </w:r>
      <w:r>
        <w:rPr>
          <w:rFonts w:cs="Times New Roman"/>
          <w:color w:val="000000" w:themeColor="text1"/>
          <w:sz w:val="21"/>
          <w:lang w:eastAsia="zh-CN"/>
          <w14:textFill>
            <w14:solidFill>
              <w14:schemeClr w14:val="tx1"/>
            </w14:solidFill>
          </w14:textFill>
        </w:rPr>
        <w:t>入，循坏加热至固化完成，水头应</w:t>
      </w:r>
      <w:r>
        <w:rPr>
          <w:rFonts w:hint="eastAsia" w:cs="Times New Roman"/>
          <w:color w:val="000000" w:themeColor="text1"/>
          <w:sz w:val="21"/>
          <w:lang w:eastAsia="zh-CN"/>
          <w14:textFill>
            <w14:solidFill>
              <w14:schemeClr w14:val="tx1"/>
            </w14:solidFill>
          </w14:textFill>
        </w:rPr>
        <w:t>高于原管底</w:t>
      </w:r>
      <w:r>
        <w:rPr>
          <w:rFonts w:cs="Times New Roman"/>
          <w:color w:val="000000" w:themeColor="text1"/>
          <w:sz w:val="21"/>
          <w:lang w:eastAsia="zh-CN"/>
          <w14:textFill>
            <w14:solidFill>
              <w14:schemeClr w14:val="tx1"/>
            </w14:solidFill>
          </w14:textFill>
        </w:rPr>
        <w:t>4.5</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w:t>
      </w:r>
      <w:bookmarkStart w:id="157" w:name="OLE_LINK62"/>
      <w:r>
        <w:rPr>
          <w:rFonts w:hint="eastAsia" w:cs="Times New Roman"/>
          <w:color w:val="000000" w:themeColor="text1"/>
          <w:sz w:val="21"/>
          <w:lang w:eastAsia="zh-CN"/>
          <w14:textFill>
            <w14:solidFill>
              <w14:schemeClr w14:val="tx1"/>
            </w14:solidFill>
          </w14:textFill>
        </w:rPr>
        <w:t xml:space="preserve"> </w:t>
      </w:r>
      <w:bookmarkEnd w:id="157"/>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5.5</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m范围内。</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.3.8</w:t>
      </w:r>
      <w:r>
        <w:rPr>
          <w:rFonts w:hint="eastAsia"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内衬管冷却时间应符合材料使用说明书的规定，冷却过程中内衬管内应避免形成负压。</w:t>
      </w:r>
    </w:p>
    <w:bookmarkEnd w:id="155"/>
    <w:bookmarkEnd w:id="156"/>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.3.9</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热水固化内衬管应冷却至38 ℃以下进行泄压，蒸汽固化内衬管应冷却至</w:t>
      </w:r>
      <w:r>
        <w:rPr>
          <w:rFonts w:cs="Times New Roman"/>
          <w:color w:val="000000" w:themeColor="text1"/>
          <w:sz w:val="21"/>
          <w:lang w:eastAsia="zh-CN"/>
          <w14:textFill>
            <w14:solidFill>
              <w14:schemeClr w14:val="tx1"/>
            </w14:solidFill>
          </w14:textFill>
        </w:rPr>
        <w:t>45</w:t>
      </w:r>
      <w:r>
        <w:rPr>
          <w:rFonts w:hint="eastAsia" w:cs="Times New Roman"/>
          <w:color w:val="000000" w:themeColor="text1"/>
          <w:sz w:val="21"/>
          <w:lang w:eastAsia="zh-CN"/>
          <w14:textFill>
            <w14:solidFill>
              <w14:schemeClr w14:val="tx1"/>
            </w14:solidFill>
          </w14:textFill>
        </w:rPr>
        <w:t xml:space="preserve"> ℃以下进行泄压。完全泄压后方可进行后续施工。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.3.</w:t>
      </w:r>
      <w:r>
        <w:rPr>
          <w:rFonts w:hint="eastAsia" w:cs="Times New Roman"/>
          <w:b/>
          <w:bCs/>
          <w:color w:val="000000" w:themeColor="text1"/>
          <w:sz w:val="21"/>
          <w:lang w:eastAsia="zh-CN"/>
          <w14:textFill>
            <w14:solidFill>
              <w14:schemeClr w14:val="tx1"/>
            </w14:solidFill>
          </w14:textFill>
        </w:rPr>
        <w:t>1</w:t>
      </w:r>
      <w:r>
        <w:rPr>
          <w:rFonts w:cs="Times New Roman"/>
          <w:b/>
          <w:bCs/>
          <w:color w:val="000000" w:themeColor="text1"/>
          <w:sz w:val="21"/>
          <w:lang w:eastAsia="zh-CN"/>
          <w14:textFill>
            <w14:solidFill>
              <w14:schemeClr w14:val="tx1"/>
            </w14:solidFill>
          </w14:textFill>
        </w:rPr>
        <w:t>0</w:t>
      </w:r>
      <w:r>
        <w:rPr>
          <w:rFonts w:cs="Times New Roman"/>
          <w:color w:val="000000" w:themeColor="text1"/>
          <w:sz w:val="21"/>
          <w:lang w:eastAsia="zh-CN"/>
          <w14:textFill>
            <w14:solidFill>
              <w14:schemeClr w14:val="tx1"/>
            </w14:solidFill>
          </w14:textFill>
        </w:rPr>
        <w:t xml:space="preserve"> 内衬管固化完成</w:t>
      </w:r>
      <w:r>
        <w:rPr>
          <w:rFonts w:hint="eastAsia" w:cs="Times New Roman"/>
          <w:color w:val="000000" w:themeColor="text1"/>
          <w:sz w:val="21"/>
          <w:lang w:eastAsia="zh-CN"/>
          <w14:textFill>
            <w14:solidFill>
              <w14:schemeClr w14:val="tx1"/>
            </w14:solidFill>
          </w14:textFill>
        </w:rPr>
        <w:t>并冷却</w:t>
      </w:r>
      <w:r>
        <w:rPr>
          <w:rFonts w:cs="Times New Roman"/>
          <w:color w:val="000000" w:themeColor="text1"/>
          <w:sz w:val="21"/>
          <w:lang w:eastAsia="zh-CN"/>
          <w14:textFill>
            <w14:solidFill>
              <w14:schemeClr w14:val="tx1"/>
            </w14:solidFill>
          </w14:textFill>
        </w:rPr>
        <w:t>后应对端部进行切割，密封处理</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端部应整齐，并应露出原管口20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 ~ 50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切割下的废料等应妥善处置。在不影响排水和养护的情况下</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宜保留位于流槽中的部分内衬管。</w:t>
      </w:r>
    </w:p>
    <w:p>
      <w:pPr>
        <w:ind w:firstLine="420" w:firstLineChars="0"/>
        <w:rPr>
          <w:rFonts w:cs="Times New Roman"/>
          <w:lang w:eastAsia="zh-CN"/>
        </w:rPr>
      </w:pPr>
      <w:r>
        <w:rPr>
          <w:rFonts w:cs="Times New Roman"/>
          <w:b/>
          <w:bCs/>
          <w:color w:val="000000" w:themeColor="text1"/>
          <w:sz w:val="21"/>
          <w:lang w:eastAsia="zh-CN"/>
          <w14:textFill>
            <w14:solidFill>
              <w14:schemeClr w14:val="tx1"/>
            </w14:solidFill>
          </w14:textFill>
        </w:rPr>
        <w:t>6.3.</w:t>
      </w:r>
      <w:r>
        <w:rPr>
          <w:rFonts w:hint="eastAsia" w:cs="Times New Roman"/>
          <w:b/>
          <w:bCs/>
          <w:color w:val="000000" w:themeColor="text1"/>
          <w:sz w:val="21"/>
          <w:lang w:eastAsia="zh-CN"/>
          <w14:textFill>
            <w14:solidFill>
              <w14:schemeClr w14:val="tx1"/>
            </w14:solidFill>
          </w14:textFill>
        </w:rPr>
        <w:t>11</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密封前应清洁原管口端头管壁和井壁，并密封，表面应抹光。</w:t>
      </w:r>
    </w:p>
    <w:p>
      <w:pPr>
        <w:pStyle w:val="3"/>
        <w:ind w:firstLine="560"/>
      </w:pPr>
      <w:bookmarkStart w:id="158" w:name="_Toc196915220"/>
      <w:bookmarkStart w:id="159" w:name="OLE_LINK67"/>
      <w:r>
        <w:rPr>
          <w:rFonts w:hint="eastAsia"/>
        </w:rPr>
        <w:t>6.4</w:t>
      </w:r>
      <w:r>
        <w:t xml:space="preserve"> 原位热塑成型法</w:t>
      </w:r>
      <w:bookmarkEnd w:id="158"/>
    </w:p>
    <w:bookmarkEnd w:id="159"/>
    <w:p>
      <w:pPr>
        <w:ind w:firstLine="420" w:firstLineChars="0"/>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6.4.1 </w:t>
      </w:r>
      <w:r>
        <w:rPr>
          <w:rFonts w:hint="eastAsia" w:cs="Times New Roman"/>
          <w:color w:val="000000" w:themeColor="text1"/>
          <w:sz w:val="21"/>
          <w:lang w:eastAsia="zh-CN"/>
          <w14:textFill>
            <w14:solidFill>
              <w14:schemeClr w14:val="tx1"/>
            </w14:solidFill>
          </w14:textFill>
        </w:rPr>
        <w:t>材料进入施工现场时，应进行进场验收并妥善保管。</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6.4.2</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内衬管的预加热及拉入应符合下列规定：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应依据材料厂商提供的产品说明书的要求对衬管材料进行预加热，衬管软化后方可拉入待修管道；</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 xml:space="preserve"> 拉入前应检测卷扬机的绳索处于完好状态，卷扬机绳索与卷盘上的衬管应连接牢固；应在所有改变牵引方向处设置滚筒或定滑轮，滚筒或定滑轮应可靠固定。衬管材料与尖锐物体直接接触处应设置防衬管材料划伤的保护措施；</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 xml:space="preserve"> 折叠内衬管材料应从管盘匀速展开拉入原有管道，拉入速度应根据衬管材料拉入时的温度、牵拉力及环境温度等因素确定和调整；</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w:t>
      </w:r>
      <w:r>
        <w:rPr>
          <w:rFonts w:hint="eastAsia" w:cs="Times New Roman"/>
          <w:color w:val="000000" w:themeColor="text1"/>
          <w:sz w:val="21"/>
          <w:lang w:eastAsia="zh-CN"/>
          <w14:textFill>
            <w14:solidFill>
              <w14:schemeClr w14:val="tx1"/>
            </w14:solidFill>
          </w14:textFill>
        </w:rPr>
        <w:t xml:space="preserve"> 折叠内衬管拖入应在衬管软化状态时完成，若折叠内衬管在拉入中途冷却变硬，则应重新加热后再实施拖入。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6.4.3</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内衬管的加热成型应符合下列规定：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内衬管拉入完成后，应对管两端露出部分重新进行加热，软化后用专用管塞将衬管的两端封堵；通过对管塞充气，使内衬管膨胀紧贴原有管道，管塞的充气压力应控制在0.1 MPa </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 xml:space="preserve"> 0.15</w:t>
      </w:r>
      <w:bookmarkStart w:id="160" w:name="OLE_LINK41"/>
      <w:r>
        <w:rPr>
          <w:rFonts w:hint="eastAsia" w:cs="Times New Roman"/>
          <w:color w:val="000000" w:themeColor="text1"/>
          <w:sz w:val="21"/>
          <w:lang w:eastAsia="zh-CN"/>
          <w14:textFill>
            <w14:solidFill>
              <w14:schemeClr w14:val="tx1"/>
            </w14:solidFill>
          </w14:textFill>
        </w:rPr>
        <w:t xml:space="preserve"> MPa</w:t>
      </w:r>
      <w:bookmarkEnd w:id="160"/>
      <w:r>
        <w:rPr>
          <w:rFonts w:hint="eastAsia" w:cs="Times New Roman"/>
          <w:color w:val="000000" w:themeColor="text1"/>
          <w:sz w:val="21"/>
          <w:lang w:eastAsia="zh-CN"/>
          <w14:textFill>
            <w14:solidFill>
              <w14:schemeClr w14:val="tx1"/>
            </w14:solidFill>
          </w14:textFill>
        </w:rPr>
        <w:t>之间，且应保持压力稳定；</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 xml:space="preserve"> 通过下游的温度表实时监测管内的温度，内衬管成型过程中温度不宜超过95 </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 xml:space="preserve"> 实时观察内衬管成型状况，内城管紧贴于管道后，停止送水蒸汽。 </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6.4.4</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衬管的冷却和端口处理应符合下列规定：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hint="eastAsia" w:cs="Times New Roman"/>
          <w:color w:val="000000" w:themeColor="text1"/>
          <w:sz w:val="21"/>
          <w:lang w:eastAsia="zh-CN"/>
          <w14:textFill>
            <w14:solidFill>
              <w14:schemeClr w14:val="tx1"/>
            </w14:solidFill>
          </w14:textFill>
        </w:rPr>
        <w:t>内衬管加热成型后，应在保持原有压力的情况下，将衬管内的蒸汽逐渐置换成冷空气；</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置换过程中应实时监测下游的温度，当温度降低到</w:t>
      </w:r>
      <w:r>
        <w:rPr>
          <w:rFonts w:cs="Times New Roman"/>
          <w:color w:val="000000" w:themeColor="text1"/>
          <w:sz w:val="21"/>
          <w:lang w:eastAsia="zh-CN"/>
          <w14:textFill>
            <w14:solidFill>
              <w14:schemeClr w14:val="tx1"/>
            </w14:solidFill>
          </w14:textFill>
        </w:rPr>
        <w:t>40</w:t>
      </w:r>
      <w:r>
        <w:rPr>
          <w:rFonts w:hint="eastAsia" w:cs="Times New Roman"/>
          <w:color w:val="000000" w:themeColor="text1"/>
          <w:sz w:val="21"/>
          <w:lang w:eastAsia="zh-CN"/>
          <w14:textFill>
            <w14:solidFill>
              <w14:schemeClr w14:val="tx1"/>
            </w14:solidFill>
          </w14:textFill>
        </w:rPr>
        <w:t xml:space="preserve"> ℃以下时，方可打开阀门，释放管内的压力；</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3 </w:t>
      </w:r>
      <w:r>
        <w:rPr>
          <w:rFonts w:hint="eastAsia" w:cs="Times New Roman"/>
          <w:color w:val="000000" w:themeColor="text1"/>
          <w:sz w:val="21"/>
          <w:lang w:eastAsia="zh-CN"/>
          <w14:textFill>
            <w14:solidFill>
              <w14:schemeClr w14:val="tx1"/>
            </w14:solidFill>
          </w14:textFill>
        </w:rPr>
        <w:t>修复后，内衬管伸出原有管道的长度应大于</w:t>
      </w:r>
      <w:r>
        <w:rPr>
          <w:rFonts w:cs="Times New Roman"/>
          <w:color w:val="000000" w:themeColor="text1"/>
          <w:sz w:val="21"/>
          <w:lang w:eastAsia="zh-CN"/>
          <w14:textFill>
            <w14:solidFill>
              <w14:schemeClr w14:val="tx1"/>
            </w14:solidFill>
          </w14:textFill>
        </w:rPr>
        <w:t>10</w:t>
      </w:r>
      <w:r>
        <w:rPr>
          <w:rFonts w:hint="eastAsia" w:cs="Times New Roman"/>
          <w:color w:val="000000" w:themeColor="text1"/>
          <w:sz w:val="21"/>
          <w:lang w:eastAsia="zh-CN"/>
          <w14:textFill>
            <w14:solidFill>
              <w14:schemeClr w14:val="tx1"/>
            </w14:solidFill>
          </w14:textFill>
        </w:rPr>
        <w:t>0 m</w:t>
      </w:r>
      <w:r>
        <w:rPr>
          <w:rFonts w:cs="Times New Roman"/>
          <w:color w:val="000000" w:themeColor="text1"/>
          <w:sz w:val="21"/>
          <w:lang w:eastAsia="zh-CN"/>
          <w14:textFill>
            <w14:solidFill>
              <w14:schemeClr w14:val="tx1"/>
            </w14:solidFill>
          </w14:textFill>
        </w:rPr>
        <w:t>m</w:t>
      </w:r>
      <w:r>
        <w:rPr>
          <w:rFonts w:hint="eastAsia" w:cs="Times New Roman"/>
          <w:color w:val="000000" w:themeColor="text1"/>
          <w:sz w:val="21"/>
          <w:lang w:eastAsia="zh-CN"/>
          <w14:textFill>
            <w14:solidFill>
              <w14:schemeClr w14:val="tx1"/>
            </w14:solidFill>
          </w14:textFill>
        </w:rPr>
        <w:t>，伸出部分宜呈喇叭状或按照设计要求处理。</w:t>
      </w:r>
    </w:p>
    <w:p>
      <w:pPr>
        <w:ind w:firstLine="422"/>
        <w:rPr>
          <w:color w:val="000000" w:themeColor="text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6.4.5 </w:t>
      </w:r>
      <w:r>
        <w:rPr>
          <w:rFonts w:cs="Times New Roman"/>
          <w:color w:val="000000" w:themeColor="text1"/>
          <w:sz w:val="21"/>
          <w:lang w:eastAsia="zh-CN"/>
          <w14:textFill>
            <w14:solidFill>
              <w14:schemeClr w14:val="tx1"/>
            </w14:solidFill>
          </w14:textFill>
        </w:rPr>
        <w:t>排水管道修复完成后，内衬管两端与原管道之间的环状间隙</w:t>
      </w:r>
      <w:r>
        <w:rPr>
          <w:rFonts w:hint="eastAsia" w:cs="Times New Roman"/>
          <w:color w:val="000000" w:themeColor="text1"/>
          <w:sz w:val="21"/>
          <w:lang w:eastAsia="zh-CN"/>
          <w14:textFill>
            <w14:solidFill>
              <w14:schemeClr w14:val="tx1"/>
            </w14:solidFill>
          </w14:textFill>
        </w:rPr>
        <w:t>应进行</w:t>
      </w:r>
      <w:r>
        <w:rPr>
          <w:rFonts w:cs="Times New Roman"/>
          <w:color w:val="000000" w:themeColor="text1"/>
          <w:sz w:val="21"/>
          <w:lang w:eastAsia="zh-CN"/>
          <w14:textFill>
            <w14:solidFill>
              <w14:schemeClr w14:val="tx1"/>
            </w14:solidFill>
          </w14:textFill>
        </w:rPr>
        <w:t>密封处理。</w:t>
      </w:r>
    </w:p>
    <w:p>
      <w:pPr>
        <w:pStyle w:val="3"/>
        <w:ind w:firstLine="560"/>
      </w:pPr>
      <w:bookmarkStart w:id="161" w:name="_Toc196915221"/>
      <w:bookmarkStart w:id="162" w:name="OLE_LINK68"/>
      <w:r>
        <w:rPr>
          <w:rFonts w:hint="eastAsia"/>
        </w:rPr>
        <w:t>6.5</w:t>
      </w:r>
      <w:r>
        <w:t xml:space="preserve"> </w:t>
      </w:r>
      <w:r>
        <w:rPr>
          <w:rFonts w:hint="eastAsia"/>
        </w:rPr>
        <w:t>螺旋缠绕内衬法</w:t>
      </w:r>
      <w:bookmarkEnd w:id="161"/>
    </w:p>
    <w:bookmarkEnd w:id="162"/>
    <w:p>
      <w:pPr>
        <w:ind w:firstLine="422"/>
        <w:rPr>
          <w:rFonts w:cs="Times New Roman"/>
          <w:color w:val="000000" w:themeColor="text1"/>
          <w:sz w:val="21"/>
          <w:lang w:eastAsia="zh-CN"/>
          <w14:textFill>
            <w14:solidFill>
              <w14:schemeClr w14:val="tx1"/>
            </w14:solidFill>
          </w14:textFill>
        </w:rPr>
      </w:pPr>
      <w:bookmarkStart w:id="163" w:name="OLE_LINK74"/>
      <w:bookmarkStart w:id="164" w:name="_Toc32675"/>
      <w:r>
        <w:rPr>
          <w:rFonts w:hint="eastAsia" w:cs="Times New Roman"/>
          <w:b/>
          <w:bCs/>
          <w:color w:val="000000" w:themeColor="text1"/>
          <w:sz w:val="21"/>
          <w:lang w:eastAsia="zh-CN"/>
          <w14:textFill>
            <w14:solidFill>
              <w14:schemeClr w14:val="tx1"/>
            </w14:solidFill>
          </w14:textFill>
        </w:rPr>
        <w:t>6.5.1</w:t>
      </w:r>
      <w:bookmarkEnd w:id="163"/>
      <w:r>
        <w:rPr>
          <w:rFonts w:cs="Times New Roman"/>
          <w:color w:val="000000" w:themeColor="text1"/>
          <w:sz w:val="21"/>
          <w:lang w:eastAsia="zh-CN"/>
          <w14:textFill>
            <w14:solidFill>
              <w14:schemeClr w14:val="tx1"/>
            </w14:solidFill>
          </w14:textFill>
        </w:rPr>
        <w:t xml:space="preserve"> </w:t>
      </w:r>
      <w:bookmarkEnd w:id="164"/>
      <w:r>
        <w:rPr>
          <w:rFonts w:hint="eastAsia" w:cs="Times New Roman"/>
          <w:color w:val="000000" w:themeColor="text1"/>
          <w:sz w:val="21"/>
          <w:lang w:eastAsia="zh-CN"/>
          <w14:textFill>
            <w14:solidFill>
              <w14:schemeClr w14:val="tx1"/>
            </w14:solidFill>
          </w14:textFill>
        </w:rPr>
        <w:t>修复材料进入工地现场时应进行验收，应检查每批产品的质量合格证书、性能检测报告和使用说明书，并核对材料品种及型号、生产企业。进场材料验收应符合下列规定：</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带状型材外观检查不应少于进场总量的1/3，并应符合本标准第4.6.5 条的规定。</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带状型材的宽度、高度和壁厚的测定应符合现行国家标准</w:t>
      </w:r>
      <w:bookmarkStart w:id="165" w:name="_Hlk196920159"/>
      <w:r>
        <w:rPr>
          <w:rFonts w:hint="eastAsia" w:cs="Times New Roman"/>
          <w:color w:val="000000" w:themeColor="text1"/>
          <w:sz w:val="21"/>
          <w:lang w:eastAsia="zh-CN"/>
          <w14:textFill>
            <w14:solidFill>
              <w14:schemeClr w14:val="tx1"/>
            </w14:solidFill>
          </w14:textFill>
        </w:rPr>
        <w:t>《塑料管道系统塑料部件尺寸的测定》GB/T</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8806</w:t>
      </w:r>
      <w:bookmarkEnd w:id="165"/>
      <w:r>
        <w:rPr>
          <w:rFonts w:hint="eastAsia" w:cs="Times New Roman"/>
          <w:color w:val="000000" w:themeColor="text1"/>
          <w:sz w:val="21"/>
          <w:lang w:eastAsia="zh-CN"/>
          <w14:textFill>
            <w14:solidFill>
              <w14:schemeClr w14:val="tx1"/>
            </w14:solidFill>
          </w14:textFill>
        </w:rPr>
        <w:t>的有关规定，测定结果应满足产品说明书的要求。</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应对不同生产批次的带状型材进行性能抽样检测和刚度系数测试，检测结果符合本标准</w:t>
      </w:r>
      <w:bookmarkStart w:id="166" w:name="OLE_LINK63"/>
      <w:r>
        <w:rPr>
          <w:rFonts w:hint="eastAsia" w:cs="Times New Roman"/>
          <w:color w:val="000000" w:themeColor="text1"/>
          <w:sz w:val="21"/>
          <w:lang w:eastAsia="zh-CN"/>
          <w14:textFill>
            <w14:solidFill>
              <w14:schemeClr w14:val="tx1"/>
            </w14:solidFill>
          </w14:textFill>
        </w:rPr>
        <w:t>第</w:t>
      </w:r>
      <w:bookmarkEnd w:id="166"/>
      <w:r>
        <w:rPr>
          <w:rFonts w:hint="eastAsia" w:cs="Times New Roman"/>
          <w:color w:val="000000" w:themeColor="text1"/>
          <w:sz w:val="21"/>
          <w:lang w:eastAsia="zh-CN"/>
          <w14:textFill>
            <w14:solidFill>
              <w14:schemeClr w14:val="tx1"/>
            </w14:solidFill>
          </w14:textFill>
        </w:rPr>
        <w:t>第</w:t>
      </w:r>
      <w:r>
        <w:rPr>
          <w:rFonts w:cs="Times New Roman"/>
          <w:color w:val="000000" w:themeColor="text1"/>
          <w:sz w:val="21"/>
          <w:lang w:eastAsia="zh-CN"/>
          <w14:textFill>
            <w14:solidFill>
              <w14:schemeClr w14:val="tx1"/>
            </w14:solidFill>
          </w14:textFill>
        </w:rPr>
        <w:t>4.</w:t>
      </w:r>
      <w:r>
        <w:rPr>
          <w:rFonts w:hint="eastAsia" w:cs="Times New Roman"/>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2条的规定，刚度系数测试方法应符合附录C的规定。</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6.5.2</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施工时，应对过程实时监控，如型材及内衬管发生破损、弯曲等现象，及时停止作业并更换型材。施工时环境温度低于</w:t>
      </w:r>
      <w:r>
        <w:rPr>
          <w:rFonts w:cs="Times New Roman"/>
          <w:color w:val="000000" w:themeColor="text1"/>
          <w:sz w:val="21"/>
          <w:lang w:eastAsia="zh-CN"/>
          <w14:textFill>
            <w14:solidFill>
              <w14:schemeClr w14:val="tx1"/>
            </w14:solidFill>
          </w14:textFill>
        </w:rPr>
        <w:t xml:space="preserve"> 10</w:t>
      </w:r>
      <w:r>
        <w:rPr>
          <w:rFonts w:hint="eastAsia" w:cs="Times New Roman"/>
          <w:color w:val="000000" w:themeColor="text1"/>
          <w:sz w:val="21"/>
          <w:lang w:eastAsia="zh-CN"/>
          <w14:textFill>
            <w14:solidFill>
              <w14:schemeClr w14:val="tx1"/>
            </w14:solidFill>
          </w14:textFill>
        </w:rPr>
        <w:t>℃时，宜采取封闭保温措施，并应符合下列规定：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内衬管缠绕过程中，钢带应同步安装在带状型材外表面，与型材公母锁扣处嵌合牢固。</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当型材截断后进行再连接时，应保证焊缝翻边均匀，焊接牢固。</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螺旋缠绕作业应平稳、匀速进行，锁扣应嵌合、连接牢固。</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6.5.3</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带水作业时，井下人员应配置安全带、防毒面具、防护服等安全措施，并应有专人在地面上负责与井下人员沟通。管道内水流应满足下列要求：</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管道内水深不宜超过 300 mm，且充满度不宜超过 50%；</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水流速度不宜超过 0.5 m/s。</w:t>
      </w:r>
    </w:p>
    <w:p>
      <w:pPr>
        <w:ind w:firstLine="481" w:firstLineChars="228"/>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6.5.4 </w:t>
      </w:r>
      <w:r>
        <w:rPr>
          <w:rFonts w:hint="eastAsia" w:cs="Times New Roman"/>
          <w:color w:val="000000" w:themeColor="text1"/>
          <w:sz w:val="21"/>
          <w:lang w:eastAsia="zh-CN"/>
          <w14:textFill>
            <w14:solidFill>
              <w14:schemeClr w14:val="tx1"/>
            </w14:solidFill>
          </w14:textFill>
        </w:rPr>
        <w:t>螺旋缠绕内衬法所用缠绕机应能在地面拆分，井下组装。螺旋缠绕内衬法设备应固定在起始检查井中，且轴线应与管道轴线一致。</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6.5.5</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扩张法螺旋缠绕工艺应符合下列规定：</w:t>
      </w:r>
      <w:r>
        <w:rPr>
          <w:rFonts w:cs="Times New Roman"/>
          <w:color w:val="000000" w:themeColor="text1"/>
          <w:sz w:val="21"/>
          <w:lang w:eastAsia="zh-CN"/>
          <w14:textFill>
            <w14:solidFill>
              <w14:schemeClr w14:val="tx1"/>
            </w14:solidFill>
          </w14:textFill>
        </w:rPr>
        <w:t xml:space="preserve"> </w:t>
      </w:r>
    </w:p>
    <w:p>
      <w:pPr>
        <w:ind w:left="420" w:firstLine="422"/>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1</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螺旋缠绕设备应固定在起始检查井中，且设备轴线应与管道轴线一致；</w:t>
      </w:r>
    </w:p>
    <w:p>
      <w:pPr>
        <w:ind w:left="420" w:firstLine="422"/>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2</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内衬管的缠绕成型及推入过程应同步进行，直到内衬管到达目标工作坑或检查井；</w:t>
      </w:r>
    </w:p>
    <w:p>
      <w:pPr>
        <w:ind w:left="420"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3</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内衬管缠绕过程中，应在主锁扣和次锁扣间放置钢丝，并在主锁扣中注入密封剂和胶粘剂；</w:t>
      </w:r>
    </w:p>
    <w:p>
      <w:pPr>
        <w:ind w:left="420" w:firstLine="422"/>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4</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内衬管在扩张前应将端口固定；</w:t>
      </w:r>
    </w:p>
    <w:p>
      <w:pPr>
        <w:ind w:left="420" w:firstLine="422"/>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5</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扩张工艺的钢丝抽拉和螺旋缠绕操作应同步进行，直至整个施工段内衬管扩张完毕；</w:t>
      </w:r>
    </w:p>
    <w:p>
      <w:pPr>
        <w:spacing w:before="42"/>
        <w:ind w:left="420" w:right="59" w:firstLine="430"/>
        <w:rPr>
          <w:rFonts w:cs="Times New Roman" w:eastAsiaTheme="minorEastAsia"/>
          <w:b/>
          <w:bCs/>
          <w:color w:val="000000" w:themeColor="text1"/>
          <w:spacing w:val="2"/>
          <w:sz w:val="21"/>
          <w:lang w:eastAsia="zh-CN"/>
          <w14:textFill>
            <w14:solidFill>
              <w14:schemeClr w14:val="tx1"/>
            </w14:solidFill>
          </w14:textFill>
        </w:rPr>
      </w:pPr>
      <w:r>
        <w:rPr>
          <w:rFonts w:cs="Times New Roman" w:eastAsiaTheme="minorEastAsia"/>
          <w:b/>
          <w:bCs/>
          <w:color w:val="000000" w:themeColor="text1"/>
          <w:spacing w:val="2"/>
          <w:sz w:val="21"/>
          <w:lang w:eastAsia="zh-CN"/>
          <w14:textFill>
            <w14:solidFill>
              <w14:schemeClr w14:val="tx1"/>
            </w14:solidFill>
          </w14:textFill>
        </w:rPr>
        <w:t xml:space="preserve">6 </w:t>
      </w:r>
      <w:r>
        <w:rPr>
          <w:rFonts w:hint="eastAsia" w:cs="Times New Roman" w:eastAsiaTheme="minorEastAsia"/>
          <w:color w:val="000000" w:themeColor="text1"/>
          <w:spacing w:val="2"/>
          <w:sz w:val="21"/>
          <w:lang w:eastAsia="zh-CN"/>
          <w14:textFill>
            <w14:solidFill>
              <w14:schemeClr w14:val="tx1"/>
            </w14:solidFill>
          </w14:textFill>
        </w:rPr>
        <w:t>扩张前应在管两端的环形间隙内注入聚氨酯发泡胶，扩张完成后应对端头和检查井用快干水泥进行抹平；</w:t>
      </w:r>
    </w:p>
    <w:p>
      <w:pPr>
        <w:spacing w:before="42"/>
        <w:ind w:left="420" w:right="59" w:firstLine="430"/>
        <w:rPr>
          <w:rFonts w:cs="Times New Roman" w:eastAsiaTheme="minorEastAsia"/>
          <w:color w:val="000000" w:themeColor="text1"/>
          <w:spacing w:val="2"/>
          <w:sz w:val="21"/>
          <w:lang w:eastAsia="zh-CN"/>
          <w14:textFill>
            <w14:solidFill>
              <w14:schemeClr w14:val="tx1"/>
            </w14:solidFill>
          </w14:textFill>
        </w:rPr>
      </w:pPr>
      <w:r>
        <w:rPr>
          <w:rFonts w:hint="eastAsia" w:cs="Times New Roman" w:eastAsiaTheme="minorEastAsia"/>
          <w:b/>
          <w:bCs/>
          <w:color w:val="000000" w:themeColor="text1"/>
          <w:spacing w:val="2"/>
          <w:sz w:val="21"/>
          <w:lang w:eastAsia="zh-CN"/>
          <w14:textFill>
            <w14:solidFill>
              <w14:schemeClr w14:val="tx1"/>
            </w14:solidFill>
          </w14:textFill>
        </w:rPr>
        <w:t xml:space="preserve">7 </w:t>
      </w:r>
      <w:r>
        <w:rPr>
          <w:rFonts w:cs="Times New Roman" w:eastAsiaTheme="minorEastAsia"/>
          <w:color w:val="000000" w:themeColor="text1"/>
          <w:spacing w:val="2"/>
          <w:sz w:val="21"/>
          <w:lang w:eastAsia="zh-CN"/>
          <w14:textFill>
            <w14:solidFill>
              <w14:schemeClr w14:val="tx1"/>
            </w14:solidFill>
          </w14:textFill>
        </w:rPr>
        <w:t>应检验和记录缠绕速度和行走速度。</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6.5.6</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定径式螺旋缠绕内衬法应符合下列规定：:</w:t>
      </w:r>
    </w:p>
    <w:p>
      <w:pPr>
        <w:ind w:left="420" w:firstLine="422"/>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1</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缠绕笼应固定在起始检查井中，缠绕笼轴线应与管道轴线一致；</w:t>
      </w:r>
    </w:p>
    <w:p>
      <w:pPr>
        <w:ind w:left="420" w:firstLine="422"/>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2</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内衬管的缠绕及推入过程应同步进行，直到内衬管到达目标工作坑或检查井；</w:t>
      </w:r>
    </w:p>
    <w:p>
      <w:pPr>
        <w:ind w:left="420" w:firstLine="422"/>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3</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内衬管缠绕过程中，钢带应同步安装在带状型材外表面，并应与带状型材公母锁扣处嵌合牢固；</w:t>
      </w:r>
    </w:p>
    <w:p>
      <w:pPr>
        <w:ind w:left="420" w:firstLine="422"/>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4</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带状型材截断后进行热熔焊接连接时，焊缝翻边应均匀，焊接应牢固。</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6.5.7</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机头行走式螺旋缠绕内衬法应符合下列规定：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螺旋缠绕设备安装在管道内时，设备轴线应与原有管道轴线对正；</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可通过调整螺旋缠绕设备获得所需要的内衬管直径；</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缠绕机头的行走与带状型材输送应同步；</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螺旋缠绕作业应平稳，行走速度应均匀，锁扣应嵌合、连接牢固；</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当型材截断后再连接时，应通过自带的钢片插入另一边型材完成。</w:t>
      </w:r>
    </w:p>
    <w:p>
      <w:pPr>
        <w:pStyle w:val="43"/>
        <w:ind w:firstLine="360"/>
        <w:jc w:val="both"/>
        <w:rPr>
          <w:color w:val="auto"/>
        </w:rPr>
      </w:pPr>
      <w:r>
        <w:rPr>
          <w:rFonts w:hint="eastAsia"/>
          <w:b/>
          <w:bCs/>
          <w:color w:val="000000" w:themeColor="text1"/>
          <w14:textFill>
            <w14:solidFill>
              <w14:schemeClr w14:val="tx1"/>
            </w14:solidFill>
          </w14:textFill>
        </w:rPr>
        <w:t>6.5.8</w:t>
      </w:r>
      <w:r>
        <w:rPr>
          <w:rFonts w:hint="eastAsia"/>
          <w:color w:val="000000" w:themeColor="text1"/>
          <w14:textFill>
            <w14:solidFill>
              <w14:schemeClr w14:val="tx1"/>
            </w14:solidFill>
          </w14:textFill>
        </w:rPr>
        <w:t xml:space="preserve"> </w:t>
      </w:r>
      <w:r>
        <w:rPr>
          <w:rFonts w:eastAsia="宋体"/>
          <w:color w:val="auto"/>
        </w:rPr>
        <w:t xml:space="preserve">当管道断面为非圆形时，机头行走式缠绕内衬工艺管道倒角处的曲率半径应符合表 </w:t>
      </w:r>
      <w:r>
        <w:rPr>
          <w:rFonts w:eastAsia="宋体"/>
          <w:color w:val="000000" w:themeColor="text1"/>
          <w14:textFill>
            <w14:solidFill>
              <w14:schemeClr w14:val="tx1"/>
            </w14:solidFill>
          </w14:textFill>
        </w:rPr>
        <w:t>6.5.</w:t>
      </w:r>
      <w:r>
        <w:rPr>
          <w:rFonts w:hint="eastAsia" w:eastAsia="宋体"/>
          <w:color w:val="000000" w:themeColor="text1"/>
          <w14:textFill>
            <w14:solidFill>
              <w14:schemeClr w14:val="tx1"/>
            </w14:solidFill>
          </w14:textFill>
        </w:rPr>
        <w:t>8</w:t>
      </w:r>
      <w:r>
        <w:rPr>
          <w:rFonts w:eastAsia="宋体"/>
          <w:color w:val="auto"/>
        </w:rPr>
        <w:t xml:space="preserve"> 的规定。</w:t>
      </w:r>
    </w:p>
    <w:p>
      <w:pPr>
        <w:pStyle w:val="43"/>
        <w:rPr>
          <w:rFonts w:eastAsia="宋体"/>
          <w:b/>
          <w:bCs/>
          <w:color w:val="auto"/>
        </w:rPr>
      </w:pPr>
      <w:r>
        <w:rPr>
          <w:rFonts w:eastAsia="宋体"/>
          <w:b/>
          <w:bCs/>
          <w:color w:val="auto"/>
        </w:rPr>
        <w:t>表</w:t>
      </w:r>
      <w:r>
        <w:rPr>
          <w:rFonts w:eastAsia="宋体"/>
          <w:b/>
          <w:bCs/>
          <w:color w:val="000000" w:themeColor="text1"/>
          <w14:textFill>
            <w14:solidFill>
              <w14:schemeClr w14:val="tx1"/>
            </w14:solidFill>
          </w14:textFill>
        </w:rPr>
        <w:t>6.5.</w:t>
      </w:r>
      <w:r>
        <w:rPr>
          <w:rFonts w:hint="eastAsia" w:eastAsia="宋体"/>
          <w:b/>
          <w:bCs/>
          <w:color w:val="000000" w:themeColor="text1"/>
          <w14:textFill>
            <w14:solidFill>
              <w14:schemeClr w14:val="tx1"/>
            </w14:solidFill>
          </w14:textFill>
        </w:rPr>
        <w:t>8</w:t>
      </w:r>
      <w:r>
        <w:rPr>
          <w:rFonts w:eastAsia="宋体"/>
          <w:b/>
          <w:bCs/>
          <w:color w:val="auto"/>
        </w:rPr>
        <w:t xml:space="preserve"> 倒角处的曲率半径要求</w:t>
      </w:r>
    </w:p>
    <w:tbl>
      <w:tblPr>
        <w:tblStyle w:val="21"/>
        <w:tblW w:w="8344" w:type="dxa"/>
        <w:tblInd w:w="1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4666"/>
        <w:gridCol w:w="36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6" w:hRule="atLeast"/>
        </w:trPr>
        <w:tc>
          <w:tcPr>
            <w:tcW w:w="4666" w:type="dxa"/>
          </w:tcPr>
          <w:p>
            <w:pPr>
              <w:pStyle w:val="22"/>
              <w:ind w:firstLine="0" w:firstLineChars="0"/>
              <w:jc w:val="center"/>
              <w:rPr>
                <w:rFonts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pacing w:val="-2"/>
                <w:sz w:val="21"/>
                <w:szCs w:val="21"/>
              </w:rPr>
              <w:t>短边边长（</w:t>
            </w:r>
            <w:r>
              <w:rPr>
                <w:rFonts w:ascii="Times New Roman" w:hAnsi="Times New Roman" w:cs="Times New Roman" w:eastAsiaTheme="minorEastAsia"/>
                <w:color w:val="auto"/>
                <w:spacing w:val="-2"/>
                <w:sz w:val="21"/>
                <w:szCs w:val="21"/>
              </w:rPr>
              <w:t>L</w:t>
            </w:r>
            <w:r>
              <w:rPr>
                <w:rFonts w:hint="eastAsia" w:ascii="Times New Roman" w:hAnsi="Times New Roman" w:cs="Times New Roman" w:eastAsiaTheme="minorEastAsia"/>
                <w:color w:val="auto"/>
                <w:spacing w:val="-2"/>
                <w:sz w:val="21"/>
                <w:szCs w:val="21"/>
              </w:rPr>
              <w:t>）</w:t>
            </w:r>
          </w:p>
        </w:tc>
        <w:tc>
          <w:tcPr>
            <w:tcW w:w="3678" w:type="dxa"/>
          </w:tcPr>
          <w:p>
            <w:pPr>
              <w:pStyle w:val="22"/>
              <w:ind w:firstLine="0" w:firstLineChars="0"/>
              <w:jc w:val="center"/>
              <w:rPr>
                <w:rFonts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pacing w:val="-1"/>
                <w:sz w:val="21"/>
                <w:szCs w:val="21"/>
                <w:lang w:eastAsia="zh-CN"/>
              </w:rPr>
              <w:t>倒角处的曲率半径（</w:t>
            </w:r>
            <w:r>
              <w:rPr>
                <w:rFonts w:ascii="Times New Roman" w:hAnsi="Times New Roman" w:cs="Times New Roman" w:eastAsiaTheme="minorEastAsia"/>
                <w:color w:val="auto"/>
                <w:spacing w:val="-1"/>
                <w:sz w:val="21"/>
                <w:szCs w:val="21"/>
                <w:lang w:eastAsia="zh-CN"/>
              </w:rPr>
              <w:t>R</w:t>
            </w:r>
            <w:r>
              <w:rPr>
                <w:rFonts w:hint="eastAsia" w:ascii="Times New Roman" w:hAnsi="Times New Roman" w:cs="Times New Roman" w:eastAsiaTheme="minorEastAsia"/>
                <w:color w:val="auto"/>
                <w:spacing w:val="-1"/>
                <w:sz w:val="21"/>
                <w:szCs w:val="21"/>
                <w:lang w:eastAsia="zh-CN"/>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0" w:hRule="atLeast"/>
        </w:trPr>
        <w:tc>
          <w:tcPr>
            <w:tcW w:w="4666" w:type="dxa"/>
          </w:tcPr>
          <w:p>
            <w:pPr>
              <w:pStyle w:val="22"/>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pacing w:val="-1"/>
                <w:position w:val="1"/>
                <w:sz w:val="21"/>
                <w:szCs w:val="21"/>
              </w:rPr>
              <w:t>800mm&lt;L</w:t>
            </w:r>
            <w:r>
              <w:rPr>
                <w:rFonts w:hint="eastAsia" w:ascii="Times New Roman" w:hAnsi="Times New Roman" w:cs="Times New Roman" w:eastAsiaTheme="minorEastAsia"/>
                <w:color w:val="auto"/>
                <w:spacing w:val="-1"/>
                <w:position w:val="1"/>
                <w:sz w:val="21"/>
                <w:szCs w:val="21"/>
              </w:rPr>
              <w:t>≤</w:t>
            </w:r>
            <w:r>
              <w:rPr>
                <w:rFonts w:ascii="Times New Roman" w:hAnsi="Times New Roman" w:cs="Times New Roman" w:eastAsiaTheme="minorEastAsia"/>
                <w:color w:val="auto"/>
                <w:spacing w:val="-1"/>
                <w:position w:val="1"/>
                <w:sz w:val="21"/>
                <w:szCs w:val="21"/>
              </w:rPr>
              <w:t>1000mm</w:t>
            </w:r>
          </w:p>
        </w:tc>
        <w:tc>
          <w:tcPr>
            <w:tcW w:w="3678" w:type="dxa"/>
          </w:tcPr>
          <w:p>
            <w:pPr>
              <w:pStyle w:val="22"/>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position w:val="1"/>
                <w:sz w:val="21"/>
                <w:szCs w:val="21"/>
              </w:rPr>
              <w:t>R</w:t>
            </w:r>
            <w:r>
              <w:rPr>
                <w:rFonts w:hint="eastAsia" w:ascii="Times New Roman" w:hAnsi="Times New Roman" w:cs="Times New Roman" w:eastAsiaTheme="minorEastAsia"/>
                <w:color w:val="auto"/>
                <w:position w:val="1"/>
                <w:sz w:val="21"/>
                <w:szCs w:val="21"/>
              </w:rPr>
              <w:t>≤</w:t>
            </w:r>
            <w:r>
              <w:rPr>
                <w:rFonts w:ascii="Times New Roman" w:hAnsi="Times New Roman" w:cs="Times New Roman" w:eastAsiaTheme="minorEastAsia"/>
                <w:color w:val="auto"/>
                <w:position w:val="1"/>
                <w:sz w:val="21"/>
                <w:szCs w:val="21"/>
              </w:rPr>
              <w:t>250mm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0" w:hRule="atLeast"/>
        </w:trPr>
        <w:tc>
          <w:tcPr>
            <w:tcW w:w="4666" w:type="dxa"/>
          </w:tcPr>
          <w:p>
            <w:pPr>
              <w:pStyle w:val="22"/>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pacing w:val="-2"/>
                <w:position w:val="1"/>
                <w:sz w:val="21"/>
                <w:szCs w:val="21"/>
              </w:rPr>
              <w:t>1000mm&lt;L</w:t>
            </w:r>
            <w:r>
              <w:rPr>
                <w:rFonts w:hint="eastAsia" w:ascii="Times New Roman" w:hAnsi="Times New Roman" w:cs="Times New Roman" w:eastAsiaTheme="minorEastAsia"/>
                <w:color w:val="auto"/>
                <w:spacing w:val="-2"/>
                <w:position w:val="1"/>
                <w:sz w:val="21"/>
                <w:szCs w:val="21"/>
              </w:rPr>
              <w:t>≤</w:t>
            </w:r>
            <w:r>
              <w:rPr>
                <w:rFonts w:ascii="Times New Roman" w:hAnsi="Times New Roman" w:cs="Times New Roman" w:eastAsiaTheme="minorEastAsia"/>
                <w:color w:val="auto"/>
                <w:spacing w:val="-2"/>
                <w:position w:val="1"/>
                <w:sz w:val="21"/>
                <w:szCs w:val="21"/>
              </w:rPr>
              <w:t>2000mm</w:t>
            </w:r>
          </w:p>
        </w:tc>
        <w:tc>
          <w:tcPr>
            <w:tcW w:w="3678" w:type="dxa"/>
          </w:tcPr>
          <w:p>
            <w:pPr>
              <w:pStyle w:val="22"/>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position w:val="1"/>
                <w:sz w:val="21"/>
                <w:szCs w:val="21"/>
              </w:rPr>
              <w:t>R</w:t>
            </w:r>
            <w:r>
              <w:rPr>
                <w:rFonts w:hint="eastAsia" w:ascii="Times New Roman" w:hAnsi="Times New Roman" w:cs="Times New Roman" w:eastAsiaTheme="minorEastAsia"/>
                <w:color w:val="auto"/>
                <w:position w:val="1"/>
                <w:sz w:val="21"/>
                <w:szCs w:val="21"/>
              </w:rPr>
              <w:t>≤</w:t>
            </w:r>
            <w:r>
              <w:rPr>
                <w:rFonts w:ascii="Times New Roman" w:hAnsi="Times New Roman" w:cs="Times New Roman" w:eastAsiaTheme="minorEastAsia"/>
                <w:color w:val="auto"/>
                <w:position w:val="1"/>
                <w:sz w:val="21"/>
                <w:szCs w:val="21"/>
              </w:rPr>
              <w:t>300mm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0" w:hRule="atLeast"/>
        </w:trPr>
        <w:tc>
          <w:tcPr>
            <w:tcW w:w="4666" w:type="dxa"/>
          </w:tcPr>
          <w:p>
            <w:pPr>
              <w:pStyle w:val="22"/>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pacing w:val="-1"/>
                <w:position w:val="1"/>
                <w:sz w:val="21"/>
                <w:szCs w:val="21"/>
              </w:rPr>
              <w:t>2000mm&lt;L</w:t>
            </w:r>
            <w:r>
              <w:rPr>
                <w:rFonts w:hint="eastAsia" w:ascii="Times New Roman" w:hAnsi="Times New Roman" w:cs="Times New Roman" w:eastAsiaTheme="minorEastAsia"/>
                <w:color w:val="auto"/>
                <w:spacing w:val="-1"/>
                <w:position w:val="1"/>
                <w:sz w:val="21"/>
                <w:szCs w:val="21"/>
              </w:rPr>
              <w:t>≤</w:t>
            </w:r>
            <w:r>
              <w:rPr>
                <w:rFonts w:ascii="Times New Roman" w:hAnsi="Times New Roman" w:cs="Times New Roman" w:eastAsiaTheme="minorEastAsia"/>
                <w:color w:val="auto"/>
                <w:spacing w:val="-1"/>
                <w:position w:val="1"/>
                <w:sz w:val="21"/>
                <w:szCs w:val="21"/>
              </w:rPr>
              <w:t>3000mm</w:t>
            </w:r>
          </w:p>
        </w:tc>
        <w:tc>
          <w:tcPr>
            <w:tcW w:w="3678" w:type="dxa"/>
          </w:tcPr>
          <w:p>
            <w:pPr>
              <w:pStyle w:val="22"/>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position w:val="1"/>
                <w:sz w:val="21"/>
                <w:szCs w:val="21"/>
              </w:rPr>
              <w:t>R</w:t>
            </w:r>
            <w:r>
              <w:rPr>
                <w:rFonts w:hint="eastAsia" w:ascii="Times New Roman" w:hAnsi="Times New Roman" w:cs="Times New Roman" w:eastAsiaTheme="minorEastAsia"/>
                <w:color w:val="auto"/>
                <w:position w:val="1"/>
                <w:sz w:val="21"/>
                <w:szCs w:val="21"/>
              </w:rPr>
              <w:t>≤</w:t>
            </w:r>
            <w:r>
              <w:rPr>
                <w:rFonts w:ascii="Times New Roman" w:hAnsi="Times New Roman" w:cs="Times New Roman" w:eastAsiaTheme="minorEastAsia"/>
                <w:color w:val="auto"/>
                <w:position w:val="1"/>
                <w:sz w:val="21"/>
                <w:szCs w:val="21"/>
              </w:rPr>
              <w:t>400mm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trPr>
        <w:tc>
          <w:tcPr>
            <w:tcW w:w="4666" w:type="dxa"/>
          </w:tcPr>
          <w:p>
            <w:pPr>
              <w:pStyle w:val="22"/>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pacing w:val="-1"/>
                <w:position w:val="1"/>
                <w:sz w:val="21"/>
                <w:szCs w:val="21"/>
              </w:rPr>
              <w:t>3000mm&lt;L</w:t>
            </w:r>
            <w:r>
              <w:rPr>
                <w:rFonts w:hint="eastAsia" w:ascii="Times New Roman" w:hAnsi="Times New Roman" w:cs="Times New Roman" w:eastAsiaTheme="minorEastAsia"/>
                <w:color w:val="auto"/>
                <w:spacing w:val="-1"/>
                <w:position w:val="1"/>
                <w:sz w:val="21"/>
                <w:szCs w:val="21"/>
              </w:rPr>
              <w:t>≤</w:t>
            </w:r>
            <w:r>
              <w:rPr>
                <w:rFonts w:ascii="Times New Roman" w:hAnsi="Times New Roman" w:cs="Times New Roman" w:eastAsiaTheme="minorEastAsia"/>
                <w:color w:val="auto"/>
                <w:spacing w:val="-1"/>
                <w:position w:val="1"/>
                <w:sz w:val="21"/>
                <w:szCs w:val="21"/>
              </w:rPr>
              <w:t>5000mm</w:t>
            </w:r>
          </w:p>
        </w:tc>
        <w:tc>
          <w:tcPr>
            <w:tcW w:w="3678" w:type="dxa"/>
          </w:tcPr>
          <w:p>
            <w:pPr>
              <w:pStyle w:val="22"/>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position w:val="1"/>
                <w:sz w:val="21"/>
                <w:szCs w:val="21"/>
              </w:rPr>
              <w:t>R</w:t>
            </w:r>
            <w:r>
              <w:rPr>
                <w:rFonts w:hint="eastAsia" w:ascii="Times New Roman" w:hAnsi="Times New Roman" w:cs="Times New Roman" w:eastAsiaTheme="minorEastAsia"/>
                <w:color w:val="auto"/>
                <w:position w:val="1"/>
                <w:sz w:val="21"/>
                <w:szCs w:val="21"/>
              </w:rPr>
              <w:t>≤</w:t>
            </w:r>
            <w:r>
              <w:rPr>
                <w:rFonts w:ascii="Times New Roman" w:hAnsi="Times New Roman" w:cs="Times New Roman" w:eastAsiaTheme="minorEastAsia"/>
                <w:color w:val="auto"/>
                <w:position w:val="1"/>
                <w:sz w:val="21"/>
                <w:szCs w:val="21"/>
              </w:rPr>
              <w:t>700mm</w:t>
            </w:r>
          </w:p>
        </w:tc>
      </w:tr>
    </w:tbl>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6.5.</w:t>
      </w:r>
      <w:r>
        <w:rPr>
          <w:rFonts w:hint="eastAsia" w:cs="Times New Roman"/>
          <w:b/>
          <w:bCs/>
          <w:color w:val="000000" w:themeColor="text1"/>
          <w:sz w:val="21"/>
          <w:lang w:eastAsia="zh-CN"/>
          <w14:textFill>
            <w14:solidFill>
              <w14:schemeClr w14:val="tx1"/>
            </w14:solidFill>
          </w14:textFill>
        </w:rPr>
        <w:t>9</w:t>
      </w:r>
      <w:r>
        <w:rPr>
          <w:rFonts w:cs="Times New Roman"/>
          <w:color w:val="000000" w:themeColor="text1"/>
          <w:sz w:val="21"/>
          <w:lang w:eastAsia="zh-CN"/>
          <w14:textFill>
            <w14:solidFill>
              <w14:schemeClr w14:val="tx1"/>
            </w14:solidFill>
          </w14:textFill>
        </w:rPr>
        <w:t xml:space="preserve"> </w:t>
      </w:r>
      <w:r>
        <w:rPr>
          <w:rFonts w:hint="eastAsia" w:cs="Times New Roman"/>
          <w:color w:val="auto"/>
          <w:sz w:val="21"/>
          <w:lang w:eastAsia="zh-CN"/>
        </w:rPr>
        <w:t>当原有管道内部存在内衬管道、弯曲、错台等导致缠绕管无法到达接收检查井时，应在原有管道中间进行对接，对接时两段管道的距离不应超过200 mm，对接处表面应进行防腐处理。</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6.5.1</w:t>
      </w:r>
      <w:r>
        <w:rPr>
          <w:rFonts w:hint="eastAsia" w:cs="Times New Roman"/>
          <w:b/>
          <w:bCs/>
          <w:color w:val="000000" w:themeColor="text1"/>
          <w:sz w:val="21"/>
          <w:lang w:eastAsia="zh-CN"/>
          <w14:textFill>
            <w14:solidFill>
              <w14:schemeClr w14:val="tx1"/>
            </w14:solidFill>
          </w14:textFill>
        </w:rPr>
        <w:t>0</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环形间隙灌浆前宜采取防止内衬管上浮的支护或固定措施。</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6.5.1</w:t>
      </w:r>
      <w:r>
        <w:rPr>
          <w:rFonts w:hint="eastAsia" w:cs="Times New Roman"/>
          <w:b/>
          <w:bCs/>
          <w:color w:val="000000" w:themeColor="text1"/>
          <w:sz w:val="21"/>
          <w:lang w:eastAsia="zh-CN"/>
          <w14:textFill>
            <w14:solidFill>
              <w14:schemeClr w14:val="tx1"/>
            </w14:solidFill>
          </w14:textFill>
        </w:rPr>
        <w:t xml:space="preserve">1 </w:t>
      </w:r>
      <w:r>
        <w:rPr>
          <w:rFonts w:hint="eastAsia" w:cs="Times New Roman"/>
          <w:color w:val="000000" w:themeColor="text1"/>
          <w:sz w:val="21"/>
          <w:lang w:eastAsia="zh-CN"/>
          <w14:textFill>
            <w14:solidFill>
              <w14:schemeClr w14:val="tx1"/>
            </w14:solidFill>
          </w14:textFill>
        </w:rPr>
        <w:t>内衬管</w:t>
      </w:r>
      <w:bookmarkStart w:id="167" w:name="OLE_LINK29"/>
      <w:r>
        <w:rPr>
          <w:rFonts w:hint="eastAsia" w:cs="Times New Roman"/>
          <w:color w:val="000000" w:themeColor="text1"/>
          <w:sz w:val="21"/>
          <w:lang w:eastAsia="zh-CN"/>
          <w14:textFill>
            <w14:solidFill>
              <w14:schemeClr w14:val="tx1"/>
            </w14:solidFill>
          </w14:textFill>
        </w:rPr>
        <w:t>直径</w:t>
      </w:r>
      <w:bookmarkEnd w:id="167"/>
      <w:r>
        <w:rPr>
          <w:rFonts w:hint="eastAsia" w:cs="Times New Roman"/>
          <w:color w:val="000000" w:themeColor="text1"/>
          <w:sz w:val="21"/>
          <w:lang w:eastAsia="zh-CN"/>
          <w14:textFill>
            <w14:solidFill>
              <w14:schemeClr w14:val="tx1"/>
            </w14:solidFill>
          </w14:textFill>
        </w:rPr>
        <w:t>小于</w:t>
      </w:r>
      <w:r>
        <w:rPr>
          <w:rFonts w:cs="Times New Roman"/>
          <w:color w:val="000000" w:themeColor="text1"/>
          <w:sz w:val="21"/>
          <w:lang w:eastAsia="zh-CN"/>
          <w14:textFill>
            <w14:solidFill>
              <w14:schemeClr w14:val="tx1"/>
            </w14:solidFill>
          </w14:textFill>
        </w:rPr>
        <w:t>800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w:t>
      </w:r>
      <w:r>
        <w:rPr>
          <w:rFonts w:hint="eastAsia" w:cs="Times New Roman"/>
          <w:color w:val="000000" w:themeColor="text1"/>
          <w:sz w:val="21"/>
          <w:lang w:eastAsia="zh-CN"/>
          <w14:textFill>
            <w14:solidFill>
              <w14:schemeClr w14:val="tx1"/>
            </w14:solidFill>
          </w14:textFill>
        </w:rPr>
        <w:t>时，宜采取充水、放置金属链等重物的防浮措施。</w:t>
      </w:r>
    </w:p>
    <w:p>
      <w:pPr>
        <w:ind w:firstLine="420" w:firstLineChars="0"/>
        <w:rPr>
          <w:rFonts w:cs="Times New Roman"/>
          <w:color w:val="000000" w:themeColor="text1"/>
          <w:sz w:val="21"/>
          <w:lang w:eastAsia="zh-CN"/>
          <w14:textFill>
            <w14:solidFill>
              <w14:schemeClr w14:val="tx1"/>
            </w14:solidFill>
          </w14:textFill>
        </w:rPr>
      </w:pPr>
      <w:bookmarkStart w:id="168" w:name="OLE_LINK75"/>
      <w:r>
        <w:rPr>
          <w:rFonts w:cs="Times New Roman"/>
          <w:b/>
          <w:bCs/>
          <w:color w:val="000000" w:themeColor="text1"/>
          <w:sz w:val="21"/>
          <w:lang w:eastAsia="zh-CN"/>
          <w14:textFill>
            <w14:solidFill>
              <w14:schemeClr w14:val="tx1"/>
            </w14:solidFill>
          </w14:textFill>
        </w:rPr>
        <w:t>6.5.1</w:t>
      </w:r>
      <w:bookmarkEnd w:id="168"/>
      <w:r>
        <w:rPr>
          <w:rFonts w:hint="eastAsia"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 xml:space="preserve"> 内衬管直径等于或大于</w:t>
      </w:r>
      <w:r>
        <w:rPr>
          <w:rFonts w:cs="Times New Roman"/>
          <w:color w:val="000000" w:themeColor="text1"/>
          <w:sz w:val="21"/>
          <w:lang w:eastAsia="zh-CN"/>
          <w14:textFill>
            <w14:solidFill>
              <w14:schemeClr w14:val="tx1"/>
            </w14:solidFill>
          </w14:textFill>
        </w:rPr>
        <w:t>80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w:t>
      </w:r>
      <w:r>
        <w:rPr>
          <w:rFonts w:hint="eastAsia" w:cs="Times New Roman"/>
          <w:color w:val="000000" w:themeColor="text1"/>
          <w:sz w:val="21"/>
          <w:lang w:eastAsia="zh-CN"/>
          <w14:textFill>
            <w14:solidFill>
              <w14:schemeClr w14:val="tx1"/>
            </w14:solidFill>
          </w14:textFill>
        </w:rPr>
        <w:t>时，宜在内衬管内部安装支架作为支撑，防止灌浆压力引起内衬管上浮和屈曲。若内衬管内部没有支撑时，最大注浆压力应满足式（</w:t>
      </w:r>
      <w:r>
        <w:rPr>
          <w:rFonts w:cs="Times New Roman"/>
          <w:color w:val="000000" w:themeColor="text1"/>
          <w:sz w:val="21"/>
          <w:lang w:eastAsia="zh-CN"/>
          <w14:textFill>
            <w14:solidFill>
              <w14:schemeClr w14:val="tx1"/>
            </w14:solidFill>
          </w14:textFill>
        </w:rPr>
        <w:t>6.5.1</w:t>
      </w:r>
      <w:r>
        <w:rPr>
          <w:rFonts w:hint="eastAsia" w:cs="Times New Roman"/>
          <w:color w:val="000000" w:themeColor="text1"/>
          <w:sz w:val="21"/>
          <w:lang w:eastAsia="zh-CN"/>
          <w14:textFill>
            <w14:solidFill>
              <w14:schemeClr w14:val="tx1"/>
            </w14:solidFill>
          </w14:textFill>
        </w:rPr>
        <w:t>2）的要求：</w:t>
      </w:r>
    </w:p>
    <w:tbl>
      <w:tblPr>
        <w:tblStyle w:val="17"/>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71"/>
        <w:gridCol w:w="1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71" w:type="dxa"/>
            <w:vAlign w:val="center"/>
          </w:tcPr>
          <w:p>
            <w:pPr>
              <w:ind w:firstLine="420" w:firstLineChars="0"/>
              <w:rPr>
                <w:rFonts w:cs="Times New Roman"/>
                <w:color w:val="000000" w:themeColor="text1"/>
                <w:sz w:val="21"/>
                <w:lang w:eastAsia="zh-CN"/>
                <w14:textFill>
                  <w14:solidFill>
                    <w14:schemeClr w14:val="tx1"/>
                  </w14:solidFill>
                </w14:textFill>
              </w:rPr>
            </w:pPr>
            <m:oMathPara>
              <m:oMath>
                <m:sSub>
                  <m:sSubPr>
                    <m:ctrlPr>
                      <w:rPr>
                        <w:rFonts w:ascii="Cambria Math" w:hAnsi="Cambria Math" w:cs="Times New Roman"/>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P</m:t>
                    </m:r>
                    <m:ctrlPr>
                      <w:rPr>
                        <w:rFonts w:ascii="Cambria Math" w:hAnsi="Cambria Math" w:cs="Times New Roman"/>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zj</m:t>
                    </m:r>
                    <m:ctrlPr>
                      <w:rPr>
                        <w:rFonts w:ascii="Cambria Math" w:hAnsi="Cambria Math" w:cs="Times New Roman"/>
                        <w:color w:val="000000" w:themeColor="text1"/>
                        <w:sz w:val="21"/>
                        <w:lang w:eastAsia="zh-CN"/>
                        <w14:textFill>
                          <w14:solidFill>
                            <w14:schemeClr w14:val="tx1"/>
                          </w14:solidFill>
                        </w14:textFill>
                      </w:rPr>
                    </m:ctrlPr>
                  </m:sub>
                </m:sSub>
                <m:r>
                  <m:rPr>
                    <m:sty m:val="p"/>
                  </m:rPr>
                  <w:rPr>
                    <w:rFonts w:hint="eastAsia" w:ascii="Cambria Math" w:hAnsi="Cambria Math" w:cs="Times New Roman"/>
                    <w:color w:val="000000" w:themeColor="text1"/>
                    <w:sz w:val="21"/>
                    <w:lang w:eastAsia="zh-CN"/>
                    <w14:textFill>
                      <w14:solidFill>
                        <w14:schemeClr w14:val="tx1"/>
                      </w14:solidFill>
                    </w14:textFill>
                  </w:rPr>
                  <m:t>≤</m:t>
                </m:r>
                <m:f>
                  <m:fPr>
                    <m:ctrlPr>
                      <w:rPr>
                        <w:rFonts w:ascii="Cambria Math" w:hAnsi="Cambria Math" w:cs="Times New Roman"/>
                        <w:color w:val="000000" w:themeColor="text1"/>
                        <w:sz w:val="21"/>
                        <w:lang w:eastAsia="zh-CN"/>
                        <w14:textFill>
                          <w14:solidFill>
                            <w14:schemeClr w14:val="tx1"/>
                          </w14:solidFill>
                        </w14:textFill>
                      </w:rPr>
                    </m:ctrlPr>
                  </m:fPr>
                  <m:num>
                    <m:r>
                      <m:rPr>
                        <m:sty m:val="p"/>
                      </m:rPr>
                      <w:rPr>
                        <w:rFonts w:ascii="Cambria Math" w:hAnsi="Cambria Math" w:cs="Times New Roman"/>
                        <w:color w:val="000000" w:themeColor="text1"/>
                        <w:sz w:val="21"/>
                        <w:lang w:eastAsia="zh-CN"/>
                        <w14:textFill>
                          <w14:solidFill>
                            <w14:schemeClr w14:val="tx1"/>
                          </w14:solidFill>
                        </w14:textFill>
                      </w:rPr>
                      <m:t>24</m:t>
                    </m:r>
                    <m:r>
                      <m:rPr/>
                      <w:rPr>
                        <w:rFonts w:ascii="Cambria Math" w:hAnsi="Cambria Math" w:cs="Times New Roman"/>
                        <w:color w:val="000000" w:themeColor="text1"/>
                        <w:sz w:val="21"/>
                        <w:lang w:eastAsia="zh-CN"/>
                        <w14:textFill>
                          <w14:solidFill>
                            <w14:schemeClr w14:val="tx1"/>
                          </w14:solidFill>
                        </w14:textFill>
                      </w:rPr>
                      <m:t>EI</m:t>
                    </m:r>
                    <m:ctrlPr>
                      <w:rPr>
                        <w:rFonts w:ascii="Cambria Math" w:hAnsi="Cambria Math" w:cs="Times New Roman"/>
                        <w:color w:val="000000" w:themeColor="text1"/>
                        <w:sz w:val="21"/>
                        <w:lang w:eastAsia="zh-CN"/>
                        <w14:textFill>
                          <w14:solidFill>
                            <w14:schemeClr w14:val="tx1"/>
                          </w14:solidFill>
                        </w14:textFill>
                      </w:rPr>
                    </m:ctrlPr>
                  </m:num>
                  <m:den>
                    <m:d>
                      <m:dPr>
                        <m:ctrlPr>
                          <w:rPr>
                            <w:rFonts w:ascii="Cambria Math" w:hAnsi="Cambria Math" w:cs="Times New Roman"/>
                            <w:color w:val="000000" w:themeColor="text1"/>
                            <w:sz w:val="21"/>
                            <w:lang w:eastAsia="zh-CN"/>
                            <w14:textFill>
                              <w14:solidFill>
                                <w14:schemeClr w14:val="tx1"/>
                              </w14:solidFill>
                            </w14:textFill>
                          </w:rPr>
                        </m:ctrlPr>
                      </m:dPr>
                      <m:e>
                        <m:r>
                          <m:rPr>
                            <m:sty m:val="p"/>
                          </m:rPr>
                          <w:rPr>
                            <w:rFonts w:ascii="Cambria Math" w:hAnsi="Cambria Math" w:cs="Times New Roman"/>
                            <w:color w:val="000000" w:themeColor="text1"/>
                            <w:sz w:val="21"/>
                            <w:lang w:eastAsia="zh-CN"/>
                            <w14:textFill>
                              <w14:solidFill>
                                <w14:schemeClr w14:val="tx1"/>
                              </w14:solidFill>
                            </w14:textFill>
                          </w:rPr>
                          <m:t>1−</m:t>
                        </m:r>
                        <m:sSup>
                          <m:sSupPr>
                            <m:ctrlPr>
                              <w:rPr>
                                <w:rFonts w:ascii="Cambria Math" w:hAnsi="Cambria Math" w:cs="Times New Roman"/>
                                <w:color w:val="000000" w:themeColor="text1"/>
                                <w:sz w:val="21"/>
                                <w:lang w:eastAsia="zh-CN"/>
                                <w14:textFill>
                                  <w14:solidFill>
                                    <w14:schemeClr w14:val="tx1"/>
                                  </w14:solidFill>
                                </w14:textFill>
                              </w:rPr>
                            </m:ctrlPr>
                          </m:sSupPr>
                          <m:e>
                            <m:r>
                              <m:rPr/>
                              <w:rPr>
                                <w:rFonts w:ascii="Cambria Math" w:hAnsi="Cambria Math" w:cs="Times New Roman"/>
                                <w:color w:val="000000" w:themeColor="text1"/>
                                <w:sz w:val="21"/>
                                <w:lang w:eastAsia="zh-CN"/>
                                <w14:textFill>
                                  <w14:solidFill>
                                    <w14:schemeClr w14:val="tx1"/>
                                  </w14:solidFill>
                                </w14:textFill>
                              </w:rPr>
                              <m:t>μ</m:t>
                            </m:r>
                            <m:ctrlPr>
                              <w:rPr>
                                <w:rFonts w:ascii="Cambria Math" w:hAnsi="Cambria Math" w:cs="Times New Roman"/>
                                <w:color w:val="000000" w:themeColor="text1"/>
                                <w:sz w:val="21"/>
                                <w:lang w:eastAsia="zh-CN"/>
                                <w14:textFill>
                                  <w14:solidFill>
                                    <w14:schemeClr w14:val="tx1"/>
                                  </w14:solidFill>
                                </w14:textFill>
                              </w:rPr>
                            </m:ctrlPr>
                          </m:e>
                          <m:sup>
                            <m:r>
                              <m:rPr>
                                <m:sty m:val="p"/>
                              </m:rPr>
                              <w:rPr>
                                <w:rFonts w:ascii="Cambria Math" w:hAnsi="Cambria Math" w:cs="Times New Roman"/>
                                <w:color w:val="000000" w:themeColor="text1"/>
                                <w:sz w:val="21"/>
                                <w:lang w:eastAsia="zh-CN"/>
                                <w14:textFill>
                                  <w14:solidFill>
                                    <w14:schemeClr w14:val="tx1"/>
                                  </w14:solidFill>
                                </w14:textFill>
                              </w:rPr>
                              <m:t>2</m:t>
                            </m:r>
                            <m:ctrlPr>
                              <w:rPr>
                                <w:rFonts w:ascii="Cambria Math" w:hAnsi="Cambria Math" w:cs="Times New Roman"/>
                                <w:color w:val="000000" w:themeColor="text1"/>
                                <w:sz w:val="21"/>
                                <w:lang w:eastAsia="zh-CN"/>
                                <w14:textFill>
                                  <w14:solidFill>
                                    <w14:schemeClr w14:val="tx1"/>
                                  </w14:solidFill>
                                </w14:textFill>
                              </w:rPr>
                            </m:ctrlPr>
                          </m:sup>
                        </m:sSup>
                        <m:ctrlPr>
                          <w:rPr>
                            <w:rFonts w:ascii="Cambria Math" w:hAnsi="Cambria Math" w:cs="Times New Roman"/>
                            <w:color w:val="000000" w:themeColor="text1"/>
                            <w:sz w:val="21"/>
                            <w:lang w:eastAsia="zh-CN"/>
                            <w14:textFill>
                              <w14:solidFill>
                                <w14:schemeClr w14:val="tx1"/>
                              </w14:solidFill>
                            </w14:textFill>
                          </w:rPr>
                        </m:ctrlPr>
                      </m:e>
                    </m:d>
                    <m:sSup>
                      <m:sSupPr>
                        <m:ctrlPr>
                          <w:rPr>
                            <w:rFonts w:ascii="Cambria Math" w:hAnsi="Cambria Math" w:cs="Times New Roman"/>
                            <w:color w:val="000000" w:themeColor="text1"/>
                            <w:sz w:val="21"/>
                            <w:lang w:eastAsia="zh-CN"/>
                            <w14:textFill>
                              <w14:solidFill>
                                <w14:schemeClr w14:val="tx1"/>
                              </w14:solidFill>
                            </w14:textFill>
                          </w:rPr>
                        </m:ctrlPr>
                      </m:sSupPr>
                      <m:e>
                        <m:r>
                          <m:rPr/>
                          <w:rPr>
                            <w:rFonts w:ascii="Cambria Math" w:hAnsi="Cambria Math" w:cs="Times New Roman"/>
                            <w:color w:val="000000" w:themeColor="text1"/>
                            <w:sz w:val="21"/>
                            <w:lang w:eastAsia="zh-CN"/>
                            <w14:textFill>
                              <w14:solidFill>
                                <w14:schemeClr w14:val="tx1"/>
                              </w14:solidFill>
                            </w14:textFill>
                          </w:rPr>
                          <m:t>D</m:t>
                        </m:r>
                        <m:ctrlPr>
                          <w:rPr>
                            <w:rFonts w:ascii="Cambria Math" w:hAnsi="Cambria Math" w:cs="Times New Roman"/>
                            <w:color w:val="000000" w:themeColor="text1"/>
                            <w:sz w:val="21"/>
                            <w:lang w:eastAsia="zh-CN"/>
                            <w14:textFill>
                              <w14:solidFill>
                                <w14:schemeClr w14:val="tx1"/>
                              </w14:solidFill>
                            </w14:textFill>
                          </w:rPr>
                        </m:ctrlPr>
                      </m:e>
                      <m:sup>
                        <m:r>
                          <m:rPr>
                            <m:sty m:val="p"/>
                          </m:rPr>
                          <w:rPr>
                            <w:rFonts w:ascii="Cambria Math" w:hAnsi="Cambria Math" w:cs="Times New Roman"/>
                            <w:color w:val="000000" w:themeColor="text1"/>
                            <w:sz w:val="21"/>
                            <w:lang w:eastAsia="zh-CN"/>
                            <w14:textFill>
                              <w14:solidFill>
                                <w14:schemeClr w14:val="tx1"/>
                              </w14:solidFill>
                            </w14:textFill>
                          </w:rPr>
                          <m:t>3</m:t>
                        </m:r>
                        <m:ctrlPr>
                          <w:rPr>
                            <w:rFonts w:ascii="Cambria Math" w:hAnsi="Cambria Math" w:cs="Times New Roman"/>
                            <w:color w:val="000000" w:themeColor="text1"/>
                            <w:sz w:val="21"/>
                            <w:lang w:eastAsia="zh-CN"/>
                            <w14:textFill>
                              <w14:solidFill>
                                <w14:schemeClr w14:val="tx1"/>
                              </w14:solidFill>
                            </w14:textFill>
                          </w:rPr>
                        </m:ctrlPr>
                      </m:sup>
                    </m:sSup>
                    <m:ctrlPr>
                      <w:rPr>
                        <w:rFonts w:ascii="Cambria Math" w:hAnsi="Cambria Math" w:cs="Times New Roman"/>
                        <w:color w:val="000000" w:themeColor="text1"/>
                        <w:sz w:val="21"/>
                        <w:lang w:eastAsia="zh-CN"/>
                        <w14:textFill>
                          <w14:solidFill>
                            <w14:schemeClr w14:val="tx1"/>
                          </w14:solidFill>
                        </w14:textFill>
                      </w:rPr>
                    </m:ctrlPr>
                  </m:den>
                </m:f>
                <m:f>
                  <m:fPr>
                    <m:ctrlPr>
                      <w:rPr>
                        <w:rFonts w:ascii="Cambria Math" w:hAnsi="Cambria Math" w:cs="Times New Roman"/>
                        <w:color w:val="000000" w:themeColor="text1"/>
                        <w:sz w:val="21"/>
                        <w:lang w:eastAsia="zh-CN"/>
                        <w14:textFill>
                          <w14:solidFill>
                            <w14:schemeClr w14:val="tx1"/>
                          </w14:solidFill>
                        </w14:textFill>
                      </w:rPr>
                    </m:ctrlPr>
                  </m:fPr>
                  <m:num>
                    <m:r>
                      <m:rPr/>
                      <w:rPr>
                        <w:rFonts w:ascii="Cambria Math" w:hAnsi="Cambria Math" w:cs="Times New Roman"/>
                        <w:color w:val="000000" w:themeColor="text1"/>
                        <w:sz w:val="21"/>
                        <w:lang w:eastAsia="zh-CN"/>
                        <w14:textFill>
                          <w14:solidFill>
                            <w14:schemeClr w14:val="tx1"/>
                          </w14:solidFill>
                        </w14:textFill>
                      </w:rPr>
                      <m:t>C</m:t>
                    </m:r>
                    <m:ctrlPr>
                      <w:rPr>
                        <w:rFonts w:ascii="Cambria Math" w:hAnsi="Cambria Math" w:cs="Times New Roman"/>
                        <w:color w:val="000000" w:themeColor="text1"/>
                        <w:sz w:val="21"/>
                        <w:lang w:eastAsia="zh-CN"/>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N</m:t>
                    </m:r>
                    <m:ctrlPr>
                      <w:rPr>
                        <w:rFonts w:ascii="Cambria Math" w:hAnsi="Cambria Math" w:cs="Times New Roman"/>
                        <w:color w:val="000000" w:themeColor="text1"/>
                        <w:sz w:val="21"/>
                        <w:lang w:eastAsia="zh-CN"/>
                        <w14:textFill>
                          <w14:solidFill>
                            <w14:schemeClr w14:val="tx1"/>
                          </w14:solidFill>
                        </w14:textFill>
                      </w:rPr>
                    </m:ctrlPr>
                  </m:den>
                </m:f>
              </m:oMath>
            </m:oMathPara>
          </w:p>
        </w:tc>
        <w:tc>
          <w:tcPr>
            <w:tcW w:w="1728" w:type="dxa"/>
            <w:vAlign w:val="center"/>
          </w:tcPr>
          <w:p>
            <w:pPr>
              <w:ind w:firstLine="42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w:t>
            </w:r>
            <w:r>
              <w:rPr>
                <w:rFonts w:cs="Times New Roman"/>
                <w:b/>
                <w:bCs/>
                <w:color w:val="000000" w:themeColor="text1"/>
                <w:sz w:val="21"/>
                <w:lang w:eastAsia="zh-CN"/>
                <w14:textFill>
                  <w14:solidFill>
                    <w14:schemeClr w14:val="tx1"/>
                  </w14:solidFill>
                </w14:textFill>
              </w:rPr>
              <w:t>6.5.1</w:t>
            </w:r>
            <w:r>
              <w:rPr>
                <w:rFonts w:hint="eastAsia"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w:t>
            </w:r>
          </w:p>
        </w:tc>
      </w:tr>
    </w:tbl>
    <w:p>
      <w:pPr>
        <w:ind w:firstLine="42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式中：</w:t>
      </w:r>
      <w:r>
        <w:rPr>
          <w:rFonts w:cs="Times New Roman"/>
          <w:color w:val="000000" w:themeColor="text1"/>
          <w:sz w:val="21"/>
          <w:lang w:eastAsia="zh-CN"/>
          <w14:textFill>
            <w14:solidFill>
              <w14:schemeClr w14:val="tx1"/>
            </w14:solidFill>
          </w14:textFill>
        </w:rPr>
        <w:t>P</w:t>
      </w:r>
      <w:r>
        <w:rPr>
          <w:rFonts w:cs="Times New Roman"/>
          <w:color w:val="000000" w:themeColor="text1"/>
          <w:sz w:val="21"/>
          <w:vertAlign w:val="subscript"/>
          <w:lang w:eastAsia="zh-CN"/>
          <w14:textFill>
            <w14:solidFill>
              <w14:schemeClr w14:val="tx1"/>
            </w14:solidFill>
          </w14:textFill>
        </w:rPr>
        <w:t>zj</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设计注浆压力，</w:t>
      </w:r>
      <w:r>
        <w:rPr>
          <w:rFonts w:cs="Times New Roman"/>
          <w:color w:val="000000" w:themeColor="text1"/>
          <w:sz w:val="21"/>
          <w:lang w:eastAsia="zh-CN"/>
          <w14:textFill>
            <w14:solidFill>
              <w14:schemeClr w14:val="tx1"/>
            </w14:solidFill>
          </w14:textFill>
        </w:rPr>
        <w:t>MPa</w:t>
      </w:r>
      <w:r>
        <w:rPr>
          <w:rFonts w:hint="eastAsia" w:cs="Times New Roman"/>
          <w:color w:val="000000" w:themeColor="text1"/>
          <w:sz w:val="21"/>
          <w:lang w:eastAsia="zh-CN"/>
          <w14:textFill>
            <w14:solidFill>
              <w14:schemeClr w14:val="tx1"/>
            </w14:solidFill>
          </w14:textFill>
        </w:rPr>
        <w:t>；</w:t>
      </w:r>
    </w:p>
    <w:p>
      <w:pPr>
        <w:ind w:left="42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EI −</w:t>
      </w:r>
      <w:r>
        <w:rPr>
          <w:rFonts w:hint="eastAsia" w:cs="Times New Roman"/>
          <w:color w:val="000000" w:themeColor="text1"/>
          <w:sz w:val="21"/>
          <w:lang w:eastAsia="zh-CN"/>
          <w14:textFill>
            <w14:solidFill>
              <w14:schemeClr w14:val="tx1"/>
            </w14:solidFill>
          </w14:textFill>
        </w:rPr>
        <w:t>内衬管的刚度系数，</w:t>
      </w:r>
      <w:r>
        <w:rPr>
          <w:rFonts w:cs="Times New Roman"/>
          <w:color w:val="000000" w:themeColor="text1"/>
          <w:sz w:val="21"/>
          <w:lang w:eastAsia="zh-CN"/>
          <w14:textFill>
            <w14:solidFill>
              <w14:schemeClr w14:val="tx1"/>
            </w14:solidFill>
          </w14:textFill>
        </w:rPr>
        <w:t>MPa∙mm</w:t>
      </w:r>
      <w:r>
        <w:rPr>
          <w:rFonts w:cs="Times New Roman"/>
          <w:color w:val="000000" w:themeColor="text1"/>
          <w:sz w:val="21"/>
          <w:vertAlign w:val="superscript"/>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 xml:space="preserve"> </w:t>
      </w:r>
    </w:p>
    <w:p>
      <w:pPr>
        <w:ind w:left="42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E −</w:t>
      </w:r>
      <w:r>
        <w:rPr>
          <w:rFonts w:hint="eastAsia" w:cs="Times New Roman"/>
          <w:color w:val="000000" w:themeColor="text1"/>
          <w:sz w:val="21"/>
          <w:lang w:eastAsia="zh-CN"/>
          <w14:textFill>
            <w14:solidFill>
              <w14:schemeClr w14:val="tx1"/>
            </w14:solidFill>
          </w14:textFill>
        </w:rPr>
        <w:t>内衬管的初始弹性模量，</w:t>
      </w:r>
      <w:r>
        <w:rPr>
          <w:rFonts w:cs="Times New Roman"/>
          <w:color w:val="000000" w:themeColor="text1"/>
          <w:sz w:val="21"/>
          <w:lang w:eastAsia="zh-CN"/>
          <w14:textFill>
            <w14:solidFill>
              <w14:schemeClr w14:val="tx1"/>
            </w14:solidFill>
          </w14:textFill>
        </w:rPr>
        <w:t>MPa</w:t>
      </w:r>
      <w:r>
        <w:rPr>
          <w:rFonts w:hint="eastAsia" w:cs="Times New Roman"/>
          <w:color w:val="000000" w:themeColor="text1"/>
          <w:sz w:val="21"/>
          <w:lang w:eastAsia="zh-CN"/>
          <w14:textFill>
            <w14:solidFill>
              <w14:schemeClr w14:val="tx1"/>
            </w14:solidFill>
          </w14:textFill>
        </w:rPr>
        <w:t>；</w:t>
      </w:r>
    </w:p>
    <w:p>
      <w:pPr>
        <w:ind w:left="42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I −</w:t>
      </w:r>
      <w:r>
        <w:rPr>
          <w:rFonts w:hint="eastAsia" w:cs="Times New Roman"/>
          <w:color w:val="000000" w:themeColor="text1"/>
          <w:sz w:val="21"/>
          <w:lang w:eastAsia="zh-CN"/>
          <w14:textFill>
            <w14:solidFill>
              <w14:schemeClr w14:val="tx1"/>
            </w14:solidFill>
          </w14:textFill>
        </w:rPr>
        <w:t>内衬管的惯性矩，</w:t>
      </w:r>
      <w:r>
        <w:rPr>
          <w:rFonts w:cs="Times New Roman"/>
          <w:color w:val="000000" w:themeColor="text1"/>
          <w:sz w:val="21"/>
          <w:lang w:eastAsia="zh-CN"/>
          <w14:textFill>
            <w14:solidFill>
              <w14:schemeClr w14:val="tx1"/>
            </w14:solidFill>
          </w14:textFill>
        </w:rPr>
        <w:t>mm</w:t>
      </w:r>
      <w:r>
        <w:rPr>
          <w:rFonts w:cs="Times New Roman"/>
          <w:color w:val="000000" w:themeColor="text1"/>
          <w:sz w:val="21"/>
          <w:vertAlign w:val="superscript"/>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/mm</w:t>
      </w:r>
      <w:r>
        <w:rPr>
          <w:rFonts w:hint="eastAsia" w:cs="Times New Roman"/>
          <w:color w:val="000000" w:themeColor="text1"/>
          <w:sz w:val="21"/>
          <w:lang w:eastAsia="zh-CN"/>
          <w14:textFill>
            <w14:solidFill>
              <w14:schemeClr w14:val="tx1"/>
            </w14:solidFill>
          </w14:textFill>
        </w:rPr>
        <w:t>；</w:t>
      </w:r>
    </w:p>
    <w:p>
      <w:pPr>
        <w:ind w:left="63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N −</w:t>
      </w:r>
      <w:r>
        <w:rPr>
          <w:rFonts w:hint="eastAsia" w:cs="Times New Roman"/>
          <w:color w:val="000000" w:themeColor="text1"/>
          <w:sz w:val="21"/>
          <w:lang w:eastAsia="zh-CN"/>
          <w14:textFill>
            <w14:solidFill>
              <w14:schemeClr w14:val="tx1"/>
            </w14:solidFill>
          </w14:textFill>
        </w:rPr>
        <w:t>安全系数，推荐值为</w:t>
      </w:r>
      <w:r>
        <w:rPr>
          <w:rFonts w:cs="Times New Roman"/>
          <w:color w:val="000000" w:themeColor="text1"/>
          <w:sz w:val="21"/>
          <w:lang w:eastAsia="zh-CN"/>
          <w14:textFill>
            <w14:solidFill>
              <w14:schemeClr w14:val="tx1"/>
            </w14:solidFill>
          </w14:textFill>
        </w:rPr>
        <w:t>2.0</w:t>
      </w:r>
      <w:r>
        <w:rPr>
          <w:rFonts w:hint="eastAsia" w:cs="Times New Roman"/>
          <w:color w:val="000000" w:themeColor="text1"/>
          <w:sz w:val="21"/>
          <w:lang w:eastAsia="zh-CN"/>
          <w14:textFill>
            <w14:solidFill>
              <w14:schemeClr w14:val="tx1"/>
            </w14:solidFill>
          </w14:textFill>
        </w:rPr>
        <w:t>；</w:t>
      </w:r>
    </w:p>
    <w:p>
      <w:pPr>
        <w:ind w:left="63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 −</w:t>
      </w:r>
      <w:r>
        <w:rPr>
          <w:rFonts w:hint="eastAsia" w:cs="Times New Roman"/>
          <w:color w:val="000000" w:themeColor="text1"/>
          <w:sz w:val="21"/>
          <w:lang w:eastAsia="zh-CN"/>
          <w14:textFill>
            <w14:solidFill>
              <w14:schemeClr w14:val="tx1"/>
            </w14:solidFill>
          </w14:textFill>
        </w:rPr>
        <w:t>内衬管的平均直径，</w:t>
      </w:r>
      <w:r>
        <w:rPr>
          <w:rFonts w:cs="Times New Roman"/>
          <w:color w:val="000000" w:themeColor="text1"/>
          <w:sz w:val="21"/>
          <w:lang w:eastAsia="zh-CN"/>
          <w14:textFill>
            <w14:solidFill>
              <w14:schemeClr w14:val="tx1"/>
            </w14:solidFill>
          </w14:textFill>
        </w:rPr>
        <w:t>mm</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 xml:space="preserve"> </w:t>
      </w:r>
    </w:p>
    <w:p>
      <w:pPr>
        <w:ind w:left="63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μ −</w:t>
      </w:r>
      <w:r>
        <w:rPr>
          <w:rFonts w:hint="eastAsia" w:cs="Times New Roman"/>
          <w:color w:val="000000" w:themeColor="text1"/>
          <w:sz w:val="21"/>
          <w:lang w:eastAsia="zh-CN"/>
          <w14:textFill>
            <w14:solidFill>
              <w14:schemeClr w14:val="tx1"/>
            </w14:solidFill>
          </w14:textFill>
        </w:rPr>
        <w:t>内衬管的泊松比，取</w:t>
      </w:r>
      <w:r>
        <w:rPr>
          <w:rFonts w:cs="Times New Roman"/>
          <w:color w:val="000000" w:themeColor="text1"/>
          <w:sz w:val="21"/>
          <w:lang w:eastAsia="zh-CN"/>
          <w14:textFill>
            <w14:solidFill>
              <w14:schemeClr w14:val="tx1"/>
            </w14:solidFill>
          </w14:textFill>
        </w:rPr>
        <w:t>0.38</w:t>
      </w:r>
      <w:r>
        <w:rPr>
          <w:rFonts w:hint="eastAsia" w:cs="Times New Roman"/>
          <w:color w:val="000000" w:themeColor="text1"/>
          <w:sz w:val="21"/>
          <w:lang w:eastAsia="zh-CN"/>
          <w14:textFill>
            <w14:solidFill>
              <w14:schemeClr w14:val="tx1"/>
            </w14:solidFill>
          </w14:textFill>
        </w:rPr>
        <w:t>；</w:t>
      </w:r>
    </w:p>
    <w:p>
      <w:pPr>
        <w:ind w:left="63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C −</w:t>
      </w:r>
      <w:r>
        <w:rPr>
          <w:rFonts w:hint="eastAsia" w:cs="Times New Roman"/>
          <w:color w:val="000000" w:themeColor="text1"/>
          <w:sz w:val="21"/>
          <w:lang w:eastAsia="zh-CN"/>
          <w14:textFill>
            <w14:solidFill>
              <w14:schemeClr w14:val="tx1"/>
            </w14:solidFill>
          </w14:textFill>
        </w:rPr>
        <w:t>椭圆度折减系数。</w:t>
      </w:r>
    </w:p>
    <w:p>
      <w:pPr>
        <w:ind w:left="21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6.5.1</w:t>
      </w:r>
      <w:r>
        <w:rPr>
          <w:rFonts w:hint="eastAsia"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单个修复段的理论注浆总量按式（</w:t>
      </w:r>
      <w:r>
        <w:rPr>
          <w:rFonts w:cs="Times New Roman"/>
          <w:color w:val="000000" w:themeColor="text1"/>
          <w:sz w:val="21"/>
          <w:lang w:eastAsia="zh-CN"/>
          <w14:textFill>
            <w14:solidFill>
              <w14:schemeClr w14:val="tx1"/>
            </w14:solidFill>
          </w14:textFill>
        </w:rPr>
        <w:t>6.5.1</w:t>
      </w:r>
      <w:r>
        <w:rPr>
          <w:rFonts w:hint="eastAsia" w:cs="Times New Roman"/>
          <w:color w:val="000000" w:themeColor="text1"/>
          <w:sz w:val="21"/>
          <w:lang w:eastAsia="zh-CN"/>
          <w14:textFill>
            <w14:solidFill>
              <w14:schemeClr w14:val="tx1"/>
            </w14:solidFill>
          </w14:textFill>
        </w:rPr>
        <w:t>3）计算：</w:t>
      </w:r>
    </w:p>
    <w:tbl>
      <w:tblPr>
        <w:tblStyle w:val="17"/>
        <w:tblW w:w="0" w:type="auto"/>
        <w:tblInd w:w="4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69"/>
        <w:gridCol w:w="1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69" w:type="dxa"/>
            <w:vAlign w:val="center"/>
          </w:tcPr>
          <w:p>
            <w:pPr>
              <w:ind w:firstLine="0" w:firstLineChars="0"/>
              <w:rPr>
                <w:rFonts w:cs="Times New Roman"/>
                <w:color w:val="000000" w:themeColor="text1"/>
                <w:sz w:val="21"/>
                <w:lang w:eastAsia="zh-CN"/>
                <w14:textFill>
                  <w14:solidFill>
                    <w14:schemeClr w14:val="tx1"/>
                  </w14:solidFill>
                </w14:textFill>
              </w:rPr>
            </w:pPr>
            <m:oMathPara>
              <m:oMath>
                <m:r>
                  <m:rPr/>
                  <w:rPr>
                    <w:rFonts w:ascii="Cambria Math" w:hAnsi="Cambria Math" w:cs="Cambria Math"/>
                    <w:color w:val="000000" w:themeColor="text1"/>
                    <w:sz w:val="21"/>
                    <w:lang w:eastAsia="zh-CN"/>
                    <w14:textFill>
                      <w14:solidFill>
                        <w14:schemeClr w14:val="tx1"/>
                      </w14:solidFill>
                    </w14:textFill>
                  </w:rPr>
                  <m:t>Q</m:t>
                </m:r>
                <m:r>
                  <m:rPr>
                    <m:sty m:val="p"/>
                  </m:rPr>
                  <w:rPr>
                    <w:rFonts w:ascii="Cambria Math" w:hAnsi="Cambria Math" w:cs="Cambria Math"/>
                    <w:color w:val="000000" w:themeColor="text1"/>
                    <w:sz w:val="21"/>
                    <w:lang w:eastAsia="zh-CN"/>
                    <w14:textFill>
                      <w14:solidFill>
                        <w14:schemeClr w14:val="tx1"/>
                      </w14:solidFill>
                    </w14:textFill>
                  </w:rPr>
                  <m:t>=</m:t>
                </m:r>
                <m:r>
                  <m:rPr/>
                  <w:rPr>
                    <w:rFonts w:ascii="Cambria Math" w:hAnsi="Cambria Math" w:cs="Cambria Math"/>
                    <w:color w:val="000000" w:themeColor="text1"/>
                    <w:sz w:val="21"/>
                    <w:lang w:eastAsia="zh-CN"/>
                    <w14:textFill>
                      <w14:solidFill>
                        <w14:schemeClr w14:val="tx1"/>
                      </w14:solidFill>
                    </w14:textFill>
                  </w:rPr>
                  <m:t>π</m:t>
                </m:r>
                <m:d>
                  <m:dPr>
                    <m:endChr m:val=""/>
                    <m:ctrlPr>
                      <w:rPr>
                        <w:rFonts w:ascii="Cambria Math" w:hAnsi="Cambria Math" w:cs="Cambria Math"/>
                        <w:color w:val="000000" w:themeColor="text1"/>
                        <w:sz w:val="21"/>
                        <w:lang w:eastAsia="zh-CN"/>
                        <w14:textFill>
                          <w14:solidFill>
                            <w14:schemeClr w14:val="tx1"/>
                          </w14:solidFill>
                        </w14:textFill>
                      </w:rPr>
                    </m:ctrlPr>
                  </m:dPr>
                  <m:e>
                    <m:sSup>
                      <m:sSupPr>
                        <m:ctrlPr>
                          <w:rPr>
                            <w:rFonts w:ascii="Cambria Math" w:hAnsi="Cambria Math" w:cs="Cambria Math"/>
                            <w:color w:val="000000" w:themeColor="text1"/>
                            <w:sz w:val="21"/>
                            <w:lang w:eastAsia="zh-CN"/>
                            <w14:textFill>
                              <w14:solidFill>
                                <w14:schemeClr w14:val="tx1"/>
                              </w14:solidFill>
                            </w14:textFill>
                          </w:rPr>
                        </m:ctrlPr>
                      </m:sSupPr>
                      <m:e>
                        <m:r>
                          <m:rPr/>
                          <w:rPr>
                            <w:rFonts w:ascii="Cambria Math" w:hAnsi="Cambria Math" w:cs="Cambria Math"/>
                            <w:color w:val="000000" w:themeColor="text1"/>
                            <w:sz w:val="21"/>
                            <w:lang w:eastAsia="zh-CN"/>
                            <w14:textFill>
                              <w14:solidFill>
                                <w14:schemeClr w14:val="tx1"/>
                              </w14:solidFill>
                            </w14:textFill>
                          </w:rPr>
                          <m:t>R</m:t>
                        </m:r>
                        <m:ctrlPr>
                          <w:rPr>
                            <w:rFonts w:ascii="Cambria Math" w:hAnsi="Cambria Math" w:cs="Cambria Math"/>
                            <w:color w:val="000000" w:themeColor="text1"/>
                            <w:sz w:val="21"/>
                            <w:lang w:eastAsia="zh-CN"/>
                            <w14:textFill>
                              <w14:solidFill>
                                <w14:schemeClr w14:val="tx1"/>
                              </w14:solidFill>
                            </w14:textFill>
                          </w:rPr>
                        </m:ctrlPr>
                      </m:e>
                      <m:sup>
                        <m:r>
                          <m:rPr>
                            <m:sty m:val="p"/>
                          </m:rPr>
                          <w:rPr>
                            <w:rFonts w:ascii="Cambria Math" w:hAnsi="Cambria Math" w:cs="Cambria Math"/>
                            <w:color w:val="000000" w:themeColor="text1"/>
                            <w:sz w:val="21"/>
                            <w:lang w:eastAsia="zh-CN"/>
                            <w14:textFill>
                              <w14:solidFill>
                                <w14:schemeClr w14:val="tx1"/>
                              </w14:solidFill>
                            </w14:textFill>
                          </w:rPr>
                          <m:t>2</m:t>
                        </m:r>
                        <m:ctrlPr>
                          <w:rPr>
                            <w:rFonts w:ascii="Cambria Math" w:hAnsi="Cambria Math" w:cs="Cambria Math"/>
                            <w:color w:val="000000" w:themeColor="text1"/>
                            <w:sz w:val="21"/>
                            <w:lang w:eastAsia="zh-CN"/>
                            <w14:textFill>
                              <w14:solidFill>
                                <w14:schemeClr w14:val="tx1"/>
                              </w14:solidFill>
                            </w14:textFill>
                          </w:rPr>
                        </m:ctrlPr>
                      </m:sup>
                    </m:sSup>
                    <m:ctrlPr>
                      <w:rPr>
                        <w:rFonts w:ascii="Cambria Math" w:hAnsi="Cambria Math" w:cs="Cambria Math"/>
                        <w:color w:val="000000" w:themeColor="text1"/>
                        <w:sz w:val="21"/>
                        <w:lang w:eastAsia="zh-CN"/>
                        <w14:textFill>
                          <w14:solidFill>
                            <w14:schemeClr w14:val="tx1"/>
                          </w14:solidFill>
                        </w14:textFill>
                      </w:rPr>
                    </m:ctrlPr>
                  </m:e>
                </m:d>
                <m:r>
                  <m:rPr>
                    <m:sty m:val="p"/>
                  </m:rPr>
                  <w:rPr>
                    <w:rFonts w:ascii="Cambria Math" w:hAnsi="Cambria Math" w:cs="Cambria Math"/>
                    <w:color w:val="000000" w:themeColor="text1"/>
                    <w:sz w:val="21"/>
                    <w:lang w:eastAsia="zh-CN"/>
                    <w14:textFill>
                      <w14:solidFill>
                        <w14:schemeClr w14:val="tx1"/>
                      </w14:solidFill>
                    </w14:textFill>
                  </w:rPr>
                  <m:t>−</m:t>
                </m:r>
                <m:d>
                  <m:dPr>
                    <m:begChr m:val=""/>
                    <m:ctrlPr>
                      <w:rPr>
                        <w:rFonts w:ascii="Cambria Math" w:hAnsi="Cambria Math" w:cs="Cambria Math"/>
                        <w:color w:val="000000" w:themeColor="text1"/>
                        <w:sz w:val="21"/>
                        <w:lang w:eastAsia="zh-CN"/>
                        <w14:textFill>
                          <w14:solidFill>
                            <w14:schemeClr w14:val="tx1"/>
                          </w14:solidFill>
                        </w14:textFill>
                      </w:rPr>
                    </m:ctrlPr>
                  </m:dPr>
                  <m:e>
                    <m:sSup>
                      <m:sSupPr>
                        <m:ctrlPr>
                          <w:rPr>
                            <w:rFonts w:ascii="Cambria Math" w:hAnsi="Cambria Math" w:cs="Cambria Math"/>
                            <w:color w:val="000000" w:themeColor="text1"/>
                            <w:sz w:val="21"/>
                            <w:lang w:eastAsia="zh-CN"/>
                            <w14:textFill>
                              <w14:solidFill>
                                <w14:schemeClr w14:val="tx1"/>
                              </w14:solidFill>
                            </w14:textFill>
                          </w:rPr>
                        </m:ctrlPr>
                      </m:sSupPr>
                      <m:e>
                        <m:r>
                          <m:rPr/>
                          <w:rPr>
                            <w:rFonts w:ascii="Cambria Math" w:hAnsi="Cambria Math" w:cs="Cambria Math"/>
                            <w:color w:val="000000" w:themeColor="text1"/>
                            <w:sz w:val="21"/>
                            <w:lang w:eastAsia="zh-CN"/>
                            <w14:textFill>
                              <w14:solidFill>
                                <w14:schemeClr w14:val="tx1"/>
                              </w14:solidFill>
                            </w14:textFill>
                          </w:rPr>
                          <m:t>r</m:t>
                        </m:r>
                        <m:ctrlPr>
                          <w:rPr>
                            <w:rFonts w:ascii="Cambria Math" w:hAnsi="Cambria Math" w:cs="Cambria Math"/>
                            <w:color w:val="000000" w:themeColor="text1"/>
                            <w:sz w:val="21"/>
                            <w:lang w:eastAsia="zh-CN"/>
                            <w14:textFill>
                              <w14:solidFill>
                                <w14:schemeClr w14:val="tx1"/>
                              </w14:solidFill>
                            </w14:textFill>
                          </w:rPr>
                        </m:ctrlPr>
                      </m:e>
                      <m:sup>
                        <m:r>
                          <m:rPr>
                            <m:sty m:val="p"/>
                          </m:rPr>
                          <w:rPr>
                            <w:rFonts w:ascii="Cambria Math" w:hAnsi="Cambria Math" w:cs="Cambria Math"/>
                            <w:color w:val="000000" w:themeColor="text1"/>
                            <w:sz w:val="21"/>
                            <w:lang w:eastAsia="zh-CN"/>
                            <w14:textFill>
                              <w14:solidFill>
                                <w14:schemeClr w14:val="tx1"/>
                              </w14:solidFill>
                            </w14:textFill>
                          </w:rPr>
                          <m:t>2</m:t>
                        </m:r>
                        <m:ctrlPr>
                          <w:rPr>
                            <w:rFonts w:ascii="Cambria Math" w:hAnsi="Cambria Math" w:cs="Cambria Math"/>
                            <w:color w:val="000000" w:themeColor="text1"/>
                            <w:sz w:val="21"/>
                            <w:lang w:eastAsia="zh-CN"/>
                            <w14:textFill>
                              <w14:solidFill>
                                <w14:schemeClr w14:val="tx1"/>
                              </w14:solidFill>
                            </w14:textFill>
                          </w:rPr>
                        </m:ctrlPr>
                      </m:sup>
                    </m:sSup>
                    <m:ctrlPr>
                      <w:rPr>
                        <w:rFonts w:ascii="Cambria Math" w:hAnsi="Cambria Math" w:cs="Cambria Math"/>
                        <w:color w:val="000000" w:themeColor="text1"/>
                        <w:sz w:val="21"/>
                        <w:lang w:eastAsia="zh-CN"/>
                        <w14:textFill>
                          <w14:solidFill>
                            <w14:schemeClr w14:val="tx1"/>
                          </w14:solidFill>
                        </w14:textFill>
                      </w:rPr>
                    </m:ctrlPr>
                  </m:e>
                </m:d>
                <m:r>
                  <m:rPr/>
                  <w:rPr>
                    <w:rFonts w:ascii="Cambria Math" w:hAnsi="Cambria Math" w:cs="Cambria Math"/>
                    <w:color w:val="000000" w:themeColor="text1"/>
                    <w:sz w:val="21"/>
                    <w:lang w:eastAsia="zh-CN"/>
                    <w14:textFill>
                      <w14:solidFill>
                        <w14:schemeClr w14:val="tx1"/>
                      </w14:solidFill>
                    </w14:textFill>
                  </w:rPr>
                  <m:t>L</m:t>
                </m:r>
              </m:oMath>
            </m:oMathPara>
          </w:p>
        </w:tc>
        <w:tc>
          <w:tcPr>
            <w:tcW w:w="1612" w:type="dxa"/>
            <w:vAlign w:val="center"/>
          </w:tcPr>
          <w:p>
            <w:pPr>
              <w:ind w:firstLine="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w:t>
            </w:r>
            <w:r>
              <w:rPr>
                <w:rFonts w:cs="Times New Roman"/>
                <w:b/>
                <w:bCs/>
                <w:color w:val="000000" w:themeColor="text1"/>
                <w:sz w:val="21"/>
                <w:lang w:eastAsia="zh-CN"/>
                <w14:textFill>
                  <w14:solidFill>
                    <w14:schemeClr w14:val="tx1"/>
                  </w14:solidFill>
                </w14:textFill>
              </w:rPr>
              <w:t>6.5.1</w:t>
            </w:r>
            <w:r>
              <w:rPr>
                <w:rFonts w:hint="eastAsia" w:cs="Times New Roman"/>
                <w:b/>
                <w:bCs/>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w:t>
            </w:r>
          </w:p>
        </w:tc>
      </w:tr>
    </w:tbl>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式中：</w:t>
      </w:r>
    </w:p>
    <w:p>
      <w:pPr>
        <w:ind w:left="84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Q −</w:t>
      </w:r>
      <w:r>
        <w:rPr>
          <w:rFonts w:hint="eastAsia" w:cs="Times New Roman"/>
          <w:color w:val="000000" w:themeColor="text1"/>
          <w:sz w:val="21"/>
          <w:lang w:eastAsia="zh-CN"/>
          <w14:textFill>
            <w14:solidFill>
              <w14:schemeClr w14:val="tx1"/>
            </w14:solidFill>
          </w14:textFill>
        </w:rPr>
        <w:t>单个修复段的理论注浆总量，</w:t>
      </w:r>
      <w:r>
        <w:rPr>
          <w:rFonts w:cs="Times New Roman"/>
          <w:color w:val="000000" w:themeColor="text1"/>
          <w:sz w:val="21"/>
          <w:lang w:eastAsia="zh-CN"/>
          <w14:textFill>
            <w14:solidFill>
              <w14:schemeClr w14:val="tx1"/>
            </w14:solidFill>
          </w14:textFill>
        </w:rPr>
        <w:t>m</w:t>
      </w:r>
      <w:r>
        <w:rPr>
          <w:rFonts w:hint="eastAsia" w:cs="Times New Roman"/>
          <w:color w:val="000000" w:themeColor="text1"/>
          <w:sz w:val="21"/>
          <w:lang w:eastAsia="zh-CN"/>
          <w14:textFill>
            <w14:solidFill>
              <w14:schemeClr w14:val="tx1"/>
            </w14:solidFill>
          </w14:textFill>
        </w:rPr>
        <w:t>³；</w:t>
      </w:r>
    </w:p>
    <w:p>
      <w:pPr>
        <w:ind w:left="84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R −</w:t>
      </w:r>
      <w:r>
        <w:rPr>
          <w:rFonts w:hint="eastAsia" w:cs="Times New Roman"/>
          <w:color w:val="000000" w:themeColor="text1"/>
          <w:sz w:val="21"/>
          <w:lang w:eastAsia="zh-CN"/>
          <w14:textFill>
            <w14:solidFill>
              <w14:schemeClr w14:val="tx1"/>
            </w14:solidFill>
          </w14:textFill>
        </w:rPr>
        <w:t>原管道内径，</w:t>
      </w:r>
      <w:r>
        <w:rPr>
          <w:rFonts w:cs="Times New Roman"/>
          <w:color w:val="000000" w:themeColor="text1"/>
          <w:sz w:val="21"/>
          <w:lang w:eastAsia="zh-CN"/>
          <w14:textFill>
            <w14:solidFill>
              <w14:schemeClr w14:val="tx1"/>
            </w14:solidFill>
          </w14:textFill>
        </w:rPr>
        <w:t>m</w:t>
      </w:r>
      <w:r>
        <w:rPr>
          <w:rFonts w:hint="eastAsia" w:cs="Times New Roman"/>
          <w:color w:val="000000" w:themeColor="text1"/>
          <w:sz w:val="21"/>
          <w:lang w:eastAsia="zh-CN"/>
          <w14:textFill>
            <w14:solidFill>
              <w14:schemeClr w14:val="tx1"/>
            </w14:solidFill>
          </w14:textFill>
        </w:rPr>
        <w:t>；</w:t>
      </w:r>
    </w:p>
    <w:p>
      <w:pPr>
        <w:ind w:left="84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r −</w:t>
      </w:r>
      <w:r>
        <w:rPr>
          <w:rFonts w:hint="eastAsia" w:cs="Times New Roman"/>
          <w:color w:val="000000" w:themeColor="text1"/>
          <w:sz w:val="21"/>
          <w:lang w:eastAsia="zh-CN"/>
          <w14:textFill>
            <w14:solidFill>
              <w14:schemeClr w14:val="tx1"/>
            </w14:solidFill>
          </w14:textFill>
        </w:rPr>
        <w:t>内衬管平均直径，</w:t>
      </w:r>
      <w:r>
        <w:rPr>
          <w:rFonts w:cs="Times New Roman"/>
          <w:color w:val="000000" w:themeColor="text1"/>
          <w:sz w:val="21"/>
          <w:lang w:eastAsia="zh-CN"/>
          <w14:textFill>
            <w14:solidFill>
              <w14:schemeClr w14:val="tx1"/>
            </w14:solidFill>
          </w14:textFill>
        </w:rPr>
        <w:t>m</w:t>
      </w:r>
      <w:r>
        <w:rPr>
          <w:rFonts w:hint="eastAsia" w:cs="Times New Roman"/>
          <w:color w:val="000000" w:themeColor="text1"/>
          <w:sz w:val="21"/>
          <w:lang w:eastAsia="zh-CN"/>
          <w14:textFill>
            <w14:solidFill>
              <w14:schemeClr w14:val="tx1"/>
            </w14:solidFill>
          </w14:textFill>
        </w:rPr>
        <w:t>；</w:t>
      </w:r>
    </w:p>
    <w:p>
      <w:pPr>
        <w:ind w:left="84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L −</w:t>
      </w:r>
      <w:r>
        <w:rPr>
          <w:rFonts w:hint="eastAsia" w:cs="Times New Roman"/>
          <w:color w:val="000000" w:themeColor="text1"/>
          <w:sz w:val="21"/>
          <w:lang w:eastAsia="zh-CN"/>
          <w14:textFill>
            <w14:solidFill>
              <w14:schemeClr w14:val="tx1"/>
            </w14:solidFill>
          </w14:textFill>
        </w:rPr>
        <w:t>单次注浆段管道长度，</w:t>
      </w:r>
      <w:r>
        <w:rPr>
          <w:rFonts w:cs="Times New Roman"/>
          <w:color w:val="000000" w:themeColor="text1"/>
          <w:sz w:val="21"/>
          <w:lang w:eastAsia="zh-CN"/>
          <w14:textFill>
            <w14:solidFill>
              <w14:schemeClr w14:val="tx1"/>
            </w14:solidFill>
          </w14:textFill>
        </w:rPr>
        <w:t>m</w:t>
      </w:r>
      <w:r>
        <w:rPr>
          <w:rFonts w:hint="eastAsia" w:cs="Times New Roman"/>
          <w:color w:val="000000" w:themeColor="text1"/>
          <w:sz w:val="21"/>
          <w:lang w:eastAsia="zh-CN"/>
          <w14:textFill>
            <w14:solidFill>
              <w14:schemeClr w14:val="tx1"/>
            </w14:solidFill>
          </w14:textFill>
        </w:rPr>
        <w:t>。</w:t>
      </w:r>
    </w:p>
    <w:p>
      <w:pPr>
        <w:ind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6.5.1</w:t>
      </w:r>
      <w:r>
        <w:rPr>
          <w:rFonts w:hint="eastAsia" w:cs="Times New Roman"/>
          <w:b/>
          <w:bCs/>
          <w:color w:val="000000" w:themeColor="text1"/>
          <w:sz w:val="21"/>
          <w:lang w:eastAsia="zh-CN"/>
          <w14:textFill>
            <w14:solidFill>
              <w14:schemeClr w14:val="tx1"/>
            </w14:solidFill>
          </w14:textFill>
        </w:rPr>
        <w:t>4</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定径式和机头行走法注浆时应符合下列规定</w:t>
      </w:r>
      <w:r>
        <w:rPr>
          <w:rFonts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应在管道两侧环形间隙</w:t>
      </w:r>
      <w:r>
        <w:rPr>
          <w:rFonts w:cs="Times New Roman"/>
          <w:color w:val="000000" w:themeColor="text1"/>
          <w:sz w:val="21"/>
          <w:lang w:eastAsia="zh-CN"/>
          <w14:textFill>
            <w14:solidFill>
              <w14:schemeClr w14:val="tx1"/>
            </w14:solidFill>
          </w14:textFill>
        </w:rPr>
        <w:t xml:space="preserve"> 2</w:t>
      </w:r>
      <w:r>
        <w:rPr>
          <w:rFonts w:hint="eastAsia" w:cs="Times New Roman"/>
          <w:color w:val="000000" w:themeColor="text1"/>
          <w:sz w:val="21"/>
          <w:lang w:eastAsia="zh-CN"/>
          <w14:textFill>
            <w14:solidFill>
              <w14:schemeClr w14:val="tx1"/>
            </w14:solidFill>
          </w14:textFill>
        </w:rPr>
        <w:t>点、</w:t>
      </w:r>
      <w:r>
        <w:rPr>
          <w:rFonts w:cs="Times New Roman"/>
          <w:color w:val="000000" w:themeColor="text1"/>
          <w:sz w:val="21"/>
          <w:lang w:eastAsia="zh-CN"/>
          <w14:textFill>
            <w14:solidFill>
              <w14:schemeClr w14:val="tx1"/>
            </w14:solidFill>
          </w14:textFill>
        </w:rPr>
        <w:t>10</w:t>
      </w:r>
      <w:r>
        <w:rPr>
          <w:rFonts w:hint="eastAsia" w:cs="Times New Roman"/>
          <w:color w:val="000000" w:themeColor="text1"/>
          <w:sz w:val="21"/>
          <w:lang w:eastAsia="zh-CN"/>
          <w14:textFill>
            <w14:solidFill>
              <w14:schemeClr w14:val="tx1"/>
            </w14:solidFill>
          </w14:textFill>
        </w:rPr>
        <w:t>点、</w:t>
      </w:r>
      <w:r>
        <w:rPr>
          <w:rFonts w:cs="Times New Roman"/>
          <w:color w:val="000000" w:themeColor="text1"/>
          <w:sz w:val="21"/>
          <w:lang w:eastAsia="zh-CN"/>
          <w14:textFill>
            <w14:solidFill>
              <w14:schemeClr w14:val="tx1"/>
            </w14:solidFill>
          </w14:textFill>
        </w:rPr>
        <w:t>12</w:t>
      </w:r>
      <w:r>
        <w:rPr>
          <w:rFonts w:hint="eastAsia" w:cs="Times New Roman"/>
          <w:color w:val="000000" w:themeColor="text1"/>
          <w:sz w:val="21"/>
          <w:lang w:eastAsia="zh-CN"/>
          <w14:textFill>
            <w14:solidFill>
              <w14:schemeClr w14:val="tx1"/>
            </w14:solidFill>
          </w14:textFill>
        </w:rPr>
        <w:t>点的位置分别埋设注浆管，一侧可用于注浆，另一侧可用于放气和观察；</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注浆压力宜为</w:t>
      </w:r>
      <w:r>
        <w:rPr>
          <w:rFonts w:cs="Times New Roman"/>
          <w:color w:val="000000" w:themeColor="text1"/>
          <w:sz w:val="21"/>
          <w:lang w:eastAsia="zh-CN"/>
          <w14:textFill>
            <w14:solidFill>
              <w14:schemeClr w14:val="tx1"/>
            </w14:solidFill>
          </w14:textFill>
        </w:rPr>
        <w:t>0.10 M</w:t>
      </w:r>
      <w:r>
        <w:rPr>
          <w:rFonts w:hint="eastAsia" w:cs="Times New Roman"/>
          <w:color w:val="000000" w:themeColor="text1"/>
          <w:sz w:val="21"/>
          <w:lang w:eastAsia="zh-CN"/>
          <w14:textFill>
            <w14:solidFill>
              <w14:schemeClr w14:val="tx1"/>
            </w14:solidFill>
          </w14:textFill>
        </w:rPr>
        <w:t>P</w:t>
      </w:r>
      <w:r>
        <w:rPr>
          <w:rFonts w:cs="Times New Roman"/>
          <w:color w:val="000000" w:themeColor="text1"/>
          <w:sz w:val="21"/>
          <w:lang w:eastAsia="zh-CN"/>
          <w14:textFill>
            <w14:solidFill>
              <w14:schemeClr w14:val="tx1"/>
            </w14:solidFill>
          </w14:textFill>
        </w:rPr>
        <w:t>a ~</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0.15</w:t>
      </w:r>
      <w:bookmarkStart w:id="169" w:name="OLE_LINK90"/>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w:t>
      </w:r>
      <w:r>
        <w:rPr>
          <w:rFonts w:hint="eastAsia" w:cs="Times New Roman"/>
          <w:color w:val="000000" w:themeColor="text1"/>
          <w:sz w:val="21"/>
          <w:lang w:eastAsia="zh-CN"/>
          <w14:textFill>
            <w14:solidFill>
              <w14:schemeClr w14:val="tx1"/>
            </w14:solidFill>
          </w14:textFill>
        </w:rPr>
        <w:t>P</w:t>
      </w:r>
      <w:r>
        <w:rPr>
          <w:rFonts w:cs="Times New Roman"/>
          <w:color w:val="000000" w:themeColor="text1"/>
          <w:sz w:val="21"/>
          <w:lang w:eastAsia="zh-CN"/>
          <w14:textFill>
            <w14:solidFill>
              <w14:schemeClr w14:val="tx1"/>
            </w14:solidFill>
          </w14:textFill>
        </w:rPr>
        <w:t>a</w:t>
      </w:r>
      <w:bookmarkEnd w:id="169"/>
      <w:r>
        <w:rPr>
          <w:rFonts w:hint="eastAsia"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注浆应分步进行，首次注浆量应根据内衬管自重、管内水量进行计算，应控制首次注浆量，不得超过计算量；</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第二次注浆应至少在首次注浆浆液初凝后进行，与首次注浆的时间间隔不宜小于</w:t>
      </w:r>
      <w:r>
        <w:rPr>
          <w:rFonts w:cs="Times New Roman"/>
          <w:color w:val="000000" w:themeColor="text1"/>
          <w:sz w:val="21"/>
          <w:lang w:eastAsia="zh-CN"/>
          <w14:textFill>
            <w14:solidFill>
              <w14:schemeClr w14:val="tx1"/>
            </w14:solidFill>
          </w14:textFill>
        </w:rPr>
        <w:t xml:space="preserve">12 h </w:t>
      </w:r>
      <w:r>
        <w:rPr>
          <w:rFonts w:hint="eastAsia"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注浆总量不应小于计算注浆量的</w:t>
      </w:r>
      <w:r>
        <w:rPr>
          <w:rFonts w:cs="Times New Roman"/>
          <w:color w:val="000000" w:themeColor="text1"/>
          <w:sz w:val="21"/>
          <w:lang w:eastAsia="zh-CN"/>
          <w14:textFill>
            <w14:solidFill>
              <w14:schemeClr w14:val="tx1"/>
            </w14:solidFill>
          </w14:textFill>
        </w:rPr>
        <w:t xml:space="preserve">95 % </w:t>
      </w:r>
      <w:r>
        <w:rPr>
          <w:rFonts w:hint="eastAsia" w:cs="Times New Roman"/>
          <w:color w:val="000000" w:themeColor="text1"/>
          <w:sz w:val="21"/>
          <w:lang w:eastAsia="zh-CN"/>
          <w14:textFill>
            <w14:solidFill>
              <w14:schemeClr w14:val="tx1"/>
            </w14:solidFill>
          </w14:textFill>
        </w:rPr>
        <w:t>，并应做好记录；</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w:t>
      </w:r>
      <w:r>
        <w:rPr>
          <w:rFonts w:hint="eastAsia" w:cs="Times New Roman"/>
          <w:color w:val="000000" w:themeColor="text1"/>
          <w:sz w:val="21"/>
          <w:lang w:eastAsia="zh-CN"/>
          <w14:textFill>
            <w14:solidFill>
              <w14:schemeClr w14:val="tx1"/>
            </w14:solidFill>
          </w14:textFill>
        </w:rPr>
        <w:t xml:space="preserve"> 观察到另一侧</w:t>
      </w:r>
      <w:r>
        <w:rPr>
          <w:rFonts w:cs="Times New Roman"/>
          <w:color w:val="000000" w:themeColor="text1"/>
          <w:sz w:val="21"/>
          <w:lang w:eastAsia="zh-CN"/>
          <w14:textFill>
            <w14:solidFill>
              <w14:schemeClr w14:val="tx1"/>
            </w14:solidFill>
          </w14:textFill>
        </w:rPr>
        <w:t>12</w:t>
      </w:r>
      <w:r>
        <w:rPr>
          <w:rFonts w:hint="eastAsia" w:cs="Times New Roman"/>
          <w:color w:val="000000" w:themeColor="text1"/>
          <w:sz w:val="21"/>
          <w:lang w:eastAsia="zh-CN"/>
          <w14:textFill>
            <w14:solidFill>
              <w14:schemeClr w14:val="tx1"/>
            </w14:solidFill>
          </w14:textFill>
        </w:rPr>
        <w:t>点观察孔冒浆时，应停止注浆；</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管道距离大于</w:t>
      </w:r>
      <w:r>
        <w:rPr>
          <w:rFonts w:cs="Times New Roman"/>
          <w:color w:val="000000" w:themeColor="text1"/>
          <w:sz w:val="21"/>
          <w:lang w:eastAsia="zh-CN"/>
          <w14:textFill>
            <w14:solidFill>
              <w14:schemeClr w14:val="tx1"/>
            </w14:solidFill>
          </w14:textFill>
        </w:rPr>
        <w:t>100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w:t>
      </w:r>
      <w:r>
        <w:rPr>
          <w:rFonts w:hint="eastAsia" w:cs="Times New Roman"/>
          <w:color w:val="000000" w:themeColor="text1"/>
          <w:sz w:val="21"/>
          <w:lang w:eastAsia="zh-CN"/>
          <w14:textFill>
            <w14:solidFill>
              <w14:schemeClr w14:val="tx1"/>
            </w14:solidFill>
          </w14:textFill>
        </w:rPr>
        <w:t>时，宜在管道中间位置的顶部进行开孔补浆；</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采用机头行走法修复方涵，注浆前应对内衬管进行支护或采取其他保护措施；</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9</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注浆完成后，应密封注浆孔，并应对管道端头进行平整处理。</w:t>
      </w:r>
    </w:p>
    <w:p>
      <w:pPr>
        <w:spacing w:before="68"/>
        <w:ind w:left="8"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6.5.1</w:t>
      </w:r>
      <w:r>
        <w:rPr>
          <w:rFonts w:hint="eastAsia" w:cs="Times New Roman"/>
          <w:b/>
          <w:bCs/>
          <w:color w:val="000000" w:themeColor="text1"/>
          <w:sz w:val="21"/>
          <w:lang w:eastAsia="zh-CN"/>
          <w14:textFill>
            <w14:solidFill>
              <w14:schemeClr w14:val="tx1"/>
            </w14:solidFill>
          </w14:textFill>
        </w:rPr>
        <w:t xml:space="preserve">5 </w:t>
      </w:r>
      <w:r>
        <w:rPr>
          <w:rFonts w:cs="Times New Roman"/>
          <w:color w:val="000000" w:themeColor="text1"/>
          <w:sz w:val="21"/>
          <w:lang w:eastAsia="zh-CN"/>
          <w14:textFill>
            <w14:solidFill>
              <w14:schemeClr w14:val="tx1"/>
            </w14:solidFill>
          </w14:textFill>
        </w:rPr>
        <w:t>管道修复完成后，应对内衬管的端口及与检查井的接口处进行处理</w:t>
      </w:r>
      <w:r>
        <w:rPr>
          <w:rFonts w:hint="eastAsia"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内衬管起点和终点端口应切割整齐，突出</w:t>
      </w:r>
      <w:r>
        <w:rPr>
          <w:rFonts w:hint="eastAsia" w:cs="Times New Roman"/>
          <w:color w:val="000000" w:themeColor="text1"/>
          <w:sz w:val="21"/>
          <w:lang w:eastAsia="zh-CN"/>
          <w14:textFill>
            <w14:solidFill>
              <w14:schemeClr w14:val="tx1"/>
            </w14:solidFill>
          </w14:textFill>
        </w:rPr>
        <w:t>部位</w:t>
      </w:r>
      <w:r>
        <w:rPr>
          <w:rFonts w:cs="Times New Roman"/>
          <w:color w:val="000000" w:themeColor="text1"/>
          <w:sz w:val="21"/>
          <w:lang w:eastAsia="zh-CN"/>
          <w14:textFill>
            <w14:solidFill>
              <w14:schemeClr w14:val="tx1"/>
            </w14:solidFill>
          </w14:textFill>
        </w:rPr>
        <w:t>长度不应超过50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w:t>
      </w:r>
      <w:r>
        <w:rPr>
          <w:rFonts w:hint="eastAsia"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2</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应使用高强快干水泥封</w:t>
      </w:r>
      <w:r>
        <w:rPr>
          <w:rFonts w:hint="eastAsia" w:cs="Times New Roman"/>
          <w:color w:val="000000" w:themeColor="text1"/>
          <w:sz w:val="21"/>
          <w:lang w:eastAsia="zh-CN"/>
          <w14:textFill>
            <w14:solidFill>
              <w14:schemeClr w14:val="tx1"/>
            </w14:solidFill>
          </w14:textFill>
        </w:rPr>
        <w:t>口，</w:t>
      </w:r>
      <w:r>
        <w:rPr>
          <w:rFonts w:cs="Times New Roman"/>
          <w:color w:val="000000" w:themeColor="text1"/>
          <w:sz w:val="21"/>
          <w:lang w:eastAsia="zh-CN"/>
          <w14:textFill>
            <w14:solidFill>
              <w14:schemeClr w14:val="tx1"/>
            </w14:solidFill>
          </w14:textFill>
        </w:rPr>
        <w:t>封口深度不应小于15</w:t>
      </w:r>
      <w:r>
        <w:rPr>
          <w:rFonts w:hint="eastAsia" w:cs="Times New Roman"/>
          <w:color w:val="000000" w:themeColor="text1"/>
          <w:sz w:val="21"/>
          <w:lang w:eastAsia="zh-CN"/>
          <w14:textFill>
            <w14:solidFill>
              <w14:schemeClr w14:val="tx1"/>
            </w14:solidFill>
          </w14:textFill>
        </w:rPr>
        <w:t>0 m</w:t>
      </w:r>
      <w:r>
        <w:rPr>
          <w:rFonts w:cs="Times New Roman"/>
          <w:color w:val="000000" w:themeColor="text1"/>
          <w:sz w:val="21"/>
          <w:lang w:eastAsia="zh-CN"/>
          <w14:textFill>
            <w14:solidFill>
              <w14:schemeClr w14:val="tx1"/>
            </w14:solidFill>
          </w14:textFill>
        </w:rPr>
        <w:t>m</w:t>
      </w:r>
      <w:r>
        <w:rPr>
          <w:rFonts w:hint="eastAsia" w:cs="Times New Roman"/>
          <w:color w:val="000000" w:themeColor="text1"/>
          <w:sz w:val="21"/>
          <w:lang w:eastAsia="zh-CN"/>
          <w14:textFill>
            <w14:solidFill>
              <w14:schemeClr w14:val="tx1"/>
            </w14:solidFill>
          </w14:textFill>
        </w:rPr>
        <w:t>，且</w:t>
      </w:r>
      <w:r>
        <w:rPr>
          <w:rFonts w:cs="Times New Roman"/>
          <w:color w:val="000000" w:themeColor="text1"/>
          <w:sz w:val="21"/>
          <w:lang w:eastAsia="zh-CN"/>
          <w14:textFill>
            <w14:solidFill>
              <w14:schemeClr w14:val="tx1"/>
            </w14:solidFill>
          </w14:textFill>
        </w:rPr>
        <w:t>不应损坏内衬管</w:t>
      </w:r>
      <w:r>
        <w:rPr>
          <w:rFonts w:hint="eastAsia" w:cs="Times New Roman"/>
          <w:color w:val="000000" w:themeColor="text1"/>
          <w:sz w:val="21"/>
          <w:lang w:eastAsia="zh-CN"/>
          <w14:textFill>
            <w14:solidFill>
              <w14:schemeClr w14:val="tx1"/>
            </w14:solidFill>
          </w14:textFill>
        </w:rPr>
        <w:t>。</w:t>
      </w:r>
    </w:p>
    <w:p>
      <w:pPr>
        <w:pStyle w:val="3"/>
        <w:ind w:firstLine="560"/>
      </w:pPr>
      <w:bookmarkStart w:id="170" w:name="_Toc196915222"/>
      <w:r>
        <w:rPr>
          <w:rFonts w:hint="eastAsia"/>
        </w:rPr>
        <w:t>6.6</w:t>
      </w:r>
      <w:r>
        <w:t xml:space="preserve"> 短管内衬法</w:t>
      </w:r>
      <w:bookmarkEnd w:id="170"/>
    </w:p>
    <w:p>
      <w:pPr>
        <w:ind w:firstLine="420" w:firstLineChars="0"/>
        <w:rPr>
          <w:rFonts w:cs="Times New Roman"/>
          <w:color w:val="000000" w:themeColor="text1"/>
          <w:sz w:val="21"/>
          <w:lang w:eastAsia="zh-CN"/>
          <w14:textFill>
            <w14:solidFill>
              <w14:schemeClr w14:val="tx1"/>
            </w14:solidFill>
          </w14:textFill>
        </w:rPr>
      </w:pPr>
      <w:bookmarkStart w:id="171" w:name="_Toc5636"/>
      <w:r>
        <w:rPr>
          <w:rFonts w:hint="eastAsia" w:cs="Times New Roman"/>
          <w:b/>
          <w:bCs/>
          <w:color w:val="000000" w:themeColor="text1"/>
          <w:sz w:val="21"/>
          <w:lang w:eastAsia="zh-CN"/>
          <w14:textFill>
            <w14:solidFill>
              <w14:schemeClr w14:val="tx1"/>
            </w14:solidFill>
          </w14:textFill>
        </w:rPr>
        <w:t>6.</w:t>
      </w:r>
      <w:bookmarkEnd w:id="171"/>
      <w:r>
        <w:rPr>
          <w:rFonts w:hint="eastAsia" w:cs="Times New Roman"/>
          <w:b/>
          <w:bCs/>
          <w:color w:val="000000" w:themeColor="text1"/>
          <w:sz w:val="21"/>
          <w:lang w:eastAsia="zh-CN"/>
          <w14:textFill>
            <w14:solidFill>
              <w14:schemeClr w14:val="tx1"/>
            </w14:solidFill>
          </w14:textFill>
        </w:rPr>
        <w:t>6.1</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应对进场材料进行性能复测，同一生产厂家、同一批次</w:t>
      </w:r>
      <w:r>
        <w:rPr>
          <w:rFonts w:hint="eastAsia" w:cs="Times New Roman"/>
          <w:color w:val="000000" w:themeColor="text1"/>
          <w:sz w:val="21"/>
          <w:lang w:eastAsia="zh-CN"/>
          <w14:textFill>
            <w14:solidFill>
              <w14:schemeClr w14:val="tx1"/>
            </w14:solidFill>
          </w14:textFill>
        </w:rPr>
        <w:t>、同一管径</w:t>
      </w:r>
      <w:r>
        <w:rPr>
          <w:rFonts w:cs="Times New Roman"/>
          <w:color w:val="000000" w:themeColor="text1"/>
          <w:sz w:val="21"/>
          <w:lang w:eastAsia="zh-CN"/>
          <w14:textFill>
            <w14:solidFill>
              <w14:schemeClr w14:val="tx1"/>
            </w14:solidFill>
          </w14:textFill>
        </w:rPr>
        <w:t>产品现场取样</w:t>
      </w:r>
      <w:r>
        <w:rPr>
          <w:rFonts w:hint="eastAsia" w:cs="Times New Roman"/>
          <w:color w:val="000000" w:themeColor="text1"/>
          <w:sz w:val="21"/>
          <w:lang w:eastAsia="zh-CN"/>
          <w14:textFill>
            <w14:solidFill>
              <w14:schemeClr w14:val="tx1"/>
            </w14:solidFill>
          </w14:textFill>
        </w:rPr>
        <w:t>，200m</w:t>
      </w:r>
      <w:r>
        <w:rPr>
          <w:rFonts w:cs="Times New Roman"/>
          <w:color w:val="000000" w:themeColor="text1"/>
          <w:sz w:val="21"/>
          <w:lang w:eastAsia="zh-CN"/>
          <w14:textFill>
            <w14:solidFill>
              <w14:schemeClr w14:val="tx1"/>
            </w14:solidFill>
          </w14:textFill>
        </w:rPr>
        <w:t>不宜少于1组，管材的性能复测结果应符合本标准第4.</w:t>
      </w:r>
      <w:r>
        <w:rPr>
          <w:rFonts w:hint="eastAsia" w:cs="Times New Roman"/>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条的规定；焊接材料、遇水膨胀橡胶密封圈的性能复测结果应符合本标准第4.</w:t>
      </w:r>
      <w:r>
        <w:rPr>
          <w:rFonts w:hint="eastAsia" w:cs="Times New Roman"/>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条的规定。</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6.6.2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施工过程应符合下列规定：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工作井工况应满足施工要求；</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工作井内应设置导滑装置；短管顶推或牵拉时应匀速、可控；施工宜在同一连续作业段内完成；</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3 </w:t>
      </w:r>
      <w:r>
        <w:rPr>
          <w:rFonts w:hint="eastAsia" w:cs="Times New Roman"/>
          <w:color w:val="000000" w:themeColor="text1"/>
          <w:sz w:val="21"/>
          <w:lang w:eastAsia="zh-CN"/>
          <w14:textFill>
            <w14:solidFill>
              <w14:schemeClr w14:val="tx1"/>
            </w14:solidFill>
          </w14:textFill>
        </w:rPr>
        <w:t>短管安装宜自下游开始，承口应朝向施工前进的方向，施工宜一次完成；</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最大顶推力或牵引力不宜大于内衬管允许顶力或拉力的</w:t>
      </w:r>
      <w:r>
        <w:rPr>
          <w:rFonts w:cs="Times New Roman"/>
          <w:color w:val="000000" w:themeColor="text1"/>
          <w:sz w:val="21"/>
          <w:lang w:eastAsia="zh-CN"/>
          <w14:textFill>
            <w14:solidFill>
              <w14:schemeClr w14:val="tx1"/>
            </w14:solidFill>
          </w14:textFill>
        </w:rPr>
        <w:t>50%</w:t>
      </w:r>
      <w:r>
        <w:rPr>
          <w:rFonts w:hint="eastAsia" w:cs="Times New Roman"/>
          <w:color w:val="000000" w:themeColor="text1"/>
          <w:sz w:val="21"/>
          <w:lang w:eastAsia="zh-CN"/>
          <w14:textFill>
            <w14:solidFill>
              <w14:schemeClr w14:val="tx1"/>
            </w14:solidFill>
          </w14:textFill>
        </w:rPr>
        <w:t>；管道弯曲段或变形较大的管道宜减慢速度；</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短管连接时，应依次推入指定位置，相邻两段管材可通过热熔焊接或承插连接形成整体，连接宜采用热熔焊接；连接后的内衬管宜平顺，不应有“蛇形”变形和起伏；</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热熔焊接连接时，子口焊缝表面应光滑、平整，无裂缝，错边量不应超过管材壁厚的</w:t>
      </w:r>
      <w:r>
        <w:rPr>
          <w:rFonts w:cs="Times New Roman"/>
          <w:color w:val="000000" w:themeColor="text1"/>
          <w:sz w:val="21"/>
          <w:lang w:eastAsia="zh-CN"/>
          <w14:textFill>
            <w14:solidFill>
              <w14:schemeClr w14:val="tx1"/>
            </w14:solidFill>
          </w14:textFill>
        </w:rPr>
        <w:t>10%</w:t>
      </w:r>
      <w:r>
        <w:rPr>
          <w:rFonts w:hint="eastAsia" w:cs="Times New Roman"/>
          <w:color w:val="000000" w:themeColor="text1"/>
          <w:sz w:val="21"/>
          <w:lang w:eastAsia="zh-CN"/>
          <w14:textFill>
            <w14:solidFill>
              <w14:schemeClr w14:val="tx1"/>
            </w14:solidFill>
          </w14:textFill>
        </w:rPr>
        <w:t>；</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承插连接时，子口的规定位置应安装遇水膨胀止水胶圈，承插口应清洁，满涂密封胶，管口应密封完全；</w:t>
      </w:r>
    </w:p>
    <w:p>
      <w:pPr>
        <w:ind w:left="420" w:firstLine="422"/>
        <w:rPr>
          <w:rFonts w:cs="Times New Roman"/>
          <w:lang w:eastAsia="zh-CN"/>
        </w:rPr>
      </w:pPr>
      <w:r>
        <w:rPr>
          <w:rFonts w:cs="Times New Roman"/>
          <w:b/>
          <w:bCs/>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内衬管伸出原有管道长度应满足应力恢复和热胀冷缩的要求，管道就位且应力恢复后方可进行后续操作。</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6.6.3</w:t>
      </w:r>
      <w:r>
        <w:rPr>
          <w:rFonts w:hint="eastAsia" w:cs="Times New Roman"/>
          <w:color w:val="000000" w:themeColor="text1"/>
          <w:sz w:val="21"/>
          <w:lang w:eastAsia="zh-CN"/>
          <w14:textFill>
            <w14:solidFill>
              <w14:schemeClr w14:val="tx1"/>
            </w14:solidFill>
          </w14:textFill>
        </w:rPr>
        <w:t xml:space="preserve"> 施工完成后，应将工作井与目标井的管端进行切削处理，并将管口打磨光滑。</w:t>
      </w:r>
    </w:p>
    <w:p>
      <w:pPr>
        <w:ind w:firstLine="422"/>
        <w:rPr>
          <w:rFonts w:cs="Times New Roman"/>
          <w:color w:val="000000" w:themeColor="text1"/>
          <w:sz w:val="21"/>
          <w:lang w:eastAsia="zh-CN"/>
          <w14:textFill>
            <w14:solidFill>
              <w14:schemeClr w14:val="tx1"/>
            </w14:solidFill>
          </w14:textFill>
        </w:rPr>
      </w:pPr>
      <w:bookmarkStart w:id="172" w:name="OLE_LINK98"/>
      <w:r>
        <w:rPr>
          <w:rFonts w:hint="eastAsia" w:cs="Times New Roman"/>
          <w:b/>
          <w:bCs/>
          <w:color w:val="000000" w:themeColor="text1"/>
          <w:sz w:val="21"/>
          <w:lang w:eastAsia="zh-CN"/>
          <w14:textFill>
            <w14:solidFill>
              <w14:schemeClr w14:val="tx1"/>
            </w14:solidFill>
          </w14:textFill>
        </w:rPr>
        <w:t>6.6.4</w:t>
      </w:r>
      <w:bookmarkEnd w:id="172"/>
      <w:r>
        <w:rPr>
          <w:rFonts w:hint="eastAsia" w:cs="Times New Roman"/>
          <w:color w:val="000000" w:themeColor="text1"/>
          <w:sz w:val="21"/>
          <w:lang w:eastAsia="zh-CN"/>
          <w14:textFill>
            <w14:solidFill>
              <w14:schemeClr w14:val="tx1"/>
            </w14:solidFill>
          </w14:textFill>
        </w:rPr>
        <w:t xml:space="preserve"> 应对内衬管与原管道环状间隙进行注浆，并应符合下列规定： </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宜采用分段注浆工艺。</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 xml:space="preserve"> 浆液应具备流动性强、固化过程收缩小、放热量低的特性。</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 xml:space="preserve"> 注浆完成后，应对端口缝隙进行封堵。</w:t>
      </w:r>
    </w:p>
    <w:p>
      <w:pPr>
        <w:pStyle w:val="3"/>
        <w:ind w:firstLine="560"/>
      </w:pPr>
      <w:bookmarkStart w:id="173" w:name="_Toc196915223"/>
      <w:r>
        <w:rPr>
          <w:rFonts w:hint="eastAsia"/>
        </w:rPr>
        <w:t>6</w:t>
      </w:r>
      <w:r>
        <w:t>.</w:t>
      </w:r>
      <w:r>
        <w:rPr>
          <w:rFonts w:hint="eastAsia"/>
        </w:rPr>
        <w:t>7</w:t>
      </w:r>
      <w:r>
        <w:t xml:space="preserve"> 喷涂法</w:t>
      </w:r>
      <w:bookmarkEnd w:id="173"/>
      <w:bookmarkStart w:id="174" w:name="OLE_LINK76"/>
    </w:p>
    <w:bookmarkEnd w:id="174"/>
    <w:p>
      <w:pPr>
        <w:ind w:firstLine="420"/>
        <w:jc w:val="center"/>
        <w:rPr>
          <w:rFonts w:cs="Times New Roman"/>
          <w:snapToGrid/>
          <w:sz w:val="21"/>
          <w:lang w:eastAsia="zh-CN"/>
        </w:rPr>
      </w:pPr>
      <w:bookmarkStart w:id="175" w:name="OLE_LINK37"/>
      <w:r>
        <w:rPr>
          <w:rFonts w:cs="Times New Roman"/>
          <w:snapToGrid/>
          <w:sz w:val="21"/>
          <w:lang w:eastAsia="zh-CN"/>
        </w:rPr>
        <w:t>Ⅰ</w:t>
      </w:r>
      <w:r>
        <w:rPr>
          <w:rFonts w:hint="eastAsia" w:cs="Times New Roman"/>
          <w:snapToGrid/>
          <w:sz w:val="21"/>
          <w:lang w:eastAsia="zh-CN"/>
        </w:rPr>
        <w:t xml:space="preserve"> </w:t>
      </w:r>
      <w:r>
        <w:rPr>
          <w:rFonts w:cs="Times New Roman"/>
          <w:snapToGrid/>
          <w:sz w:val="21"/>
          <w:lang w:eastAsia="zh-CN"/>
        </w:rPr>
        <w:t>水泥基材料喷涂法</w:t>
      </w:r>
    </w:p>
    <w:p>
      <w:pPr>
        <w:ind w:firstLine="422"/>
        <w:rPr>
          <w:rFonts w:cs="Times New Roman"/>
          <w:snapToGrid/>
          <w:sz w:val="21"/>
          <w:lang w:eastAsia="zh-CN"/>
        </w:rPr>
      </w:pPr>
      <w:bookmarkStart w:id="176" w:name="OLE_LINK99"/>
      <w:r>
        <w:rPr>
          <w:rFonts w:hint="eastAsia" w:cs="Times New Roman"/>
          <w:b/>
          <w:bCs/>
          <w:color w:val="000000" w:themeColor="text1"/>
          <w:sz w:val="21"/>
          <w:lang w:eastAsia="zh-CN"/>
          <w14:textFill>
            <w14:solidFill>
              <w14:schemeClr w14:val="tx1"/>
            </w14:solidFill>
          </w14:textFill>
        </w:rPr>
        <w:t>6.7.1</w:t>
      </w:r>
      <w:bookmarkEnd w:id="176"/>
      <w:r>
        <w:rPr>
          <w:rFonts w:cs="Times New Roman"/>
          <w:snapToGrid/>
          <w:sz w:val="21"/>
          <w:lang w:eastAsia="zh-CN"/>
        </w:rPr>
        <w:t xml:space="preserve"> 进入施工现场水泥基材料应符合设计文件的规定，内衬材料进场应附有产品质量检测报告；当单项工程材料用量大于或等于 10t 时，应对进场材料的凝结时间、抗压强度、抗折强度和抗渗压力4项指标进行抽样复检，材料复检性能应符合本规程第4.8.2条、第4.8.3条的规定。</w:t>
      </w:r>
    </w:p>
    <w:p>
      <w:pPr>
        <w:ind w:firstLine="422"/>
        <w:rPr>
          <w:rFonts w:cs="Times New Roman"/>
          <w:color w:val="auto"/>
          <w:sz w:val="21"/>
          <w:lang w:eastAsia="zh-CN"/>
        </w:rPr>
      </w:pPr>
      <w:r>
        <w:rPr>
          <w:rFonts w:hint="eastAsia" w:cs="Times New Roman"/>
          <w:b/>
          <w:bCs/>
          <w:color w:val="000000" w:themeColor="text1"/>
          <w:sz w:val="21"/>
          <w:lang w:eastAsia="zh-CN"/>
          <w14:textFill>
            <w14:solidFill>
              <w14:schemeClr w14:val="tx1"/>
            </w14:solidFill>
          </w14:textFill>
        </w:rPr>
        <w:t>6.7.2</w:t>
      </w:r>
      <w:r>
        <w:rPr>
          <w:rFonts w:cs="Times New Roman"/>
          <w:b/>
          <w:bCs/>
          <w:snapToGrid/>
          <w:sz w:val="21"/>
          <w:lang w:eastAsia="zh-CN"/>
        </w:rPr>
        <w:t xml:space="preserve"> </w:t>
      </w:r>
      <w:bookmarkStart w:id="177" w:name="_Hlk196747744"/>
      <w:r>
        <w:rPr>
          <w:rFonts w:cs="Times New Roman"/>
          <w:snapToGrid/>
          <w:sz w:val="21"/>
          <w:lang w:eastAsia="zh-CN"/>
        </w:rPr>
        <w:t xml:space="preserve">内衬浆料应按材料供应商推荐的水料比搅拌，拌料用水应采用洁净的自来水，搅拌时间不宜少于3min；搅拌好的浆料应在45min内使用完，超过使用期的浆料不得再次使用。 </w:t>
      </w:r>
    </w:p>
    <w:bookmarkEnd w:id="177"/>
    <w:p>
      <w:pPr>
        <w:ind w:firstLine="420" w:firstLineChars="0"/>
        <w:rPr>
          <w:rFonts w:cs="Times New Roman"/>
          <w:snapToGrid/>
          <w:sz w:val="21"/>
          <w:lang w:eastAsia="zh-CN"/>
        </w:rPr>
      </w:pPr>
      <w:r>
        <w:rPr>
          <w:rFonts w:cs="Times New Roman"/>
          <w:b/>
          <w:bCs/>
          <w:snapToGrid/>
          <w:sz w:val="21"/>
          <w:lang w:eastAsia="zh-CN"/>
        </w:rPr>
        <w:t>6.7.</w:t>
      </w:r>
      <w:r>
        <w:rPr>
          <w:rFonts w:hint="eastAsia" w:cs="Times New Roman"/>
          <w:b/>
          <w:bCs/>
          <w:snapToGrid/>
          <w:sz w:val="21"/>
          <w:lang w:eastAsia="zh-CN"/>
        </w:rPr>
        <w:t>3</w:t>
      </w:r>
      <w:r>
        <w:rPr>
          <w:rFonts w:cs="Times New Roman"/>
          <w:snapToGrid/>
          <w:sz w:val="21"/>
          <w:lang w:eastAsia="zh-CN"/>
        </w:rPr>
        <w:t xml:space="preserve"> 喷涂施工前，应保证基底处于湿润状态，不得有明显水滴或流水；当环境温度低于0℃时，不宜进行喷涂施工；当施工环境温度高于35℃时，应采取降温措施。</w:t>
      </w:r>
    </w:p>
    <w:p>
      <w:pPr>
        <w:ind w:firstLine="422"/>
        <w:rPr>
          <w:rFonts w:cs="Times New Roman"/>
          <w:snapToGrid/>
          <w:sz w:val="21"/>
          <w:lang w:eastAsia="zh-CN"/>
        </w:rPr>
      </w:pPr>
      <w:r>
        <w:rPr>
          <w:rFonts w:cs="Times New Roman"/>
          <w:b/>
          <w:bCs/>
          <w:snapToGrid/>
          <w:sz w:val="21"/>
          <w:lang w:eastAsia="zh-CN"/>
        </w:rPr>
        <w:t>6.7.</w:t>
      </w:r>
      <w:r>
        <w:rPr>
          <w:rFonts w:hint="eastAsia" w:cs="Times New Roman"/>
          <w:b/>
          <w:bCs/>
          <w:snapToGrid/>
          <w:sz w:val="21"/>
          <w:lang w:eastAsia="zh-CN"/>
        </w:rPr>
        <w:t>4</w:t>
      </w:r>
      <w:r>
        <w:rPr>
          <w:rFonts w:cs="Times New Roman"/>
          <w:snapToGrid/>
          <w:sz w:val="21"/>
          <w:lang w:eastAsia="zh-CN"/>
        </w:rPr>
        <w:t xml:space="preserve"> 采用离心喷涂法修复检查井时，应按下列步骤进行：</w:t>
      </w:r>
    </w:p>
    <w:p>
      <w:pPr>
        <w:ind w:left="418" w:firstLine="422"/>
        <w:rPr>
          <w:rFonts w:cs="Times New Roman"/>
          <w:color w:val="auto"/>
          <w:sz w:val="21"/>
          <w:lang w:eastAsia="zh-CN"/>
        </w:rPr>
      </w:pPr>
      <w:r>
        <w:rPr>
          <w:rFonts w:cs="Times New Roman"/>
          <w:b/>
          <w:bCs/>
          <w:color w:val="auto"/>
          <w:sz w:val="21"/>
          <w:lang w:eastAsia="zh-CN"/>
        </w:rPr>
        <w:t>1</w:t>
      </w:r>
      <w:r>
        <w:rPr>
          <w:rFonts w:cs="Times New Roman"/>
          <w:color w:val="auto"/>
          <w:sz w:val="21"/>
          <w:lang w:eastAsia="zh-CN"/>
        </w:rPr>
        <w:t xml:space="preserve"> 按要求依次启动设备，待设备运行平稳后，按要求制备浆料；</w:t>
      </w:r>
    </w:p>
    <w:p>
      <w:pPr>
        <w:ind w:left="418" w:firstLine="422"/>
        <w:rPr>
          <w:rFonts w:cs="Times New Roman"/>
          <w:color w:val="auto"/>
          <w:sz w:val="21"/>
          <w:lang w:eastAsia="zh-CN"/>
        </w:rPr>
      </w:pPr>
      <w:r>
        <w:rPr>
          <w:rFonts w:cs="Times New Roman"/>
          <w:b/>
          <w:bCs/>
          <w:color w:val="auto"/>
          <w:sz w:val="21"/>
          <w:lang w:eastAsia="zh-CN"/>
        </w:rPr>
        <w:t>2</w:t>
      </w:r>
      <w:r>
        <w:rPr>
          <w:rFonts w:cs="Times New Roman"/>
          <w:color w:val="auto"/>
          <w:sz w:val="21"/>
          <w:lang w:eastAsia="zh-CN"/>
        </w:rPr>
        <w:t xml:space="preserve"> 将离心旋喷器居中置于井内，启动旋喷器待运行平稳后启动砂浆输送泵，待浆料从旋喷器均匀甩出后，操纵吊臂卷扬使旋喷器平稳下行至井底后切换方向提升旋喷器上升至井口完成一个喷涂回次，如此循环往复直至设计厚度；</w:t>
      </w:r>
    </w:p>
    <w:p>
      <w:pPr>
        <w:ind w:left="418" w:firstLine="422"/>
        <w:rPr>
          <w:rFonts w:cs="Times New Roman"/>
          <w:color w:val="auto"/>
          <w:sz w:val="21"/>
          <w:lang w:eastAsia="zh-CN"/>
          <w14:ligatures w14:val="standardContextual"/>
        </w:rPr>
      </w:pPr>
      <w:r>
        <w:rPr>
          <w:rFonts w:cs="Times New Roman"/>
          <w:b/>
          <w:bCs/>
          <w:color w:val="auto"/>
          <w:sz w:val="21"/>
          <w:lang w:eastAsia="zh-CN"/>
        </w:rPr>
        <w:t>3</w:t>
      </w:r>
      <w:r>
        <w:rPr>
          <w:rFonts w:cs="Times New Roman"/>
          <w:color w:val="auto"/>
          <w:sz w:val="21"/>
          <w:lang w:eastAsia="zh-CN"/>
        </w:rPr>
        <w:t xml:space="preserve"> 在离心喷涂过程中，旋喷器下放和提升速度宜使每回次的厚度达到1mm~3mm，通过多回次喷涂，从而确保内衬达到最好的密实度。</w:t>
      </w:r>
    </w:p>
    <w:p>
      <w:pPr>
        <w:ind w:firstLine="422"/>
        <w:rPr>
          <w:rFonts w:cs="Times New Roman"/>
          <w:snapToGrid/>
          <w:sz w:val="21"/>
          <w:lang w:eastAsia="zh-CN"/>
        </w:rPr>
      </w:pPr>
      <w:r>
        <w:rPr>
          <w:rFonts w:cs="Times New Roman"/>
          <w:b/>
          <w:bCs/>
          <w:snapToGrid/>
          <w:sz w:val="21"/>
          <w:lang w:eastAsia="zh-CN"/>
        </w:rPr>
        <w:t>6.7.</w:t>
      </w:r>
      <w:r>
        <w:rPr>
          <w:rFonts w:hint="eastAsia" w:cs="Times New Roman"/>
          <w:b/>
          <w:bCs/>
          <w:snapToGrid/>
          <w:sz w:val="21"/>
          <w:lang w:eastAsia="zh-CN"/>
        </w:rPr>
        <w:t>5</w:t>
      </w:r>
      <w:r>
        <w:rPr>
          <w:rFonts w:cs="Times New Roman"/>
          <w:b/>
          <w:bCs/>
          <w:snapToGrid/>
          <w:sz w:val="21"/>
          <w:lang w:eastAsia="zh-CN"/>
        </w:rPr>
        <w:t xml:space="preserve"> </w:t>
      </w:r>
      <w:r>
        <w:rPr>
          <w:rFonts w:cs="Times New Roman"/>
          <w:snapToGrid/>
          <w:sz w:val="21"/>
          <w:lang w:eastAsia="zh-CN"/>
        </w:rPr>
        <w:t>采用离心喷涂法修复管道时，应按下列步骤进行：</w:t>
      </w:r>
    </w:p>
    <w:p>
      <w:pPr>
        <w:ind w:left="420" w:firstLine="422"/>
        <w:rPr>
          <w:rFonts w:cs="Times New Roman"/>
          <w:snapToGrid/>
          <w:sz w:val="21"/>
          <w:lang w:eastAsia="zh-CN"/>
        </w:rPr>
      </w:pPr>
      <w:r>
        <w:rPr>
          <w:rFonts w:cs="Times New Roman"/>
          <w:b/>
          <w:bCs/>
          <w:snapToGrid/>
          <w:sz w:val="21"/>
          <w:lang w:eastAsia="zh-CN"/>
        </w:rPr>
        <w:t>1</w:t>
      </w:r>
      <w:r>
        <w:rPr>
          <w:rFonts w:cs="Times New Roman"/>
          <w:snapToGrid/>
          <w:sz w:val="21"/>
          <w:lang w:eastAsia="zh-CN"/>
        </w:rPr>
        <w:t xml:space="preserve"> 将旋喷器在机架固定后，摆设在待修复管段的末端部位，调整旋喷器轴线高度，连接料管和气管；根据管道实际尺寸及砂浆的泵送排量调节旋喷器的旋转速度；</w:t>
      </w:r>
    </w:p>
    <w:p>
      <w:pPr>
        <w:ind w:left="420" w:firstLine="422"/>
        <w:rPr>
          <w:rFonts w:cs="Times New Roman"/>
          <w:snapToGrid/>
          <w:sz w:val="21"/>
          <w:lang w:eastAsia="zh-CN"/>
        </w:rPr>
      </w:pPr>
      <w:r>
        <w:rPr>
          <w:rFonts w:cs="Times New Roman"/>
          <w:b/>
          <w:bCs/>
          <w:snapToGrid/>
          <w:sz w:val="21"/>
          <w:lang w:eastAsia="zh-CN"/>
        </w:rPr>
        <w:t>2</w:t>
      </w:r>
      <w:r>
        <w:rPr>
          <w:rFonts w:cs="Times New Roman"/>
          <w:snapToGrid/>
          <w:sz w:val="21"/>
          <w:lang w:eastAsia="zh-CN"/>
        </w:rPr>
        <w:t xml:space="preserve"> 根据管道直径，选用适宜的砂浆泵排量及旋喷器行走速度，控制每层喷涂厚度应在10mm~20mm。</w:t>
      </w:r>
    </w:p>
    <w:p>
      <w:pPr>
        <w:ind w:firstLine="422"/>
        <w:rPr>
          <w:rFonts w:cs="Times New Roman"/>
          <w:snapToGrid/>
          <w:sz w:val="21"/>
          <w:lang w:eastAsia="zh-CN"/>
        </w:rPr>
      </w:pPr>
      <w:r>
        <w:rPr>
          <w:rFonts w:cs="Times New Roman"/>
          <w:b/>
          <w:bCs/>
          <w:snapToGrid/>
          <w:sz w:val="21"/>
          <w:lang w:eastAsia="zh-CN"/>
        </w:rPr>
        <w:t>6.7</w:t>
      </w:r>
      <w:r>
        <w:rPr>
          <w:rFonts w:hint="eastAsia" w:cs="Times New Roman"/>
          <w:b/>
          <w:bCs/>
          <w:snapToGrid/>
          <w:sz w:val="21"/>
          <w:lang w:eastAsia="zh-CN"/>
        </w:rPr>
        <w:t>.6</w:t>
      </w:r>
      <w:r>
        <w:rPr>
          <w:rFonts w:cs="Times New Roman"/>
          <w:b/>
          <w:bCs/>
          <w:snapToGrid/>
          <w:sz w:val="21"/>
          <w:lang w:eastAsia="zh-CN"/>
        </w:rPr>
        <w:t xml:space="preserve"> </w:t>
      </w:r>
      <w:r>
        <w:rPr>
          <w:rFonts w:cs="Times New Roman"/>
          <w:snapToGrid/>
          <w:sz w:val="21"/>
          <w:lang w:eastAsia="zh-CN"/>
        </w:rPr>
        <w:t>采用人工喷涂法修复管道、检查井、各类箱涵和硐室时，应符合下列规定：</w:t>
      </w:r>
    </w:p>
    <w:p>
      <w:pPr>
        <w:ind w:left="418" w:firstLine="422"/>
        <w:rPr>
          <w:rFonts w:cs="Times New Roman"/>
          <w:snapToGrid/>
          <w:sz w:val="21"/>
          <w:lang w:eastAsia="zh-CN"/>
        </w:rPr>
      </w:pPr>
      <w:r>
        <w:rPr>
          <w:rFonts w:cs="Times New Roman"/>
          <w:b/>
          <w:bCs/>
          <w:snapToGrid/>
          <w:sz w:val="21"/>
          <w:lang w:eastAsia="zh-CN"/>
        </w:rPr>
        <w:t>1</w:t>
      </w:r>
      <w:r>
        <w:rPr>
          <w:rFonts w:cs="Times New Roman"/>
          <w:snapToGrid/>
          <w:sz w:val="21"/>
          <w:lang w:eastAsia="zh-CN"/>
        </w:rPr>
        <w:t xml:space="preserve"> 应先调节喷涂气压和浆量，浆料应均分散喷出；</w:t>
      </w:r>
    </w:p>
    <w:p>
      <w:pPr>
        <w:ind w:left="418" w:firstLine="422"/>
        <w:rPr>
          <w:rFonts w:cs="Times New Roman"/>
          <w:snapToGrid/>
          <w:sz w:val="21"/>
          <w:lang w:eastAsia="zh-CN"/>
        </w:rPr>
      </w:pPr>
      <w:r>
        <w:rPr>
          <w:rFonts w:cs="Times New Roman"/>
          <w:b/>
          <w:bCs/>
          <w:snapToGrid/>
          <w:sz w:val="21"/>
          <w:lang w:eastAsia="zh-CN"/>
        </w:rPr>
        <w:t>2</w:t>
      </w:r>
      <w:r>
        <w:rPr>
          <w:rFonts w:cs="Times New Roman"/>
          <w:snapToGrid/>
          <w:sz w:val="21"/>
          <w:lang w:eastAsia="zh-CN"/>
        </w:rPr>
        <w:t xml:space="preserve"> 应控制喷枪与基面距离，喷枪移动规律、平稳；</w:t>
      </w:r>
    </w:p>
    <w:p>
      <w:pPr>
        <w:ind w:left="418" w:firstLine="422"/>
        <w:rPr>
          <w:rFonts w:cs="Times New Roman"/>
          <w:snapToGrid/>
          <w:sz w:val="21"/>
          <w:lang w:eastAsia="zh-CN"/>
        </w:rPr>
      </w:pPr>
      <w:r>
        <w:rPr>
          <w:rFonts w:cs="Times New Roman"/>
          <w:b/>
          <w:bCs/>
          <w:snapToGrid/>
          <w:sz w:val="21"/>
          <w:lang w:eastAsia="zh-CN"/>
        </w:rPr>
        <w:t>3</w:t>
      </w:r>
      <w:r>
        <w:rPr>
          <w:rFonts w:cs="Times New Roman"/>
          <w:snapToGrid/>
          <w:sz w:val="21"/>
          <w:lang w:eastAsia="zh-CN"/>
        </w:rPr>
        <w:t xml:space="preserve"> 可一次或分多次喷涂到设计厚度，厚度超过20mm时，应多次完成；</w:t>
      </w:r>
    </w:p>
    <w:p>
      <w:pPr>
        <w:ind w:left="418" w:firstLine="422"/>
        <w:rPr>
          <w:rFonts w:cs="Times New Roman"/>
          <w:snapToGrid/>
          <w:sz w:val="21"/>
          <w:lang w:eastAsia="zh-CN"/>
        </w:rPr>
      </w:pPr>
      <w:r>
        <w:rPr>
          <w:rFonts w:cs="Times New Roman"/>
          <w:b/>
          <w:bCs/>
          <w:snapToGrid/>
          <w:sz w:val="21"/>
          <w:lang w:eastAsia="zh-CN"/>
        </w:rPr>
        <w:t>4</w:t>
      </w:r>
      <w:r>
        <w:rPr>
          <w:rFonts w:cs="Times New Roman"/>
          <w:snapToGrid/>
          <w:sz w:val="21"/>
          <w:lang w:eastAsia="zh-CN"/>
        </w:rPr>
        <w:t xml:space="preserve"> </w:t>
      </w:r>
      <w:bookmarkStart w:id="178" w:name="OLE_LINK110"/>
      <w:r>
        <w:rPr>
          <w:rFonts w:cs="Times New Roman"/>
          <w:snapToGrid/>
          <w:sz w:val="21"/>
          <w:lang w:eastAsia="zh-CN"/>
        </w:rPr>
        <w:t>喷涂</w:t>
      </w:r>
      <w:bookmarkEnd w:id="178"/>
      <w:r>
        <w:rPr>
          <w:rFonts w:cs="Times New Roman"/>
          <w:snapToGrid/>
          <w:sz w:val="21"/>
          <w:lang w:eastAsia="zh-CN"/>
        </w:rPr>
        <w:t>完成后，应将喷涂层抹平，同一部位不宜反复抹压。</w:t>
      </w:r>
    </w:p>
    <w:p>
      <w:pPr>
        <w:ind w:firstLine="422"/>
        <w:rPr>
          <w:rFonts w:cs="Times New Roman"/>
          <w:snapToGrid/>
          <w:sz w:val="21"/>
          <w:lang w:eastAsia="zh-CN"/>
        </w:rPr>
      </w:pPr>
      <w:r>
        <w:rPr>
          <w:rFonts w:cs="Times New Roman"/>
          <w:b/>
          <w:bCs/>
          <w:snapToGrid/>
          <w:sz w:val="21"/>
          <w:lang w:eastAsia="zh-CN"/>
        </w:rPr>
        <w:t>6.7.</w:t>
      </w:r>
      <w:r>
        <w:rPr>
          <w:rFonts w:hint="eastAsia" w:cs="Times New Roman"/>
          <w:b/>
          <w:bCs/>
          <w:snapToGrid/>
          <w:sz w:val="21"/>
          <w:lang w:eastAsia="zh-CN"/>
        </w:rPr>
        <w:t>7</w:t>
      </w:r>
      <w:r>
        <w:rPr>
          <w:rFonts w:cs="Times New Roman"/>
          <w:b/>
          <w:bCs/>
          <w:snapToGrid/>
          <w:sz w:val="21"/>
          <w:lang w:eastAsia="zh-CN"/>
        </w:rPr>
        <w:t xml:space="preserve"> </w:t>
      </w:r>
      <w:r>
        <w:rPr>
          <w:rFonts w:cs="Times New Roman"/>
          <w:snapToGrid/>
          <w:sz w:val="21"/>
          <w:lang w:eastAsia="zh-CN"/>
        </w:rPr>
        <w:t>检查井井底修复宜采用人工喷涂后压抹的方式，并底与井壁的结合处应做倒圆处理，并底内衬厚度不得小于20mm。</w:t>
      </w:r>
    </w:p>
    <w:p>
      <w:pPr>
        <w:ind w:firstLine="422"/>
        <w:rPr>
          <w:rFonts w:cs="Times New Roman"/>
          <w:snapToGrid/>
          <w:sz w:val="21"/>
          <w:lang w:eastAsia="zh-CN"/>
        </w:rPr>
      </w:pPr>
      <w:r>
        <w:rPr>
          <w:rFonts w:cs="Times New Roman"/>
          <w:b/>
          <w:bCs/>
          <w:snapToGrid/>
          <w:sz w:val="21"/>
          <w:lang w:eastAsia="zh-CN"/>
        </w:rPr>
        <w:t>6.7.</w:t>
      </w:r>
      <w:r>
        <w:rPr>
          <w:rFonts w:hint="eastAsia" w:cs="Times New Roman"/>
          <w:b/>
          <w:bCs/>
          <w:snapToGrid/>
          <w:sz w:val="21"/>
          <w:lang w:eastAsia="zh-CN"/>
        </w:rPr>
        <w:t>8</w:t>
      </w:r>
      <w:r>
        <w:rPr>
          <w:rFonts w:cs="Times New Roman"/>
          <w:snapToGrid/>
          <w:sz w:val="21"/>
          <w:lang w:eastAsia="zh-CN"/>
        </w:rPr>
        <w:t xml:space="preserve"> 采用水泥基材料喷涂法修复应符合下列规定：</w:t>
      </w:r>
    </w:p>
    <w:p>
      <w:pPr>
        <w:ind w:left="420" w:firstLine="422"/>
        <w:rPr>
          <w:rFonts w:cs="Times New Roman"/>
          <w:snapToGrid/>
          <w:sz w:val="21"/>
          <w:lang w:eastAsia="zh-CN"/>
        </w:rPr>
      </w:pPr>
      <w:r>
        <w:rPr>
          <w:rFonts w:cs="Times New Roman"/>
          <w:b/>
          <w:bCs/>
          <w:snapToGrid/>
          <w:sz w:val="21"/>
          <w:lang w:eastAsia="zh-CN"/>
        </w:rPr>
        <w:t>1</w:t>
      </w:r>
      <w:r>
        <w:rPr>
          <w:rFonts w:cs="Times New Roman"/>
          <w:snapToGrid/>
          <w:sz w:val="21"/>
          <w:lang w:eastAsia="zh-CN"/>
        </w:rPr>
        <w:t xml:space="preserve"> 若离心</w:t>
      </w:r>
      <w:r>
        <w:rPr>
          <w:rFonts w:hint="eastAsia" w:cs="Times New Roman"/>
          <w:snapToGrid/>
          <w:sz w:val="21"/>
          <w:lang w:eastAsia="zh-CN"/>
        </w:rPr>
        <w:t>喷涂</w:t>
      </w:r>
      <w:r>
        <w:rPr>
          <w:rFonts w:cs="Times New Roman"/>
          <w:snapToGrid/>
          <w:sz w:val="21"/>
          <w:lang w:eastAsia="zh-CN"/>
        </w:rPr>
        <w:t>过程因故中断，只需等待故障排除后重新启动旋喷器继续</w:t>
      </w:r>
      <w:r>
        <w:rPr>
          <w:rFonts w:hint="eastAsia" w:cs="Times New Roman"/>
          <w:snapToGrid/>
          <w:sz w:val="21"/>
          <w:lang w:eastAsia="zh-CN"/>
        </w:rPr>
        <w:t>喷涂</w:t>
      </w:r>
      <w:r>
        <w:rPr>
          <w:rFonts w:cs="Times New Roman"/>
          <w:snapToGrid/>
          <w:sz w:val="21"/>
          <w:lang w:eastAsia="zh-CN"/>
        </w:rPr>
        <w:t>即可；若故障排除时间超过30min，则应将</w:t>
      </w:r>
      <w:r>
        <w:rPr>
          <w:rFonts w:hint="eastAsia" w:cs="Times New Roman"/>
          <w:snapToGrid/>
          <w:sz w:val="21"/>
          <w:lang w:eastAsia="zh-CN"/>
        </w:rPr>
        <w:t>喷涂</w:t>
      </w:r>
      <w:r>
        <w:rPr>
          <w:rFonts w:cs="Times New Roman"/>
          <w:snapToGrid/>
          <w:sz w:val="21"/>
          <w:lang w:eastAsia="zh-CN"/>
        </w:rPr>
        <w:t>机和料管内剩余的内衬浆料清出并清洗设备；</w:t>
      </w:r>
    </w:p>
    <w:p>
      <w:pPr>
        <w:ind w:left="418" w:firstLine="422"/>
        <w:rPr>
          <w:rFonts w:cs="Times New Roman"/>
          <w:snapToGrid/>
          <w:sz w:val="21"/>
          <w:lang w:eastAsia="zh-CN"/>
        </w:rPr>
      </w:pPr>
      <w:r>
        <w:rPr>
          <w:rFonts w:cs="Times New Roman"/>
          <w:b/>
          <w:bCs/>
          <w:snapToGrid/>
          <w:sz w:val="21"/>
          <w:lang w:eastAsia="zh-CN"/>
        </w:rPr>
        <w:t>2</w:t>
      </w:r>
      <w:r>
        <w:rPr>
          <w:rFonts w:cs="Times New Roman"/>
          <w:snapToGrid/>
          <w:sz w:val="21"/>
          <w:lang w:eastAsia="zh-CN"/>
        </w:rPr>
        <w:t xml:space="preserve"> 离心</w:t>
      </w:r>
      <w:r>
        <w:rPr>
          <w:rFonts w:hint="eastAsia" w:cs="Times New Roman"/>
          <w:snapToGrid/>
          <w:sz w:val="21"/>
          <w:lang w:eastAsia="zh-CN"/>
        </w:rPr>
        <w:t>喷涂</w:t>
      </w:r>
      <w:r>
        <w:rPr>
          <w:rFonts w:cs="Times New Roman"/>
          <w:snapToGrid/>
          <w:sz w:val="21"/>
          <w:lang w:eastAsia="zh-CN"/>
        </w:rPr>
        <w:t>到管道或检查井内壁的内衬应均匀、平整；</w:t>
      </w:r>
    </w:p>
    <w:p>
      <w:pPr>
        <w:ind w:left="418" w:firstLine="422"/>
        <w:rPr>
          <w:rFonts w:cs="Times New Roman"/>
          <w:snapToGrid/>
          <w:sz w:val="21"/>
          <w:lang w:eastAsia="zh-CN"/>
        </w:rPr>
      </w:pPr>
      <w:r>
        <w:rPr>
          <w:rFonts w:cs="Times New Roman"/>
          <w:b/>
          <w:bCs/>
          <w:snapToGrid/>
          <w:sz w:val="21"/>
          <w:lang w:eastAsia="zh-CN"/>
        </w:rPr>
        <w:t>3</w:t>
      </w:r>
      <w:r>
        <w:rPr>
          <w:rFonts w:cs="Times New Roman"/>
          <w:snapToGrid/>
          <w:sz w:val="21"/>
          <w:lang w:eastAsia="zh-CN"/>
        </w:rPr>
        <w:t xml:space="preserve"> 内衬</w:t>
      </w:r>
      <w:r>
        <w:rPr>
          <w:rFonts w:hint="eastAsia" w:cs="Times New Roman"/>
          <w:snapToGrid/>
          <w:sz w:val="21"/>
          <w:lang w:eastAsia="zh-CN"/>
        </w:rPr>
        <w:t>喷涂</w:t>
      </w:r>
      <w:r>
        <w:rPr>
          <w:rFonts w:cs="Times New Roman"/>
          <w:snapToGrid/>
          <w:sz w:val="21"/>
          <w:lang w:eastAsia="zh-CN"/>
        </w:rPr>
        <w:t>完成后，宜保留内衬原始形态，可根据要求对表面进行压抹，同一部位不得反复压抹；</w:t>
      </w:r>
    </w:p>
    <w:p>
      <w:pPr>
        <w:ind w:left="418" w:firstLine="422"/>
        <w:rPr>
          <w:rFonts w:cs="Times New Roman"/>
          <w:snapToGrid/>
          <w:sz w:val="21"/>
          <w:lang w:eastAsia="zh-CN"/>
        </w:rPr>
      </w:pPr>
      <w:r>
        <w:rPr>
          <w:rFonts w:cs="Times New Roman"/>
          <w:b/>
          <w:bCs/>
          <w:snapToGrid/>
          <w:sz w:val="21"/>
          <w:lang w:eastAsia="zh-CN"/>
        </w:rPr>
        <w:t>4</w:t>
      </w:r>
      <w:r>
        <w:rPr>
          <w:rFonts w:cs="Times New Roman"/>
          <w:snapToGrid/>
          <w:sz w:val="21"/>
          <w:lang w:eastAsia="zh-CN"/>
        </w:rPr>
        <w:t xml:space="preserve"> 砂浆内衬的最小厚度不应小于 10mm。</w:t>
      </w:r>
    </w:p>
    <w:p>
      <w:pPr>
        <w:ind w:firstLine="422"/>
        <w:rPr>
          <w:rFonts w:cs="Times New Roman"/>
          <w:snapToGrid/>
          <w:sz w:val="21"/>
          <w:lang w:eastAsia="zh-CN"/>
        </w:rPr>
      </w:pPr>
      <w:r>
        <w:rPr>
          <w:rFonts w:cs="Times New Roman"/>
          <w:b/>
          <w:bCs/>
          <w:snapToGrid/>
          <w:sz w:val="21"/>
          <w:lang w:eastAsia="zh-CN"/>
        </w:rPr>
        <w:t>6.7.</w:t>
      </w:r>
      <w:r>
        <w:rPr>
          <w:rFonts w:hint="eastAsia" w:cs="Times New Roman"/>
          <w:b/>
          <w:bCs/>
          <w:snapToGrid/>
          <w:sz w:val="21"/>
          <w:lang w:eastAsia="zh-CN"/>
        </w:rPr>
        <w:t>9</w:t>
      </w:r>
      <w:r>
        <w:rPr>
          <w:rFonts w:cs="Times New Roman"/>
          <w:snapToGrid/>
          <w:sz w:val="21"/>
          <w:lang w:eastAsia="zh-CN"/>
        </w:rPr>
        <w:t xml:space="preserve"> 水泥基材料施工完成后6h内不宜受激烈的水流冲刷，检查井修复后12h内，并盖应避免受到车辆的碾压或冲击振动。</w:t>
      </w:r>
    </w:p>
    <w:p>
      <w:pPr>
        <w:ind w:firstLine="422"/>
        <w:rPr>
          <w:rFonts w:cs="Times New Roman"/>
          <w:snapToGrid/>
          <w:sz w:val="21"/>
          <w:lang w:eastAsia="zh-CN"/>
        </w:rPr>
      </w:pPr>
      <w:r>
        <w:rPr>
          <w:rFonts w:cs="Times New Roman"/>
          <w:b/>
          <w:bCs/>
          <w:snapToGrid/>
          <w:sz w:val="21"/>
          <w:lang w:eastAsia="zh-CN"/>
        </w:rPr>
        <w:t>6.7.</w:t>
      </w:r>
      <w:r>
        <w:rPr>
          <w:rFonts w:hint="eastAsia" w:cs="Times New Roman"/>
          <w:b/>
          <w:bCs/>
          <w:snapToGrid/>
          <w:sz w:val="21"/>
          <w:lang w:eastAsia="zh-CN"/>
        </w:rPr>
        <w:t>10</w:t>
      </w:r>
      <w:r>
        <w:rPr>
          <w:rFonts w:cs="Times New Roman"/>
          <w:snapToGrid/>
          <w:sz w:val="21"/>
          <w:lang w:eastAsia="zh-CN"/>
        </w:rPr>
        <w:t xml:space="preserve"> 内衬应在无风、潮湿的环境下养护。</w:t>
      </w:r>
    </w:p>
    <w:p>
      <w:pPr>
        <w:ind w:firstLine="422"/>
        <w:rPr>
          <w:rFonts w:cs="Times New Roman"/>
          <w:snapToGrid/>
          <w:sz w:val="21"/>
          <w:lang w:eastAsia="zh-CN"/>
        </w:rPr>
      </w:pPr>
      <w:r>
        <w:rPr>
          <w:rFonts w:cs="Times New Roman"/>
          <w:b/>
          <w:bCs/>
          <w:snapToGrid/>
          <w:sz w:val="21"/>
          <w:lang w:eastAsia="zh-CN"/>
        </w:rPr>
        <w:t>6.7.1</w:t>
      </w:r>
      <w:r>
        <w:rPr>
          <w:rFonts w:hint="eastAsia" w:cs="Times New Roman"/>
          <w:b/>
          <w:bCs/>
          <w:snapToGrid/>
          <w:sz w:val="21"/>
          <w:lang w:eastAsia="zh-CN"/>
        </w:rPr>
        <w:t>1</w:t>
      </w:r>
      <w:r>
        <w:rPr>
          <w:rFonts w:cs="Times New Roman"/>
          <w:b/>
          <w:bCs/>
          <w:snapToGrid/>
          <w:sz w:val="21"/>
          <w:lang w:eastAsia="zh-CN"/>
        </w:rPr>
        <w:t xml:space="preserve"> </w:t>
      </w:r>
      <w:r>
        <w:rPr>
          <w:rFonts w:cs="Times New Roman"/>
          <w:snapToGrid/>
          <w:sz w:val="21"/>
          <w:lang w:eastAsia="zh-CN"/>
        </w:rPr>
        <w:t>在施工过程及施工后的 24h内，内衬砂浆不应结冰。</w:t>
      </w:r>
    </w:p>
    <w:p>
      <w:pPr>
        <w:ind w:firstLine="420"/>
        <w:jc w:val="center"/>
        <w:rPr>
          <w:rFonts w:cs="Times New Roman"/>
          <w:snapToGrid/>
          <w:sz w:val="21"/>
          <w:lang w:eastAsia="zh-CN"/>
        </w:rPr>
      </w:pPr>
      <w:r>
        <w:rPr>
          <w:rFonts w:cs="Times New Roman"/>
          <w:snapToGrid/>
          <w:sz w:val="21"/>
          <w:lang w:eastAsia="zh-CN"/>
        </w:rPr>
        <w:t>Ⅱ 高分子材料喷涂法</w:t>
      </w:r>
    </w:p>
    <w:p>
      <w:pPr>
        <w:ind w:firstLine="422"/>
        <w:rPr>
          <w:rFonts w:cs="Times New Roman"/>
          <w:snapToGrid/>
          <w:sz w:val="21"/>
          <w:lang w:eastAsia="zh-CN"/>
        </w:rPr>
      </w:pPr>
      <w:r>
        <w:rPr>
          <w:rFonts w:cs="Times New Roman"/>
          <w:b/>
          <w:bCs/>
          <w:snapToGrid/>
          <w:sz w:val="21"/>
          <w:lang w:eastAsia="zh-CN"/>
        </w:rPr>
        <w:t>6.7.1</w:t>
      </w:r>
      <w:r>
        <w:rPr>
          <w:rFonts w:hint="eastAsia" w:cs="Times New Roman"/>
          <w:b/>
          <w:bCs/>
          <w:snapToGrid/>
          <w:sz w:val="21"/>
          <w:lang w:eastAsia="zh-CN"/>
        </w:rPr>
        <w:t>2</w:t>
      </w:r>
      <w:r>
        <w:rPr>
          <w:rFonts w:cs="Times New Roman"/>
          <w:snapToGrid/>
          <w:sz w:val="21"/>
          <w:lang w:eastAsia="zh-CN"/>
        </w:rPr>
        <w:t xml:space="preserve"> 喷涂作业前应充分搅拌B料。</w:t>
      </w:r>
      <w:r>
        <w:rPr>
          <w:rFonts w:hint="eastAsia" w:cs="Times New Roman"/>
          <w:snapToGrid/>
          <w:sz w:val="21"/>
          <w:lang w:eastAsia="zh-CN"/>
        </w:rPr>
        <w:t>严禁</w:t>
      </w:r>
      <w:r>
        <w:rPr>
          <w:rFonts w:cs="Times New Roman"/>
          <w:snapToGrid/>
          <w:sz w:val="21"/>
          <w:lang w:eastAsia="zh-CN"/>
        </w:rPr>
        <w:t>现场随意向A料和B料中添加任何物质。严禁混淆A料和B料的进料系统</w:t>
      </w:r>
      <w:r>
        <w:rPr>
          <w:rFonts w:hint="eastAsia" w:cs="Times New Roman"/>
          <w:snapToGrid/>
          <w:sz w:val="21"/>
          <w:lang w:eastAsia="zh-CN"/>
        </w:rPr>
        <w:t>。</w:t>
      </w:r>
    </w:p>
    <w:p>
      <w:pPr>
        <w:ind w:firstLine="422"/>
        <w:rPr>
          <w:rFonts w:cs="Times New Roman"/>
          <w:snapToGrid/>
          <w:sz w:val="21"/>
          <w:lang w:eastAsia="zh-CN"/>
        </w:rPr>
      </w:pPr>
      <w:r>
        <w:rPr>
          <w:rFonts w:cs="Times New Roman"/>
          <w:b/>
          <w:bCs/>
          <w:snapToGrid/>
          <w:sz w:val="21"/>
          <w:lang w:eastAsia="zh-CN"/>
        </w:rPr>
        <w:t>6.7.1</w:t>
      </w:r>
      <w:r>
        <w:rPr>
          <w:rFonts w:hint="eastAsia" w:cs="Times New Roman"/>
          <w:b/>
          <w:bCs/>
          <w:snapToGrid/>
          <w:sz w:val="21"/>
          <w:lang w:eastAsia="zh-CN"/>
        </w:rPr>
        <w:t>3</w:t>
      </w:r>
      <w:r>
        <w:rPr>
          <w:rFonts w:cs="Times New Roman"/>
          <w:snapToGrid/>
          <w:sz w:val="21"/>
          <w:lang w:eastAsia="zh-CN"/>
        </w:rPr>
        <w:t xml:space="preserve"> 喷涂应采用专用设备。</w:t>
      </w:r>
      <w:r>
        <w:rPr>
          <w:rFonts w:hint="eastAsia" w:cs="Times New Roman"/>
          <w:snapToGrid/>
          <w:sz w:val="21"/>
          <w:lang w:eastAsia="zh-CN"/>
        </w:rPr>
        <w:t>喷涂</w:t>
      </w:r>
      <w:r>
        <w:rPr>
          <w:rFonts w:cs="Times New Roman"/>
          <w:snapToGrid/>
          <w:sz w:val="21"/>
          <w:lang w:eastAsia="zh-CN"/>
        </w:rPr>
        <w:t>作业前，应在施工现场先喷涂一块200mm</w:t>
      </w:r>
      <w:r>
        <w:rPr>
          <w:rFonts w:hint="eastAsia" w:cs="Times New Roman"/>
          <w:snapToGrid/>
          <w:sz w:val="21"/>
          <w:lang w:eastAsia="zh-CN"/>
        </w:rPr>
        <w:t>×</w:t>
      </w:r>
      <w:r>
        <w:rPr>
          <w:rFonts w:cs="Times New Roman"/>
          <w:snapToGrid/>
          <w:sz w:val="21"/>
          <w:lang w:eastAsia="zh-CN"/>
        </w:rPr>
        <w:t>400mm、厚度不小于3mm的样片，并由施工技术主管人员进行外观质量评价并留样备查。当涂层外观质量达到要求后，方可确定工艺参数并开始喷涂作业。</w:t>
      </w:r>
    </w:p>
    <w:p>
      <w:pPr>
        <w:ind w:firstLine="422"/>
        <w:rPr>
          <w:rFonts w:cs="Times New Roman"/>
          <w:snapToGrid/>
          <w:sz w:val="21"/>
          <w:lang w:eastAsia="zh-CN"/>
        </w:rPr>
      </w:pPr>
      <w:r>
        <w:rPr>
          <w:rFonts w:cs="Times New Roman"/>
          <w:b/>
          <w:bCs/>
          <w:snapToGrid/>
          <w:sz w:val="21"/>
          <w:lang w:eastAsia="zh-CN"/>
        </w:rPr>
        <w:t>6.7.1</w:t>
      </w:r>
      <w:r>
        <w:rPr>
          <w:rFonts w:hint="eastAsia" w:cs="Times New Roman"/>
          <w:b/>
          <w:bCs/>
          <w:snapToGrid/>
          <w:sz w:val="21"/>
          <w:lang w:eastAsia="zh-CN"/>
        </w:rPr>
        <w:t>4</w:t>
      </w:r>
      <w:r>
        <w:rPr>
          <w:rFonts w:cs="Times New Roman"/>
          <w:snapToGrid/>
          <w:sz w:val="21"/>
          <w:lang w:eastAsia="zh-CN"/>
        </w:rPr>
        <w:t xml:space="preserve"> 喷涂作业应符合下列规定：</w:t>
      </w:r>
    </w:p>
    <w:p>
      <w:pPr>
        <w:ind w:left="418" w:firstLine="422"/>
        <w:rPr>
          <w:rFonts w:cs="Times New Roman"/>
          <w:snapToGrid/>
          <w:sz w:val="21"/>
          <w:lang w:eastAsia="zh-CN"/>
        </w:rPr>
      </w:pPr>
      <w:r>
        <w:rPr>
          <w:rFonts w:cs="Times New Roman"/>
          <w:b/>
          <w:bCs/>
          <w:snapToGrid/>
          <w:sz w:val="21"/>
          <w:lang w:eastAsia="zh-CN"/>
        </w:rPr>
        <w:t>1</w:t>
      </w:r>
      <w:r>
        <w:rPr>
          <w:rFonts w:cs="Times New Roman"/>
          <w:snapToGrid/>
          <w:sz w:val="21"/>
          <w:lang w:eastAsia="zh-CN"/>
        </w:rPr>
        <w:t xml:space="preserve"> 喷枪宜垂直于基层，距离基层宜为600mm；</w:t>
      </w:r>
    </w:p>
    <w:p>
      <w:pPr>
        <w:ind w:left="418" w:firstLine="422"/>
        <w:rPr>
          <w:rFonts w:cs="Times New Roman"/>
          <w:snapToGrid/>
          <w:sz w:val="21"/>
          <w:lang w:eastAsia="zh-CN"/>
        </w:rPr>
      </w:pPr>
      <w:r>
        <w:rPr>
          <w:rFonts w:cs="Times New Roman"/>
          <w:b/>
          <w:bCs/>
          <w:snapToGrid/>
          <w:sz w:val="21"/>
          <w:lang w:eastAsia="zh-CN"/>
        </w:rPr>
        <w:t xml:space="preserve">2 </w:t>
      </w:r>
      <w:r>
        <w:rPr>
          <w:rFonts w:cs="Times New Roman"/>
          <w:snapToGrid/>
          <w:sz w:val="21"/>
          <w:lang w:eastAsia="zh-CN"/>
        </w:rPr>
        <w:t>喷枪工作时应匀速移动；</w:t>
      </w:r>
    </w:p>
    <w:p>
      <w:pPr>
        <w:ind w:left="418" w:firstLine="422"/>
        <w:rPr>
          <w:rFonts w:cs="Times New Roman"/>
          <w:snapToGrid/>
          <w:sz w:val="21"/>
          <w:lang w:eastAsia="zh-CN"/>
        </w:rPr>
      </w:pPr>
      <w:r>
        <w:rPr>
          <w:rFonts w:cs="Times New Roman"/>
          <w:b/>
          <w:bCs/>
          <w:snapToGrid/>
          <w:sz w:val="21"/>
          <w:lang w:eastAsia="zh-CN"/>
        </w:rPr>
        <w:t>3</w:t>
      </w:r>
      <w:r>
        <w:rPr>
          <w:rFonts w:cs="Times New Roman"/>
          <w:snapToGrid/>
          <w:sz w:val="21"/>
          <w:lang w:eastAsia="zh-CN"/>
        </w:rPr>
        <w:t xml:space="preserve"> 应按照先细部后整体的顺序连续作业，一次多遍、交叉喷涂至设计要求的厚度。</w:t>
      </w:r>
    </w:p>
    <w:p>
      <w:pPr>
        <w:ind w:firstLine="422"/>
        <w:rPr>
          <w:rFonts w:cs="Times New Roman"/>
          <w:snapToGrid/>
          <w:sz w:val="21"/>
          <w:lang w:eastAsia="zh-CN"/>
        </w:rPr>
      </w:pPr>
      <w:r>
        <w:rPr>
          <w:rFonts w:cs="Times New Roman"/>
          <w:b/>
          <w:bCs/>
          <w:snapToGrid/>
          <w:sz w:val="21"/>
          <w:lang w:eastAsia="zh-CN"/>
        </w:rPr>
        <w:t>6.7.1</w:t>
      </w:r>
      <w:r>
        <w:rPr>
          <w:rFonts w:hint="eastAsia" w:cs="Times New Roman"/>
          <w:b/>
          <w:bCs/>
          <w:snapToGrid/>
          <w:sz w:val="21"/>
          <w:lang w:eastAsia="zh-CN"/>
        </w:rPr>
        <w:t>5</w:t>
      </w:r>
      <w:r>
        <w:rPr>
          <w:rFonts w:cs="Times New Roman"/>
          <w:snapToGrid/>
          <w:sz w:val="21"/>
          <w:lang w:eastAsia="zh-CN"/>
        </w:rPr>
        <w:t xml:space="preserve"> 当出现异常情况时，应立即停止作业，经检查并排除故障后方可继续作业。</w:t>
      </w:r>
    </w:p>
    <w:p>
      <w:pPr>
        <w:ind w:firstLine="422"/>
        <w:rPr>
          <w:rFonts w:cs="Times New Roman"/>
          <w:snapToGrid/>
          <w:sz w:val="21"/>
          <w:lang w:eastAsia="zh-CN"/>
        </w:rPr>
      </w:pPr>
      <w:r>
        <w:rPr>
          <w:rFonts w:cs="Times New Roman"/>
          <w:b/>
          <w:bCs/>
          <w:snapToGrid/>
          <w:sz w:val="21"/>
          <w:lang w:eastAsia="zh-CN"/>
        </w:rPr>
        <w:t>6.7.1</w:t>
      </w:r>
      <w:r>
        <w:rPr>
          <w:rFonts w:hint="eastAsia" w:cs="Times New Roman"/>
          <w:b/>
          <w:bCs/>
          <w:snapToGrid/>
          <w:sz w:val="21"/>
          <w:lang w:eastAsia="zh-CN"/>
        </w:rPr>
        <w:t>6</w:t>
      </w:r>
      <w:r>
        <w:rPr>
          <w:rFonts w:cs="Times New Roman"/>
          <w:snapToGrid/>
          <w:sz w:val="21"/>
          <w:lang w:eastAsia="zh-CN"/>
        </w:rPr>
        <w:t xml:space="preserve"> 每个作业班次应做好现场施工工艺记录，施工工艺记录应包括下列内容：</w:t>
      </w:r>
    </w:p>
    <w:p>
      <w:pPr>
        <w:ind w:left="418" w:firstLine="422"/>
        <w:rPr>
          <w:rFonts w:cs="Times New Roman"/>
          <w:snapToGrid/>
          <w:sz w:val="21"/>
          <w:lang w:eastAsia="zh-CN"/>
        </w:rPr>
      </w:pPr>
      <w:r>
        <w:rPr>
          <w:rFonts w:cs="Times New Roman"/>
          <w:b/>
          <w:bCs/>
          <w:snapToGrid/>
          <w:sz w:val="21"/>
          <w:lang w:eastAsia="zh-CN"/>
        </w:rPr>
        <w:t>1</w:t>
      </w:r>
      <w:r>
        <w:rPr>
          <w:rFonts w:cs="Times New Roman"/>
          <w:snapToGrid/>
          <w:sz w:val="21"/>
          <w:lang w:eastAsia="zh-CN"/>
        </w:rPr>
        <w:t xml:space="preserve"> 施工的时间、地点和工程项目名称；</w:t>
      </w:r>
    </w:p>
    <w:p>
      <w:pPr>
        <w:ind w:left="418" w:firstLine="422"/>
        <w:rPr>
          <w:rFonts w:cs="Times New Roman"/>
          <w:snapToGrid/>
          <w:sz w:val="21"/>
          <w:lang w:eastAsia="zh-CN"/>
        </w:rPr>
      </w:pPr>
      <w:r>
        <w:rPr>
          <w:rFonts w:cs="Times New Roman"/>
          <w:b/>
          <w:bCs/>
          <w:snapToGrid/>
          <w:sz w:val="21"/>
          <w:lang w:eastAsia="zh-CN"/>
        </w:rPr>
        <w:t>2</w:t>
      </w:r>
      <w:r>
        <w:rPr>
          <w:rFonts w:cs="Times New Roman"/>
          <w:snapToGrid/>
          <w:sz w:val="21"/>
          <w:lang w:eastAsia="zh-CN"/>
        </w:rPr>
        <w:t xml:space="preserve"> 环境温度、湿度、露点；</w:t>
      </w:r>
    </w:p>
    <w:p>
      <w:pPr>
        <w:ind w:left="418" w:firstLine="422"/>
        <w:rPr>
          <w:rFonts w:cs="Times New Roman"/>
          <w:snapToGrid/>
          <w:sz w:val="21"/>
          <w:lang w:eastAsia="zh-CN"/>
        </w:rPr>
      </w:pPr>
      <w:r>
        <w:rPr>
          <w:rFonts w:cs="Times New Roman"/>
          <w:b/>
          <w:bCs/>
          <w:snapToGrid/>
          <w:sz w:val="21"/>
          <w:lang w:eastAsia="zh-CN"/>
        </w:rPr>
        <w:t>3</w:t>
      </w:r>
      <w:r>
        <w:rPr>
          <w:rFonts w:cs="Times New Roman"/>
          <w:snapToGrid/>
          <w:sz w:val="21"/>
          <w:lang w:eastAsia="zh-CN"/>
        </w:rPr>
        <w:t xml:space="preserve"> 打开包装时 A料、B料的状态；</w:t>
      </w:r>
    </w:p>
    <w:p>
      <w:pPr>
        <w:ind w:left="418" w:firstLine="422"/>
        <w:rPr>
          <w:rFonts w:cs="Times New Roman"/>
          <w:snapToGrid/>
          <w:sz w:val="21"/>
          <w:lang w:eastAsia="zh-CN"/>
        </w:rPr>
      </w:pPr>
      <w:r>
        <w:rPr>
          <w:rFonts w:cs="Times New Roman"/>
          <w:b/>
          <w:bCs/>
          <w:snapToGrid/>
          <w:sz w:val="21"/>
          <w:lang w:eastAsia="zh-CN"/>
        </w:rPr>
        <w:t>4</w:t>
      </w:r>
      <w:r>
        <w:rPr>
          <w:rFonts w:cs="Times New Roman"/>
          <w:snapToGrid/>
          <w:sz w:val="21"/>
          <w:lang w:eastAsia="zh-CN"/>
        </w:rPr>
        <w:t xml:space="preserve"> 喷涂作业时A料、B料的温度和压力；</w:t>
      </w:r>
    </w:p>
    <w:p>
      <w:pPr>
        <w:ind w:left="418" w:firstLine="422"/>
        <w:rPr>
          <w:rFonts w:cs="Times New Roman"/>
          <w:snapToGrid/>
          <w:sz w:val="21"/>
          <w:lang w:eastAsia="zh-CN"/>
        </w:rPr>
      </w:pPr>
      <w:r>
        <w:rPr>
          <w:rFonts w:cs="Times New Roman"/>
          <w:b/>
          <w:bCs/>
          <w:snapToGrid/>
          <w:sz w:val="21"/>
          <w:lang w:eastAsia="zh-CN"/>
        </w:rPr>
        <w:t>5</w:t>
      </w:r>
      <w:r>
        <w:rPr>
          <w:rFonts w:cs="Times New Roman"/>
          <w:snapToGrid/>
          <w:sz w:val="21"/>
          <w:lang w:eastAsia="zh-CN"/>
        </w:rPr>
        <w:t xml:space="preserve"> 材料及施工的异常状况；</w:t>
      </w:r>
    </w:p>
    <w:p>
      <w:pPr>
        <w:ind w:left="418" w:firstLine="422"/>
        <w:rPr>
          <w:rFonts w:cs="Times New Roman"/>
          <w:snapToGrid/>
          <w:sz w:val="21"/>
          <w:lang w:eastAsia="zh-CN"/>
        </w:rPr>
      </w:pPr>
      <w:r>
        <w:rPr>
          <w:rFonts w:cs="Times New Roman"/>
          <w:b/>
          <w:bCs/>
          <w:snapToGrid/>
          <w:sz w:val="21"/>
          <w:lang w:eastAsia="zh-CN"/>
        </w:rPr>
        <w:t>6</w:t>
      </w:r>
      <w:r>
        <w:rPr>
          <w:rFonts w:cs="Times New Roman"/>
          <w:snapToGrid/>
          <w:sz w:val="21"/>
          <w:lang w:eastAsia="zh-CN"/>
        </w:rPr>
        <w:t xml:space="preserve"> 施工完成的面积；</w:t>
      </w:r>
    </w:p>
    <w:p>
      <w:pPr>
        <w:ind w:left="418" w:firstLine="422"/>
        <w:rPr>
          <w:rFonts w:cs="Times New Roman"/>
          <w:snapToGrid/>
          <w:sz w:val="21"/>
          <w:lang w:eastAsia="zh-CN"/>
        </w:rPr>
      </w:pPr>
      <w:r>
        <w:rPr>
          <w:rFonts w:cs="Times New Roman"/>
          <w:b/>
          <w:bCs/>
          <w:snapToGrid/>
          <w:sz w:val="21"/>
          <w:lang w:eastAsia="zh-CN"/>
        </w:rPr>
        <w:t>7</w:t>
      </w:r>
      <w:r>
        <w:rPr>
          <w:rFonts w:cs="Times New Roman"/>
          <w:snapToGrid/>
          <w:sz w:val="21"/>
          <w:lang w:eastAsia="zh-CN"/>
        </w:rPr>
        <w:t xml:space="preserve"> 各项材料的用量。</w:t>
      </w:r>
    </w:p>
    <w:p>
      <w:pPr>
        <w:ind w:firstLine="422"/>
        <w:rPr>
          <w:rFonts w:cs="Times New Roman"/>
          <w:snapToGrid/>
          <w:sz w:val="21"/>
          <w:lang w:eastAsia="zh-CN"/>
        </w:rPr>
      </w:pPr>
      <w:r>
        <w:rPr>
          <w:rFonts w:cs="Times New Roman"/>
          <w:b/>
          <w:bCs/>
          <w:snapToGrid/>
          <w:sz w:val="21"/>
          <w:lang w:eastAsia="zh-CN"/>
        </w:rPr>
        <w:t>6.7.1</w:t>
      </w:r>
      <w:r>
        <w:rPr>
          <w:rFonts w:hint="eastAsia" w:cs="Times New Roman"/>
          <w:b/>
          <w:bCs/>
          <w:snapToGrid/>
          <w:sz w:val="21"/>
          <w:lang w:eastAsia="zh-CN"/>
        </w:rPr>
        <w:t>7</w:t>
      </w:r>
      <w:r>
        <w:rPr>
          <w:rFonts w:cs="Times New Roman"/>
          <w:snapToGrid/>
          <w:sz w:val="21"/>
          <w:lang w:eastAsia="zh-CN"/>
        </w:rPr>
        <w:t xml:space="preserve"> 喷涂作业完毕后，应按使用说明书的要求检查和清理机械设备，并应妥善处理剩余物料。</w:t>
      </w:r>
    </w:p>
    <w:p>
      <w:pPr>
        <w:ind w:firstLine="422"/>
        <w:rPr>
          <w:rFonts w:cs="Times New Roman"/>
          <w:snapToGrid/>
          <w:sz w:val="21"/>
          <w:lang w:eastAsia="zh-CN"/>
        </w:rPr>
      </w:pPr>
      <w:r>
        <w:rPr>
          <w:rFonts w:cs="Times New Roman"/>
          <w:b/>
          <w:bCs/>
          <w:snapToGrid/>
          <w:sz w:val="21"/>
          <w:lang w:eastAsia="zh-CN"/>
        </w:rPr>
        <w:t>6.7.1</w:t>
      </w:r>
      <w:r>
        <w:rPr>
          <w:rFonts w:hint="eastAsia" w:cs="Times New Roman"/>
          <w:b/>
          <w:bCs/>
          <w:snapToGrid/>
          <w:sz w:val="21"/>
          <w:lang w:eastAsia="zh-CN"/>
        </w:rPr>
        <w:t>8</w:t>
      </w:r>
      <w:r>
        <w:rPr>
          <w:rFonts w:cs="Times New Roman"/>
          <w:snapToGrid/>
          <w:sz w:val="21"/>
          <w:lang w:eastAsia="zh-CN"/>
        </w:rPr>
        <w:t xml:space="preserve"> 两次喷涂时间间隔宜小于材料产品使用说明规定的复涂时间，超过间隔时间时，再次喷涂作业前，应在已有涂层的表面做层间处理。</w:t>
      </w:r>
    </w:p>
    <w:p>
      <w:pPr>
        <w:ind w:firstLine="422"/>
        <w:rPr>
          <w:rFonts w:cs="Times New Roman"/>
          <w:snapToGrid/>
          <w:sz w:val="21"/>
          <w:lang w:eastAsia="zh-CN"/>
        </w:rPr>
      </w:pPr>
      <w:r>
        <w:rPr>
          <w:rFonts w:cs="Times New Roman"/>
          <w:b/>
          <w:bCs/>
          <w:snapToGrid/>
          <w:sz w:val="21"/>
          <w:lang w:eastAsia="zh-CN"/>
        </w:rPr>
        <w:t>6.7.1</w:t>
      </w:r>
      <w:r>
        <w:rPr>
          <w:rFonts w:hint="eastAsia" w:cs="Times New Roman"/>
          <w:b/>
          <w:bCs/>
          <w:snapToGrid/>
          <w:sz w:val="21"/>
          <w:lang w:eastAsia="zh-CN"/>
        </w:rPr>
        <w:t>9</w:t>
      </w:r>
      <w:r>
        <w:rPr>
          <w:rFonts w:cs="Times New Roman"/>
          <w:snapToGrid/>
          <w:sz w:val="21"/>
          <w:lang w:eastAsia="zh-CN"/>
        </w:rPr>
        <w:t xml:space="preserve"> 喷涂作业面之间的搭接宽度不应小于150mm。</w:t>
      </w:r>
    </w:p>
    <w:bookmarkEnd w:id="175"/>
    <w:p>
      <w:pPr>
        <w:pStyle w:val="3"/>
        <w:ind w:firstLine="560"/>
        <w:rPr>
          <w:highlight w:val="none"/>
        </w:rPr>
      </w:pPr>
      <w:bookmarkStart w:id="179" w:name="_Toc196915224"/>
      <w:r>
        <w:rPr>
          <w:rFonts w:hint="eastAsia"/>
          <w:highlight w:val="none"/>
        </w:rPr>
        <w:t>6</w:t>
      </w:r>
      <w:r>
        <w:rPr>
          <w:highlight w:val="none"/>
        </w:rPr>
        <w:t>.</w:t>
      </w:r>
      <w:r>
        <w:rPr>
          <w:rFonts w:hint="eastAsia"/>
          <w:highlight w:val="none"/>
        </w:rPr>
        <w:t>8</w:t>
      </w:r>
      <w:r>
        <w:rPr>
          <w:highlight w:val="none"/>
        </w:rPr>
        <w:t xml:space="preserve"> 碎裂管法</w:t>
      </w:r>
      <w:bookmarkEnd w:id="179"/>
    </w:p>
    <w:p>
      <w:pPr>
        <w:ind w:firstLine="420" w:firstLineChars="0"/>
        <w:rPr>
          <w:rFonts w:cs="Times New Roman"/>
          <w:color w:val="000000" w:themeColor="text1"/>
          <w:sz w:val="21"/>
          <w:lang w:eastAsia="zh-CN"/>
          <w14:textFill>
            <w14:solidFill>
              <w14:schemeClr w14:val="tx1"/>
            </w14:solidFill>
          </w14:textFill>
        </w:rPr>
      </w:pPr>
      <w:bookmarkStart w:id="180" w:name="_Toc2564"/>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.1</w:t>
      </w:r>
      <w:r>
        <w:rPr>
          <w:rFonts w:hint="eastAsia"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进场材料验收应符合下列规定：</w:t>
      </w:r>
      <w:bookmarkEnd w:id="180"/>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按设计文件要求对管材、管道附件进行核对；</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应按产品标准及设计要求逐根检验管道外观；</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应重点抽检规格尺寸、环刚度、环柔度、冲击强度等项目，抽检结果应符合本标准第4.</w:t>
      </w:r>
      <w:r>
        <w:rPr>
          <w:rFonts w:hint="eastAsia" w:cs="Times New Roman"/>
          <w:color w:val="000000" w:themeColor="text1"/>
          <w:sz w:val="21"/>
          <w:lang w:eastAsia="zh-CN"/>
          <w14:textFill>
            <w14:solidFill>
              <w14:schemeClr w14:val="tx1"/>
            </w14:solidFill>
          </w14:textFill>
        </w:rPr>
        <w:t>9</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条的规定。</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 xml:space="preserve">.2 </w:t>
      </w:r>
      <w:r>
        <w:rPr>
          <w:rFonts w:hint="eastAsia" w:cs="Times New Roman"/>
          <w:color w:val="000000" w:themeColor="text1"/>
          <w:sz w:val="21"/>
          <w:lang w:eastAsia="zh-CN"/>
          <w14:textFill>
            <w14:solidFill>
              <w14:schemeClr w14:val="tx1"/>
            </w14:solidFill>
          </w14:textFill>
        </w:rPr>
        <w:t>施工前应对待置换管道的信息进行验证，并应符合下列规定：</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应采用CCTV或QV对管道内状况进行检测；</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 xml:space="preserve"> 应测量管段与管段之间的夹角与管道高程落差；</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 xml:space="preserve"> 可通过查阅设计及运营资料和相关单位交底，详尽调查施工场地内地下基础设施分布和具体参数；</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w:t>
      </w:r>
      <w:r>
        <w:rPr>
          <w:rFonts w:hint="eastAsia" w:cs="Times New Roman"/>
          <w:color w:val="000000" w:themeColor="text1"/>
          <w:sz w:val="21"/>
          <w:lang w:eastAsia="zh-CN"/>
          <w14:textFill>
            <w14:solidFill>
              <w14:schemeClr w14:val="tx1"/>
            </w14:solidFill>
          </w14:textFill>
        </w:rPr>
        <w:t xml:space="preserve"> 宜观察并详细记录施工区域及周围交通、道口及地表设施分布等信息。</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 xml:space="preserve">3 </w:t>
      </w:r>
      <w:r>
        <w:rPr>
          <w:rFonts w:hint="eastAsia" w:cs="Times New Roman"/>
          <w:color w:val="000000" w:themeColor="text1"/>
          <w:sz w:val="21"/>
          <w:lang w:eastAsia="zh-CN"/>
          <w14:textFill>
            <w14:solidFill>
              <w14:schemeClr w14:val="tx1"/>
            </w14:solidFill>
          </w14:textFill>
        </w:rPr>
        <w:t>施工前应根据管道调查信息合理调整施工方案，明确施工段划分，工作坑位置及支护方式，施工计划，交通疏导、施工现场占道及围蔽、封堵导流、降排水等措施。</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 xml:space="preserve">4 </w:t>
      </w:r>
      <w:r>
        <w:rPr>
          <w:rFonts w:hint="eastAsia" w:cs="Times New Roman"/>
          <w:color w:val="000000" w:themeColor="text1"/>
          <w:sz w:val="21"/>
          <w:lang w:eastAsia="zh-CN"/>
          <w14:textFill>
            <w14:solidFill>
              <w14:schemeClr w14:val="tx1"/>
            </w14:solidFill>
          </w14:textFill>
        </w:rPr>
        <w:t>施工前应对原有管道及分支管线采用临时封堵导流措施，封堵导流措施应符合现行行业标准《城镇排水管渠与泵站运行、维护及安全技术规程》CJJ 68的相关规定。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5</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当需开挖工作坑时，工作坑位置的确定应满足下列要求：</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工作坑的坑位应避开地上建筑物、架空线、地下管线或其他构筑物；</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工作坑不宜设置在道路交汇口、医院入口、消防队入口处；</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一个施工段的两座工作坑的间距应控制在施工能力范围内；</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工作坑的尺寸应满足设计要求。</w:t>
      </w:r>
      <w:r>
        <w:rPr>
          <w:rFonts w:hint="eastAsia" w:cs="Times New Roman"/>
          <w:color w:val="000000" w:themeColor="text1"/>
          <w:sz w:val="21"/>
          <w:lang w:eastAsia="zh-CN"/>
          <w14:textFill>
            <w14:solidFill>
              <w14:schemeClr w14:val="tx1"/>
            </w14:solidFill>
          </w14:textFill>
        </w:rPr>
        <w:t>工作坑的开槽宜采用人工开挖；当采用机械开挖时，应先人工开挖，再机械开挖，且机械开挖的深度不得超过探坑的深度，并应符合现行行业标准</w:t>
      </w:r>
      <w:bookmarkStart w:id="181" w:name="_Hlk196920925"/>
      <w:r>
        <w:rPr>
          <w:rFonts w:hint="eastAsia" w:cs="Times New Roman"/>
          <w:color w:val="000000" w:themeColor="text1"/>
          <w:sz w:val="21"/>
          <w:lang w:eastAsia="zh-CN"/>
          <w14:textFill>
            <w14:solidFill>
              <w14:schemeClr w14:val="tx1"/>
            </w14:solidFill>
          </w14:textFill>
        </w:rPr>
        <w:t>《建筑基坑支护技术规程》</w:t>
      </w:r>
      <w:r>
        <w:rPr>
          <w:rFonts w:cs="Times New Roman"/>
          <w:color w:val="000000" w:themeColor="text1"/>
          <w:sz w:val="21"/>
          <w:lang w:eastAsia="zh-CN"/>
          <w14:textFill>
            <w14:solidFill>
              <w14:schemeClr w14:val="tx1"/>
            </w14:solidFill>
          </w14:textFill>
        </w:rPr>
        <w:t>JGJ 120</w:t>
      </w:r>
      <w:bookmarkEnd w:id="181"/>
      <w:r>
        <w:rPr>
          <w:rFonts w:hint="eastAsia" w:cs="Times New Roman"/>
          <w:color w:val="000000" w:themeColor="text1"/>
          <w:sz w:val="21"/>
          <w:lang w:eastAsia="zh-CN"/>
          <w14:textFill>
            <w14:solidFill>
              <w14:schemeClr w14:val="tx1"/>
            </w14:solidFill>
          </w14:textFill>
        </w:rPr>
        <w:t>的相关规定。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 xml:space="preserve">6 </w:t>
      </w:r>
      <w:r>
        <w:rPr>
          <w:rFonts w:hint="eastAsia" w:cs="Times New Roman"/>
          <w:color w:val="000000" w:themeColor="text1"/>
          <w:sz w:val="21"/>
          <w:lang w:eastAsia="zh-CN"/>
          <w14:textFill>
            <w14:solidFill>
              <w14:schemeClr w14:val="tx1"/>
            </w14:solidFill>
          </w14:textFill>
        </w:rPr>
        <w:t>新管道在拉入过程中应符合下列规定：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新管道应连接在裂管设备后，随裂管设备一起拉入；</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 xml:space="preserve"> 新管道拉入过程中宜采取润滑措施降低新管道与原有管道之间的摩擦力；</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 xml:space="preserve"> 拉入过程中应实时监测拉力的变化情况，当拉力突然陡增时应停止施工，查明原因后方可继续施工；</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4 </w:t>
      </w:r>
      <w:r>
        <w:rPr>
          <w:rFonts w:hint="eastAsia" w:cs="Times New Roman"/>
          <w:color w:val="000000" w:themeColor="text1"/>
          <w:sz w:val="21"/>
          <w:lang w:eastAsia="zh-CN"/>
          <w14:textFill>
            <w14:solidFill>
              <w14:schemeClr w14:val="tx1"/>
            </w14:solidFill>
          </w14:textFill>
        </w:rPr>
        <w:t>新管道拉入后的应力恢复时间不宜低于4 h。</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 xml:space="preserve">7 </w:t>
      </w:r>
      <w:r>
        <w:rPr>
          <w:rFonts w:hint="eastAsia" w:cs="Times New Roman"/>
          <w:color w:val="000000" w:themeColor="text1"/>
          <w:sz w:val="21"/>
          <w:lang w:eastAsia="zh-CN"/>
          <w14:textFill>
            <w14:solidFill>
              <w14:schemeClr w14:val="tx1"/>
            </w14:solidFill>
          </w14:textFill>
        </w:rPr>
        <w:t>管道的连接应满足下列要求：</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PE管采用热熔对接时，应符合现行国家标准《塑料管材和管件聚乙烯(PE)管材/管材或管材/管件热熔对接组件的制备》GB 19809的有关规定；</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 xml:space="preserve"> PE管采用机械连接时，连接处应紧固且严密。</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 xml:space="preserve">8 </w:t>
      </w:r>
      <w:r>
        <w:rPr>
          <w:rFonts w:hint="eastAsia" w:cs="Times New Roman"/>
          <w:color w:val="000000" w:themeColor="text1"/>
          <w:sz w:val="21"/>
          <w:lang w:eastAsia="zh-CN"/>
          <w14:textFill>
            <w14:solidFill>
              <w14:schemeClr w14:val="tx1"/>
            </w14:solidFill>
          </w14:textFill>
        </w:rPr>
        <w:t>推顶内衬短管时，应在短管末端设置硬橡胶挡板，油缸推进应缓慢匀速。在进管工作坑及出管工作坑中，应对新管道周围土体进行注浆加固，加固长度不应小于200 mm。</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9</w:t>
      </w:r>
      <w:r>
        <w:rPr>
          <w:rFonts w:hint="eastAsia" w:cs="Times New Roman"/>
          <w:color w:val="000000" w:themeColor="text1"/>
          <w:sz w:val="21"/>
          <w:lang w:eastAsia="zh-CN"/>
          <w14:textFill>
            <w14:solidFill>
              <w14:schemeClr w14:val="tx1"/>
            </w14:solidFill>
          </w14:textFill>
        </w:rPr>
        <w:t xml:space="preserve"> 在实施碎裂管法时，应对原管道及检查井进行疏通和预处理，并应符合下列规定：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管道清疏后应进行CCTV或QV检测，不应存在超过原管径10%以上的污泥、污物，障碍物的粒径不宜超过30 mm；管道内应有牵引拉杆或钢丝绳穿过的通道；检查井底的污泥厚度不应超过50 mm；</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2 </w:t>
      </w:r>
      <w:r>
        <w:rPr>
          <w:rFonts w:hint="eastAsia" w:cs="Times New Roman"/>
          <w:color w:val="000000" w:themeColor="text1"/>
          <w:sz w:val="21"/>
          <w:lang w:eastAsia="zh-CN"/>
          <w14:textFill>
            <w14:solidFill>
              <w14:schemeClr w14:val="tx1"/>
            </w14:solidFill>
          </w14:textFill>
        </w:rPr>
        <w:t>管道及检查井清淤宜采用高压射水清洗，检查井井壁、爬梯等应无污物，清洗产生的污水或污物应从检查井排出，污物应按照现行行业标准《城镇排水管渠与泵站维护技术规程》CJJ 68的有关规定处理；</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 xml:space="preserve"> 当原管道内有钢套环、局部树脂修复环或锚杆/锚索等障碍物时，应采用专用工具或局部开挖进行清除。</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10</w:t>
      </w:r>
      <w:r>
        <w:rPr>
          <w:rFonts w:hint="eastAsia" w:cs="Times New Roman"/>
          <w:color w:val="000000" w:themeColor="text1"/>
          <w:sz w:val="21"/>
          <w:lang w:eastAsia="zh-CN"/>
          <w14:textFill>
            <w14:solidFill>
              <w14:schemeClr w14:val="tx1"/>
            </w14:solidFill>
          </w14:textFill>
        </w:rPr>
        <w:t xml:space="preserve"> 应按照设计要求对更新管段中间的检查井与管道连接处的结构进行破除，破除后洞口尺寸不应小于扩管头最大外沿尺寸的1.1倍。</w:t>
      </w:r>
    </w:p>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Ⅰ</w:t>
      </w:r>
      <w:r>
        <w:rPr>
          <w:rFonts w:hint="eastAsia" w:cs="Times New Roman"/>
          <w:color w:val="000000" w:themeColor="text1"/>
          <w:sz w:val="21"/>
          <w:lang w:eastAsia="zh-CN"/>
          <w14:textFill>
            <w14:solidFill>
              <w14:schemeClr w14:val="tx1"/>
            </w14:solidFill>
          </w14:textFill>
        </w:rPr>
        <w:t xml:space="preserve"> 气动碎裂管法</w:t>
      </w:r>
    </w:p>
    <w:p>
      <w:pPr>
        <w:ind w:firstLine="420" w:firstLineChars="0"/>
        <w:rPr>
          <w:rFonts w:cs="Times New Roman"/>
          <w:color w:val="000000" w:themeColor="text1"/>
          <w:sz w:val="21"/>
          <w:lang w:eastAsia="zh-CN"/>
          <w14:textFill>
            <w14:solidFill>
              <w14:schemeClr w14:val="tx1"/>
            </w14:solidFill>
          </w14:textFill>
        </w:rPr>
      </w:pPr>
      <w:bookmarkStart w:id="182" w:name="_Toc3511"/>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11</w:t>
      </w:r>
      <w:r>
        <w:rPr>
          <w:rFonts w:cs="Times New Roman"/>
          <w:color w:val="000000" w:themeColor="text1"/>
          <w:sz w:val="21"/>
          <w:lang w:eastAsia="zh-CN"/>
          <w14:textFill>
            <w14:solidFill>
              <w14:schemeClr w14:val="tx1"/>
            </w14:solidFill>
          </w14:textFill>
        </w:rPr>
        <w:t xml:space="preserve"> 气动碎裂管法施工时，</w:t>
      </w:r>
      <w:bookmarkStart w:id="183" w:name="OLE_LINK30"/>
      <w:r>
        <w:rPr>
          <w:rFonts w:hint="eastAsia" w:cs="Times New Roman"/>
          <w:color w:val="000000" w:themeColor="text1"/>
          <w:sz w:val="21"/>
          <w:lang w:eastAsia="zh-CN"/>
          <w14:textFill>
            <w14:solidFill>
              <w14:schemeClr w14:val="tx1"/>
            </w14:solidFill>
          </w14:textFill>
        </w:rPr>
        <w:t>原有</w:t>
      </w:r>
      <w:bookmarkEnd w:id="183"/>
      <w:r>
        <w:rPr>
          <w:rFonts w:cs="Times New Roman"/>
          <w:color w:val="000000" w:themeColor="text1"/>
          <w:sz w:val="21"/>
          <w:lang w:eastAsia="zh-CN"/>
          <w14:textFill>
            <w14:solidFill>
              <w14:schemeClr w14:val="tx1"/>
            </w14:solidFill>
          </w14:textFill>
        </w:rPr>
        <w:t>管道与周围其他管道距离应符合下列规定: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不应小于600 mm；</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实施扩径置换时，</w:t>
      </w:r>
      <w:r>
        <w:rPr>
          <w:rFonts w:hint="eastAsia" w:cs="Times New Roman"/>
          <w:color w:val="000000" w:themeColor="text1"/>
          <w:sz w:val="21"/>
          <w:lang w:eastAsia="zh-CN"/>
          <w14:textFill>
            <w14:solidFill>
              <w14:schemeClr w14:val="tx1"/>
            </w14:solidFill>
          </w14:textFill>
        </w:rPr>
        <w:t>原有</w:t>
      </w:r>
      <w:r>
        <w:rPr>
          <w:rFonts w:cs="Times New Roman"/>
          <w:color w:val="000000" w:themeColor="text1"/>
          <w:sz w:val="21"/>
          <w:lang w:eastAsia="zh-CN"/>
          <w14:textFill>
            <w14:solidFill>
              <w14:schemeClr w14:val="tx1"/>
            </w14:solidFill>
          </w14:textFill>
        </w:rPr>
        <w:t>管道与周围其他管道距离不应小于900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mm，并不应小于原管道直径的1.5倍；</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与周围其他建筑设施的距离不应小于2.5</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m，否则应采取保护措施。</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w:t>
      </w: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气动碎管工具应与钢丝绳或拉杆连接，碎管过程中，应通过钢丝绳或拉杆对碎管头施加一个恒定的拉力。</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13</w:t>
      </w:r>
      <w:r>
        <w:rPr>
          <w:rFonts w:cs="Times New Roman"/>
          <w:color w:val="000000" w:themeColor="text1"/>
          <w:sz w:val="21"/>
          <w:lang w:eastAsia="zh-CN"/>
          <w14:textFill>
            <w14:solidFill>
              <w14:schemeClr w14:val="tx1"/>
            </w14:solidFill>
          </w14:textFill>
        </w:rPr>
        <w:t xml:space="preserve"> 新管道与气动锤、胀管头宜采用螺栓连接，并应在每个螺栓连接点处加缓冲套。胀管头内径应比新管道外径大2 mm </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mm，连接长度不应小于300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mm。固定连接螺栓应采用4.8级以上沉头螺栓、垫片组合，螺栓规格应不低于M12，螺栓间距沿扩孔头周长不应小于250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mm，并应按照梅花状布设。</w:t>
      </w:r>
    </w:p>
    <w:p>
      <w:pPr>
        <w:ind w:firstLine="36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14</w:t>
      </w:r>
      <w:r>
        <w:rPr>
          <w:rFonts w:cs="Times New Roman"/>
          <w:color w:val="000000" w:themeColor="text1"/>
          <w:sz w:val="21"/>
          <w:lang w:eastAsia="zh-CN"/>
          <w14:textFill>
            <w14:solidFill>
              <w14:schemeClr w14:val="tx1"/>
            </w14:solidFill>
          </w14:textFill>
        </w:rPr>
        <w:t xml:space="preserve"> 新管道的连接应依据现场状况选择</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在碎裂管实施前一次性全段焊接</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或碎裂管实施过程中分段即时焊接</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当对压力排水管道置换时应提前一次性完成焊接，并对新管道打压后再实施置换。</w:t>
      </w:r>
    </w:p>
    <w:p>
      <w:pPr>
        <w:ind w:firstLine="36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15</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当采用连续HDPE管置换时，应采用热熔焊接，焊接质量应符合现行国家标准</w:t>
      </w:r>
      <w:bookmarkStart w:id="184" w:name="_Hlk196920495"/>
      <w:r>
        <w:rPr>
          <w:rFonts w:cs="Times New Roman"/>
          <w:color w:val="000000" w:themeColor="text1"/>
          <w:sz w:val="21"/>
          <w:lang w:eastAsia="zh-CN"/>
          <w14:textFill>
            <w14:solidFill>
              <w14:schemeClr w14:val="tx1"/>
            </w14:solidFill>
          </w14:textFill>
        </w:rPr>
        <w:t>《塑料管材和管件聚乙烯</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PE</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管材/管件热熔对接组件的制备操作规范》GB</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19809</w:t>
      </w:r>
      <w:bookmarkEnd w:id="184"/>
      <w:r>
        <w:rPr>
          <w:rFonts w:cs="Times New Roman"/>
          <w:color w:val="000000" w:themeColor="text1"/>
          <w:sz w:val="21"/>
          <w:lang w:eastAsia="zh-CN"/>
          <w14:textFill>
            <w14:solidFill>
              <w14:schemeClr w14:val="tx1"/>
            </w14:solidFill>
          </w14:textFill>
        </w:rPr>
        <w:t>与</w:t>
      </w:r>
      <w:r>
        <w:rPr>
          <w:rFonts w:hint="eastAsia" w:cs="Times New Roman"/>
          <w:color w:val="000000" w:themeColor="text1"/>
          <w:sz w:val="21"/>
          <w:lang w:eastAsia="zh-CN"/>
          <w14:textFill>
            <w14:solidFill>
              <w14:schemeClr w14:val="tx1"/>
            </w14:solidFill>
          </w14:textFill>
        </w:rPr>
        <w:t>现行行业标准</w:t>
      </w:r>
      <w:bookmarkStart w:id="185" w:name="_Hlk196922093"/>
      <w:r>
        <w:rPr>
          <w:rFonts w:cs="Times New Roman"/>
          <w:color w:val="000000" w:themeColor="text1"/>
          <w:sz w:val="21"/>
          <w:lang w:eastAsia="zh-CN"/>
          <w14:textFill>
            <w14:solidFill>
              <w14:schemeClr w14:val="tx1"/>
            </w14:solidFill>
          </w14:textFill>
        </w:rPr>
        <w:t>《埋地塑料排水管道工程技术规程》CJJ</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143</w:t>
      </w:r>
      <w:bookmarkEnd w:id="185"/>
      <w:r>
        <w:rPr>
          <w:rFonts w:cs="Times New Roman"/>
          <w:color w:val="000000" w:themeColor="text1"/>
          <w:sz w:val="21"/>
          <w:lang w:eastAsia="zh-CN"/>
          <w14:textFill>
            <w14:solidFill>
              <w14:schemeClr w14:val="tx1"/>
            </w14:solidFill>
          </w14:textFill>
        </w:rPr>
        <w:t>的相关规定，热熔时应对焊口外卷边进行剔除；</w:t>
      </w:r>
    </w:p>
    <w:p>
      <w:pPr>
        <w:ind w:firstLine="360" w:firstLineChars="0"/>
        <w:rPr>
          <w:rFonts w:cs="Times New Roman"/>
          <w:color w:val="000000" w:themeColor="text1"/>
          <w:sz w:val="21"/>
          <w:lang w:eastAsia="zh-CN"/>
          <w14:textFill>
            <w14:solidFill>
              <w14:schemeClr w14:val="tx1"/>
            </w14:solidFill>
          </w14:textFill>
        </w:rPr>
      </w:pPr>
      <w:bookmarkStart w:id="186" w:name="OLE_LINK77"/>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bookmarkEnd w:id="186"/>
      <w:r>
        <w:rPr>
          <w:rFonts w:hint="eastAsia" w:cs="Times New Roman"/>
          <w:b/>
          <w:bCs/>
          <w:color w:val="000000" w:themeColor="text1"/>
          <w:sz w:val="21"/>
          <w:lang w:eastAsia="zh-CN"/>
          <w14:textFill>
            <w14:solidFill>
              <w14:schemeClr w14:val="tx1"/>
            </w14:solidFill>
          </w14:textFill>
        </w:rPr>
        <w:t>16</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当采用连续钢管置换时，管道和焊口应采取防腐措施，管道焊接应符合现行国家标准</w:t>
      </w:r>
      <w:bookmarkStart w:id="187" w:name="_Hlk196920501"/>
      <w:r>
        <w:rPr>
          <w:rFonts w:cs="Times New Roman"/>
          <w:color w:val="000000" w:themeColor="text1"/>
          <w:sz w:val="21"/>
          <w:lang w:eastAsia="zh-CN"/>
          <w14:textFill>
            <w14:solidFill>
              <w14:schemeClr w14:val="tx1"/>
            </w14:solidFill>
          </w14:textFill>
        </w:rPr>
        <w:t>《给水排水管道工程施工及验收规范》GB</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50268</w:t>
      </w:r>
      <w:bookmarkEnd w:id="187"/>
      <w:r>
        <w:rPr>
          <w:rFonts w:cs="Times New Roman"/>
          <w:color w:val="000000" w:themeColor="text1"/>
          <w:sz w:val="21"/>
          <w:lang w:eastAsia="zh-CN"/>
          <w14:textFill>
            <w14:solidFill>
              <w14:schemeClr w14:val="tx1"/>
            </w14:solidFill>
          </w14:textFill>
        </w:rPr>
        <w:t>相关规定。</w:t>
      </w:r>
    </w:p>
    <w:p>
      <w:pPr>
        <w:ind w:firstLine="36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17</w:t>
      </w:r>
      <w:r>
        <w:rPr>
          <w:rFonts w:cs="Times New Roman"/>
          <w:color w:val="000000" w:themeColor="text1"/>
          <w:sz w:val="21"/>
          <w:lang w:eastAsia="zh-CN"/>
          <w14:textFill>
            <w14:solidFill>
              <w14:schemeClr w14:val="tx1"/>
            </w14:solidFill>
          </w14:textFill>
        </w:rPr>
        <w:t xml:space="preserve"> 管道拉入过程中宜采用注浆润滑措施</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注浆材料应符合下列规定：</w:t>
      </w:r>
    </w:p>
    <w:p>
      <w:pPr>
        <w:ind w:left="36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应根据地层条件和原有管道周围的环境确定润滑泥浆的混合成分、掺加比例以及混合步骤</w:t>
      </w:r>
      <w:r>
        <w:rPr>
          <w:rFonts w:hint="eastAsia" w:cs="Times New Roman"/>
          <w:color w:val="000000" w:themeColor="text1"/>
          <w:sz w:val="21"/>
          <w:lang w:eastAsia="zh-CN"/>
          <w14:textFill>
            <w14:solidFill>
              <w14:schemeClr w14:val="tx1"/>
            </w14:solidFill>
          </w14:textFill>
        </w:rPr>
        <w:t>；</w:t>
      </w:r>
    </w:p>
    <w:p>
      <w:pPr>
        <w:ind w:left="36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当地层为砂层或砾石层等粗粒土层时，宜使用膨润土润滑剂</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当地层为细粒土层和黏土层时，宜使用膨润土和聚合物的混合润滑剂。</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18</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短距离的管道置换可选择在新管外壁涂抹润滑剂或加热后的石蜡等。</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19</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在气动碎裂新管置入过程中</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应密切观察新管置入速度的变化情况，当速度突然</w:t>
      </w:r>
      <w:r>
        <w:rPr>
          <w:rFonts w:hint="eastAsia" w:cs="Times New Roman"/>
          <w:color w:val="000000" w:themeColor="text1"/>
          <w:sz w:val="21"/>
          <w:lang w:eastAsia="zh-CN"/>
          <w14:textFill>
            <w14:solidFill>
              <w14:schemeClr w14:val="tx1"/>
            </w14:solidFill>
          </w14:textFill>
        </w:rPr>
        <w:t>降低</w:t>
      </w:r>
      <w:r>
        <w:rPr>
          <w:rFonts w:cs="Times New Roman"/>
          <w:color w:val="000000" w:themeColor="text1"/>
          <w:sz w:val="21"/>
          <w:lang w:eastAsia="zh-CN"/>
          <w14:textFill>
            <w14:solidFill>
              <w14:schemeClr w14:val="tx1"/>
            </w14:solidFill>
          </w14:textFill>
        </w:rPr>
        <w:t>时，应立即停止施工，查明原因或排除障碍后方可继续施工。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0</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在新管道置入就位后</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新管道与检查井之间的环状间隙应采用具有微膨胀的高强度灌浆料进行注浆填充，并应对内表面做防水处理。恢复原检查井流槽及井内附属设施应符合现行国家标准《给水排水管道工程施工及验收规范》GB 50268规定。</w:t>
      </w:r>
    </w:p>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Ⅱ 静拉碎裂管法</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应</w:t>
      </w:r>
      <w:r>
        <w:rPr>
          <w:rFonts w:cs="Times New Roman"/>
          <w:color w:val="000000" w:themeColor="text1"/>
          <w:sz w:val="21"/>
          <w:lang w:eastAsia="zh-CN"/>
          <w14:textFill>
            <w14:solidFill>
              <w14:schemeClr w14:val="tx1"/>
            </w14:solidFill>
          </w14:textFill>
        </w:rPr>
        <w:t>在静拉碎裂管机前端应</w:t>
      </w:r>
      <w:r>
        <w:rPr>
          <w:rFonts w:hint="eastAsia" w:cs="Times New Roman"/>
          <w:color w:val="000000" w:themeColor="text1"/>
          <w:sz w:val="21"/>
          <w:lang w:eastAsia="zh-CN"/>
          <w14:textFill>
            <w14:solidFill>
              <w14:schemeClr w14:val="tx1"/>
            </w14:solidFill>
          </w14:textFill>
        </w:rPr>
        <w:t>制</w:t>
      </w:r>
      <w:r>
        <w:rPr>
          <w:rFonts w:cs="Times New Roman"/>
          <w:color w:val="000000" w:themeColor="text1"/>
          <w:sz w:val="21"/>
          <w:lang w:eastAsia="zh-CN"/>
          <w14:textFill>
            <w14:solidFill>
              <w14:schemeClr w14:val="tx1"/>
            </w14:solidFill>
          </w14:textFill>
        </w:rPr>
        <w:t>靠背墙，靠背墙与拉杆应</w:t>
      </w:r>
      <w:r>
        <w:rPr>
          <w:rFonts w:hint="eastAsia" w:cs="Times New Roman"/>
          <w:color w:val="000000" w:themeColor="text1"/>
          <w:sz w:val="21"/>
          <w:lang w:eastAsia="zh-CN"/>
          <w14:textFill>
            <w14:solidFill>
              <w14:schemeClr w14:val="tx1"/>
            </w14:solidFill>
          </w14:textFill>
        </w:rPr>
        <w:t>呈</w:t>
      </w:r>
      <w:r>
        <w:rPr>
          <w:rFonts w:cs="Times New Roman"/>
          <w:color w:val="000000" w:themeColor="text1"/>
          <w:sz w:val="21"/>
          <w:lang w:eastAsia="zh-CN"/>
          <w14:textFill>
            <w14:solidFill>
              <w14:schemeClr w14:val="tx1"/>
            </w14:solidFill>
          </w14:textFill>
        </w:rPr>
        <w:t>90°垂直，偏差不应大于2°，靠背墙的结构及尺寸应根据管道置换中最大的回拖力</w:t>
      </w:r>
      <w:r>
        <w:rPr>
          <w:rFonts w:hint="eastAsia" w:cs="Times New Roman"/>
          <w:color w:val="000000" w:themeColor="text1"/>
          <w:sz w:val="21"/>
          <w:lang w:eastAsia="zh-CN"/>
          <w14:textFill>
            <w14:solidFill>
              <w14:schemeClr w14:val="tx1"/>
            </w14:solidFill>
          </w14:textFill>
        </w:rPr>
        <w:t>进行</w:t>
      </w:r>
      <w:r>
        <w:rPr>
          <w:rFonts w:cs="Times New Roman"/>
          <w:color w:val="000000" w:themeColor="text1"/>
          <w:sz w:val="21"/>
          <w:lang w:eastAsia="zh-CN"/>
          <w14:textFill>
            <w14:solidFill>
              <w14:schemeClr w14:val="tx1"/>
            </w14:solidFill>
          </w14:textFill>
        </w:rPr>
        <w:t>设计，确保施工时不发生位移或破损。</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施工应符合下列规定：</w:t>
      </w:r>
    </w:p>
    <w:p>
      <w:pPr>
        <w:ind w:left="418"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应根据管道直径及材质选择裂管设备。</w:t>
      </w:r>
    </w:p>
    <w:p>
      <w:pPr>
        <w:ind w:left="418"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当裂管设备包含裂管刀具时，应从原有管道底部切开原有管道，切刀的位置应处于与竖直方向成</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30°夹角的范围内。</w:t>
      </w:r>
    </w:p>
    <w:bookmarkEnd w:id="182"/>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施工时，</w:t>
      </w:r>
      <w:r>
        <w:rPr>
          <w:rFonts w:hint="eastAsia" w:cs="Times New Roman"/>
          <w:color w:val="000000" w:themeColor="text1"/>
          <w:sz w:val="21"/>
          <w:lang w:eastAsia="zh-CN"/>
          <w14:textFill>
            <w14:solidFill>
              <w14:schemeClr w14:val="tx1"/>
            </w14:solidFill>
          </w14:textFill>
        </w:rPr>
        <w:t>原有</w:t>
      </w:r>
      <w:r>
        <w:rPr>
          <w:rFonts w:cs="Times New Roman"/>
          <w:color w:val="000000" w:themeColor="text1"/>
          <w:sz w:val="21"/>
          <w:lang w:eastAsia="zh-CN"/>
          <w14:textFill>
            <w14:solidFill>
              <w14:schemeClr w14:val="tx1"/>
            </w14:solidFill>
          </w14:textFill>
        </w:rPr>
        <w:t>管道与周围其它管道和设施的安全距离不应小于300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mm，当实施扩径置换时，安全距离不应小于600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mm，并不应小于2倍原管道直径。当安全距离不足时应局部开挖释放土层应力，并应对周边管道和设施采取保护加固措施。</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4</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碎裂管机安装时，拉杆与原管道轴线位置误差应小于±</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0 m</w:t>
      </w:r>
      <w:r>
        <w:rPr>
          <w:rFonts w:cs="Times New Roman"/>
          <w:color w:val="000000" w:themeColor="text1"/>
          <w:sz w:val="21"/>
          <w:lang w:eastAsia="zh-CN"/>
          <w14:textFill>
            <w14:solidFill>
              <w14:schemeClr w14:val="tx1"/>
            </w14:solidFill>
          </w14:textFill>
        </w:rPr>
        <w:t>m，且拉杆与原管道轴线夹角不应大于2°。</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5</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管道拉入过程中可采用注浆润滑措施，注浆材料应符合本规程第</w:t>
      </w:r>
      <w:r>
        <w:rPr>
          <w:rFonts w:hint="eastAsia" w:cs="Times New Roman"/>
          <w:color w:val="000000" w:themeColor="text1"/>
          <w:sz w:val="21"/>
          <w:lang w:eastAsia="zh-CN"/>
          <w14:textFill>
            <w14:solidFill>
              <w14:schemeClr w14:val="tx1"/>
            </w14:solidFill>
          </w14:textFill>
        </w:rPr>
        <w:t>4.2.2</w:t>
      </w:r>
      <w:r>
        <w:rPr>
          <w:rFonts w:cs="Times New Roman"/>
          <w:color w:val="000000" w:themeColor="text1"/>
          <w:sz w:val="21"/>
          <w:lang w:eastAsia="zh-CN"/>
          <w14:textFill>
            <w14:solidFill>
              <w14:schemeClr w14:val="tx1"/>
            </w14:solidFill>
          </w14:textFill>
        </w:rPr>
        <w:t>的规定。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 xml:space="preserve">胀管头与新管道之间应建立可靠连接，宜采用螺栓连接或专用接口，并应符合本规程 </w:t>
      </w:r>
      <w:r>
        <w:rPr>
          <w:rFonts w:hint="eastAsia" w:cs="Times New Roman"/>
          <w:color w:val="000000" w:themeColor="text1"/>
          <w:sz w:val="21"/>
          <w:lang w:eastAsia="zh-CN"/>
          <w14:textFill>
            <w14:solidFill>
              <w14:schemeClr w14:val="tx1"/>
            </w14:solidFill>
          </w14:textFill>
        </w:rPr>
        <w:t>6.8.13</w:t>
      </w:r>
      <w:r>
        <w:rPr>
          <w:rFonts w:cs="Times New Roman"/>
          <w:color w:val="000000" w:themeColor="text1"/>
          <w:sz w:val="21"/>
          <w:lang w:eastAsia="zh-CN"/>
          <w14:textFill>
            <w14:solidFill>
              <w14:schemeClr w14:val="tx1"/>
            </w14:solidFill>
          </w14:textFill>
        </w:rPr>
        <w:t xml:space="preserve"> 的规定。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当新管材为球磨铸铁管时，其连接应符合下列规定: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球墨铸铁管的接口型式分为柔性接口、自锚接口和法兰接口，破裂管施工时，宜采用内自锚接口</w:t>
      </w:r>
      <w:r>
        <w:rPr>
          <w:rFonts w:hint="eastAsia"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自锚接口性能应符合现行国家标准</w:t>
      </w:r>
      <w:bookmarkStart w:id="188" w:name="_Hlk196920168"/>
      <w:r>
        <w:rPr>
          <w:rFonts w:cs="Times New Roman"/>
          <w:color w:val="000000" w:themeColor="text1"/>
          <w:sz w:val="21"/>
          <w:lang w:eastAsia="zh-CN"/>
          <w14:textFill>
            <w14:solidFill>
              <w14:schemeClr w14:val="tx1"/>
            </w14:solidFill>
          </w14:textFill>
        </w:rPr>
        <w:t>《球墨铸铁管线用自锚接口系统设计规定和型式试验》GB/T 36173</w:t>
      </w:r>
      <w:bookmarkEnd w:id="188"/>
      <w:r>
        <w:rPr>
          <w:rFonts w:cs="Times New Roman"/>
          <w:color w:val="000000" w:themeColor="text1"/>
          <w:sz w:val="21"/>
          <w:lang w:eastAsia="zh-CN"/>
          <w14:textFill>
            <w14:solidFill>
              <w14:schemeClr w14:val="tx1"/>
            </w14:solidFill>
          </w14:textFill>
        </w:rPr>
        <w:t>的相关规定，自锚接口的最大允许拉力值应不低于表</w:t>
      </w:r>
      <w:r>
        <w:rPr>
          <w:rFonts w:hint="eastAsia" w:cs="Times New Roman"/>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的相关规定；</w:t>
      </w:r>
    </w:p>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 xml:space="preserve"> 碎裂管法用自锚接口的最大允许拉力值</w:t>
      </w:r>
    </w:p>
    <w:tbl>
      <w:tblPr>
        <w:tblStyle w:val="16"/>
        <w:tblW w:w="5000" w:type="pct"/>
        <w:jc w:val="center"/>
        <w:tblLayout w:type="autofit"/>
        <w:tblCellMar>
          <w:top w:w="0" w:type="dxa"/>
          <w:left w:w="108" w:type="dxa"/>
          <w:bottom w:w="0" w:type="dxa"/>
          <w:right w:w="108" w:type="dxa"/>
        </w:tblCellMar>
      </w:tblPr>
      <w:tblGrid>
        <w:gridCol w:w="3642"/>
        <w:gridCol w:w="4880"/>
      </w:tblGrid>
      <w:tr>
        <w:tblPrEx>
          <w:tblCellMar>
            <w:top w:w="0" w:type="dxa"/>
            <w:left w:w="108" w:type="dxa"/>
            <w:bottom w:w="0" w:type="dxa"/>
            <w:right w:w="108" w:type="dxa"/>
          </w:tblCellMar>
        </w:tblPrEx>
        <w:trPr>
          <w:trHeight w:val="576" w:hRule="atLeast"/>
          <w:jc w:val="center"/>
        </w:trPr>
        <w:tc>
          <w:tcPr>
            <w:tcW w:w="2137" w:type="pct"/>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规格</w:t>
            </w:r>
          </w:p>
        </w:tc>
        <w:tc>
          <w:tcPr>
            <w:tcW w:w="2863"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允许拉力／kN</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43</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90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200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250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180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300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250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350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330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400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400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450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480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500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640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600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820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700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960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800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1180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900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1400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1000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1650</w:t>
            </w:r>
          </w:p>
        </w:tc>
      </w:tr>
      <w:tr>
        <w:tblPrEx>
          <w:tblCellMar>
            <w:top w:w="0" w:type="dxa"/>
            <w:left w:w="108" w:type="dxa"/>
            <w:bottom w:w="0" w:type="dxa"/>
            <w:right w:w="108" w:type="dxa"/>
          </w:tblCellMar>
        </w:tblPrEx>
        <w:trPr>
          <w:trHeight w:val="288" w:hRule="atLeast"/>
          <w:jc w:val="center"/>
        </w:trPr>
        <w:tc>
          <w:tcPr>
            <w:tcW w:w="2137"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1200</w:t>
            </w:r>
          </w:p>
        </w:tc>
        <w:tc>
          <w:tcPr>
            <w:tcW w:w="286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2000</w:t>
            </w:r>
          </w:p>
        </w:tc>
      </w:tr>
    </w:tbl>
    <w:p>
      <w:pPr>
        <w:ind w:left="420" w:firstLine="420" w:firstLineChars="0"/>
        <w:rPr>
          <w:rFonts w:cs="Times New Roman"/>
          <w:color w:val="000000" w:themeColor="text1"/>
          <w:sz w:val="21"/>
          <w:lang w:eastAsia="zh-CN"/>
          <w14:textFill>
            <w14:solidFill>
              <w14:schemeClr w14:val="tx1"/>
            </w14:solidFill>
          </w14:textFill>
        </w:rPr>
      </w:pPr>
      <w:bookmarkStart w:id="189" w:name="OLE_LINK46"/>
      <w:r>
        <w:rPr>
          <w:rFonts w:cs="Times New Roman"/>
          <w:b/>
          <w:bCs/>
          <w:color w:val="000000" w:themeColor="text1"/>
          <w:sz w:val="21"/>
          <w:lang w:eastAsia="zh-CN"/>
          <w14:textFill>
            <w14:solidFill>
              <w14:schemeClr w14:val="tx1"/>
            </w14:solidFill>
          </w14:textFill>
        </w:rPr>
        <w:t xml:space="preserve">3 </w:t>
      </w:r>
      <w:bookmarkEnd w:id="189"/>
      <w:r>
        <w:rPr>
          <w:rFonts w:cs="Times New Roman"/>
          <w:color w:val="000000" w:themeColor="text1"/>
          <w:sz w:val="21"/>
          <w:lang w:eastAsia="zh-CN"/>
          <w14:textFill>
            <w14:solidFill>
              <w14:schemeClr w14:val="tx1"/>
            </w14:solidFill>
          </w14:textFill>
        </w:rPr>
        <w:t>自锚接口管道与普通接口球墨铸铁管道连接时,可对自锚管道承插口进行转换或者切除后再利用承套管件进行对接；</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自锚管道与其他管材连接宜采用法兰盘管件进行对接；</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5 </w:t>
      </w:r>
      <w:r>
        <w:rPr>
          <w:rFonts w:cs="Times New Roman"/>
          <w:color w:val="000000" w:themeColor="text1"/>
          <w:sz w:val="21"/>
          <w:lang w:eastAsia="zh-CN"/>
          <w14:textFill>
            <w14:solidFill>
              <w14:schemeClr w14:val="tx1"/>
            </w14:solidFill>
          </w14:textFill>
        </w:rPr>
        <w:t>原管道检查井位置需要连接支管时，应根据支管大小布置三通管件进行连接，三通管件接口形式应根据待连接管道材质选用承插接口或法兰盘接口；</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 xml:space="preserve"> 球墨铸铁管宜采用承套等连接件进行合拢</w:t>
      </w:r>
      <w:r>
        <w:rPr>
          <w:rFonts w:hint="eastAsia"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 xml:space="preserve"> 球墨铸铁管的回填应符合现行国家标准《给水排水管道工程施工及验收规范》GB50268的相关规定。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 xml:space="preserve"> 在新管置入过程中，应密切观察新管拉入过程中拉力的变化情况，当出现拉力突然陡增或陡降时，应立即停止施工，查明原因或排除障碍后方可继续施工。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.2</w:t>
      </w:r>
      <w:r>
        <w:rPr>
          <w:rFonts w:hint="eastAsia" w:cs="Times New Roman"/>
          <w:b/>
          <w:bCs/>
          <w:color w:val="000000" w:themeColor="text1"/>
          <w:sz w:val="21"/>
          <w:lang w:eastAsia="zh-CN"/>
          <w14:textFill>
            <w14:solidFill>
              <w14:schemeClr w14:val="tx1"/>
            </w14:solidFill>
          </w14:textFill>
        </w:rPr>
        <w:t>9</w:t>
      </w:r>
      <w:r>
        <w:rPr>
          <w:rFonts w:cs="Times New Roman"/>
          <w:color w:val="000000" w:themeColor="text1"/>
          <w:sz w:val="21"/>
          <w:lang w:eastAsia="zh-CN"/>
          <w14:textFill>
            <w14:solidFill>
              <w14:schemeClr w14:val="tx1"/>
            </w14:solidFill>
          </w14:textFill>
        </w:rPr>
        <w:t xml:space="preserve"> 当置换更新 HDPE 双壁波纹排水管发生原管道堆积无法继续牵拉时，应局部开挖清除堆积物后方可继续牵拉。</w:t>
      </w:r>
    </w:p>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Ⅲ 液压碎裂管法</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30</w:t>
      </w:r>
      <w:r>
        <w:rPr>
          <w:rFonts w:cs="Times New Roman"/>
          <w:color w:val="000000" w:themeColor="text1"/>
          <w:sz w:val="21"/>
          <w:lang w:eastAsia="zh-CN"/>
          <w14:textFill>
            <w14:solidFill>
              <w14:schemeClr w14:val="tx1"/>
            </w14:solidFill>
          </w14:textFill>
        </w:rPr>
        <w:t xml:space="preserve"> 液压碎裂管法置换可适用于管径不大于 DN600的管道置换。</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31</w:t>
      </w:r>
      <w:r>
        <w:rPr>
          <w:rFonts w:cs="Times New Roman"/>
          <w:color w:val="000000" w:themeColor="text1"/>
          <w:sz w:val="21"/>
          <w:lang w:eastAsia="zh-CN"/>
          <w14:textFill>
            <w14:solidFill>
              <w14:schemeClr w14:val="tx1"/>
            </w14:solidFill>
          </w14:textFill>
        </w:rPr>
        <w:t xml:space="preserve"> 液压碎裂管法置换施工前应对管道外部进行详细勘察。</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施工时，待更新管道与周围其它管道和设施的安全距离不应小于300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mm，当实施扩径置换时，安全距离不应小于600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mm，并不应小于2倍原管道直径。当安全距离不足时应局部开挖释放土层应力，并应对周边管道和设施采取保护加固措施。</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8.33</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施工前应紧固导向轮支架，支架背面应紧贴检查井内壁，必要时应加强井壁强度,确保支架有足够的承载力。</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34</w:t>
      </w:r>
      <w:r>
        <w:rPr>
          <w:rFonts w:cs="Times New Roman"/>
          <w:color w:val="000000" w:themeColor="text1"/>
          <w:sz w:val="21"/>
          <w:lang w:eastAsia="zh-CN"/>
          <w14:textFill>
            <w14:solidFill>
              <w14:schemeClr w14:val="tx1"/>
            </w14:solidFill>
          </w14:textFill>
        </w:rPr>
        <w:t xml:space="preserve"> 液压碎裂管法置换管道宜使用无缝环链作为牵引连接。当牵引液压缸压力表出现陡升时，应立即停止牵引，待驱动液压胀管器膨胀一个循环后方可继续牵引。</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35</w:t>
      </w:r>
      <w:r>
        <w:rPr>
          <w:rFonts w:cs="Times New Roman"/>
          <w:color w:val="000000" w:themeColor="text1"/>
          <w:sz w:val="21"/>
          <w:lang w:eastAsia="zh-CN"/>
          <w14:textFill>
            <w14:solidFill>
              <w14:schemeClr w14:val="tx1"/>
            </w14:solidFill>
          </w14:textFill>
        </w:rPr>
        <w:t xml:space="preserve"> 油缸顶入速度与碎裂胀管器牵引速度应保持基本一致。</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36</w:t>
      </w:r>
      <w:r>
        <w:rPr>
          <w:rFonts w:cs="Times New Roman"/>
          <w:color w:val="000000" w:themeColor="text1"/>
          <w:sz w:val="21"/>
          <w:lang w:eastAsia="zh-CN"/>
          <w14:textFill>
            <w14:solidFill>
              <w14:schemeClr w14:val="tx1"/>
            </w14:solidFill>
          </w14:textFill>
        </w:rPr>
        <w:t xml:space="preserve"> 与液压胀管器连接的高压油管每段长度应控制在10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w:t>
      </w:r>
      <w:r>
        <w:rPr>
          <w:rFonts w:hint="eastAsia" w:cs="Times New Roman"/>
          <w:color w:val="000000" w:themeColor="text1"/>
          <w:sz w:val="21"/>
          <w:lang w:eastAsia="zh-CN"/>
          <w14:textFill>
            <w14:solidFill>
              <w14:schemeClr w14:val="tx1"/>
            </w14:solidFill>
          </w14:textFill>
        </w:rPr>
        <w:t xml:space="preserve"> ~ </w:t>
      </w:r>
      <w:r>
        <w:rPr>
          <w:rFonts w:cs="Times New Roman"/>
          <w:color w:val="000000" w:themeColor="text1"/>
          <w:sz w:val="21"/>
          <w:lang w:eastAsia="zh-CN"/>
          <w14:textFill>
            <w14:solidFill>
              <w14:schemeClr w14:val="tx1"/>
            </w14:solidFill>
          </w14:textFill>
        </w:rPr>
        <w:t>15</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m，并用液压专用高压快速接头连接，可根据修复管道长度自由增减。</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37</w:t>
      </w:r>
      <w:r>
        <w:rPr>
          <w:rFonts w:cs="Times New Roman"/>
          <w:color w:val="000000" w:themeColor="text1"/>
          <w:sz w:val="21"/>
          <w:lang w:eastAsia="zh-CN"/>
          <w14:textFill>
            <w14:solidFill>
              <w14:schemeClr w14:val="tx1"/>
            </w14:solidFill>
          </w14:textFill>
        </w:rPr>
        <w:t xml:space="preserve"> 根据待更新管道检查井尺寸大小，可选择不同长度的顶推油缸，建议使用插入式钢制管帽顶住新建管道末端，以免损坏管道接口。</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38</w:t>
      </w:r>
      <w:r>
        <w:rPr>
          <w:rFonts w:cs="Times New Roman"/>
          <w:color w:val="000000" w:themeColor="text1"/>
          <w:sz w:val="21"/>
          <w:lang w:eastAsia="zh-CN"/>
          <w14:textFill>
            <w14:solidFill>
              <w14:schemeClr w14:val="tx1"/>
            </w14:solidFill>
          </w14:textFill>
        </w:rPr>
        <w:t xml:space="preserve"> 当采用液压碎裂管法变径修复时，变径不宜超过原管径200</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mm。</w:t>
      </w:r>
    </w:p>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Ⅳ 短管置换法</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39</w:t>
      </w:r>
      <w:r>
        <w:rPr>
          <w:rFonts w:cs="Times New Roman"/>
          <w:color w:val="000000" w:themeColor="text1"/>
          <w:sz w:val="21"/>
          <w:lang w:eastAsia="zh-CN"/>
          <w14:textFill>
            <w14:solidFill>
              <w14:schemeClr w14:val="tx1"/>
            </w14:solidFill>
          </w14:textFill>
        </w:rPr>
        <w:t xml:space="preserve"> 短管置换施工安装钢制靠背墙时应保证与管道轴线垂直</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误差不超过±2°，并应采用高强度水泥砂浆将钢制靠背与检查井之间的间隙填充密实。</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40</w:t>
      </w:r>
      <w:r>
        <w:rPr>
          <w:rFonts w:cs="Times New Roman"/>
          <w:color w:val="000000" w:themeColor="text1"/>
          <w:sz w:val="21"/>
          <w:lang w:eastAsia="zh-CN"/>
          <w14:textFill>
            <w14:solidFill>
              <w14:schemeClr w14:val="tx1"/>
            </w14:solidFill>
          </w14:textFill>
        </w:rPr>
        <w:t xml:space="preserve"> 安装顶力前支架和穿心千斤顶时，传力短杆中心与原管道轴线应一致，偏差不应超过管径的±</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2.5%，固定安全可靠。</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41</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裂管头承力盘与扩管头之间应设置定位卡槽或定位销，在回拉扩管过程中扩管头不得随意转动。</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w:t>
      </w: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扩管头与第一节短管管道的连接应采用承插连接，扩管头内径应比短管外径大2mm~3mm，承插口接合长度应大于置换管段长度的0.5%；在置换施工时，管道应压紧连接，并应通过紧固丝杆、紧固螺栓、</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U”型顶铁和后端盖保持短管之间稳固连接。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43</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新管道连接应符合下列规定：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当采用 HDPE或 PVC 短管置换时，应采用承插式过盈配合倒榫设计插口外径边界尺寸应大于承口内径外边界尺寸，安装时应在承插口处涂刷防水结构胶；</w:t>
      </w:r>
    </w:p>
    <w:p>
      <w:pPr>
        <w:ind w:firstLine="420" w:firstLineChars="0"/>
        <w:rPr>
          <w:rFonts w:cs="Times New Roman"/>
          <w:color w:val="000000" w:themeColor="text1"/>
          <w:sz w:val="21"/>
          <w:lang w:eastAsia="zh-CN"/>
          <w14:textFill>
            <w14:solidFill>
              <w14:schemeClr w14:val="tx1"/>
            </w14:solidFill>
          </w14:textFill>
        </w:rPr>
      </w:pP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当采用钢短管承插连接时，宜作为管道预修复措施，短管置换完成后，应对管内壁作整体内衬修复或涂层防腐；</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3 </w:t>
      </w:r>
      <w:r>
        <w:rPr>
          <w:rFonts w:cs="Times New Roman"/>
          <w:color w:val="000000" w:themeColor="text1"/>
          <w:sz w:val="21"/>
          <w:lang w:eastAsia="zh-CN"/>
          <w14:textFill>
            <w14:solidFill>
              <w14:schemeClr w14:val="tx1"/>
            </w14:solidFill>
          </w14:textFill>
        </w:rPr>
        <w:t>当采用钢短管焊接连接时，焊口应做防腐处理，焊接应符合现行国家标准《给水排水管道工程施工及验收规范》GB 50268 相关规定；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当采用顶推式球墨铸铁管或高强度混凝土短管时，应在承插口处安装防水密封胶圈，在接口端面处安装传力缓冲垫。</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44</w:t>
      </w:r>
      <w:r>
        <w:rPr>
          <w:rFonts w:cs="Times New Roman"/>
          <w:color w:val="000000" w:themeColor="text1"/>
          <w:sz w:val="21"/>
          <w:lang w:eastAsia="zh-CN"/>
          <w14:textFill>
            <w14:solidFill>
              <w14:schemeClr w14:val="tx1"/>
            </w14:solidFill>
          </w14:textFill>
        </w:rPr>
        <w:t xml:space="preserve"> HDPE短管置换施工时，宜考虑在短管内设置扶正器，扶正器应与回拉短杆同轴组合安装。扶正器外圆尺寸不应大于短管内径的96%，扶正器宜2</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w:t>
      </w:r>
      <w:r>
        <w:rPr>
          <w:rFonts w:hint="eastAsia" w:cs="Times New Roman"/>
          <w:color w:val="000000" w:themeColor="text1"/>
          <w:sz w:val="21"/>
          <w:lang w:eastAsia="zh-CN"/>
          <w14:textFill>
            <w14:solidFill>
              <w14:schemeClr w14:val="tx1"/>
            </w14:solidFill>
          </w14:textFill>
        </w:rPr>
        <w:t xml:space="preserve"> ~ </w:t>
      </w:r>
      <w:r>
        <w:rPr>
          <w:rFonts w:cs="Times New Roman"/>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m米安装一个，并应设置于接口处。</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45</w:t>
      </w:r>
      <w:r>
        <w:rPr>
          <w:rFonts w:cs="Times New Roman"/>
          <w:color w:val="000000" w:themeColor="text1"/>
          <w:sz w:val="21"/>
          <w:lang w:eastAsia="zh-CN"/>
          <w14:textFill>
            <w14:solidFill>
              <w14:schemeClr w14:val="tx1"/>
            </w14:solidFill>
          </w14:textFill>
        </w:rPr>
        <w:t xml:space="preserve"> 当碎裂管施工前端拉力较大时，可采用拉顶结合工法，在短管后端安装液压千斤顶实施顶力辅助。千斤顶应通过定制的顶铁将顶力施加在后端盖与短管结合面处。</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46</w:t>
      </w:r>
      <w:r>
        <w:rPr>
          <w:rFonts w:cs="Times New Roman"/>
          <w:color w:val="000000" w:themeColor="text1"/>
          <w:sz w:val="21"/>
          <w:lang w:eastAsia="zh-CN"/>
          <w14:textFill>
            <w14:solidFill>
              <w14:schemeClr w14:val="tx1"/>
            </w14:solidFill>
          </w14:textFill>
        </w:rPr>
        <w:t xml:space="preserve"> 施工时宜采取减阻措施，短距离的置换宜在短管外部涂抹润滑剂。在对较大管径或较长距离管段实施置换时应采用注浆措施，注浆应符合本规程</w:t>
      </w:r>
      <w:r>
        <w:rPr>
          <w:rFonts w:hint="eastAsia" w:cs="Times New Roman"/>
          <w:color w:val="000000" w:themeColor="text1"/>
          <w:sz w:val="21"/>
          <w:lang w:eastAsia="zh-CN"/>
          <w14:textFill>
            <w14:solidFill>
              <w14:schemeClr w14:val="tx1"/>
            </w14:solidFill>
          </w14:textFill>
        </w:rPr>
        <w:t>6.8.17</w:t>
      </w:r>
      <w:r>
        <w:rPr>
          <w:rFonts w:cs="Times New Roman"/>
          <w:color w:val="000000" w:themeColor="text1"/>
          <w:sz w:val="21"/>
          <w:lang w:eastAsia="zh-CN"/>
          <w14:textFill>
            <w14:solidFill>
              <w14:schemeClr w14:val="tx1"/>
            </w14:solidFill>
          </w14:textFill>
        </w:rPr>
        <w:t>条的规定。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6</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47</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短管置入后，管道与检查井周围间隙的注浆填充应符合本规程6.8.20的规定。</w:t>
      </w:r>
    </w:p>
    <w:p>
      <w:pPr>
        <w:kinsoku/>
        <w:autoSpaceDE/>
        <w:autoSpaceDN/>
        <w:adjustRightInd/>
        <w:snapToGrid/>
        <w:spacing w:line="240" w:lineRule="auto"/>
        <w:ind w:firstLine="0" w:firstLineChars="0"/>
        <w:jc w:val="left"/>
        <w:textAlignment w:val="auto"/>
        <w:rPr>
          <w:rFonts w:eastAsia="黑体" w:cs="Times New Roman"/>
          <w:b/>
          <w:bCs/>
          <w:color w:val="000000" w:themeColor="text1"/>
          <w:sz w:val="32"/>
          <w:szCs w:val="32"/>
          <w:lang w:eastAsia="zh-CN"/>
          <w14:textFill>
            <w14:solidFill>
              <w14:schemeClr w14:val="tx1"/>
            </w14:solidFill>
          </w14:textFill>
        </w:rPr>
      </w:pPr>
      <w:r>
        <w:rPr>
          <w:rFonts w:eastAsia="黑体" w:cs="Times New Roman"/>
          <w:color w:val="000000" w:themeColor="text1"/>
          <w:lang w:eastAsia="zh-CN"/>
          <w14:textFill>
            <w14:solidFill>
              <w14:schemeClr w14:val="tx1"/>
            </w14:solidFill>
          </w14:textFill>
        </w:rPr>
        <w:br w:type="page"/>
      </w:r>
    </w:p>
    <w:p>
      <w:pPr>
        <w:pStyle w:val="15"/>
        <w:ind w:firstLine="0" w:firstLineChars="0"/>
        <w:rPr>
          <w:rFonts w:ascii="Times New Roman" w:hAnsi="Times New Roman" w:eastAsia="黑体" w:cs="Times New Roman"/>
          <w:color w:val="000000" w:themeColor="text1"/>
          <w:lang w:eastAsia="zh-CN"/>
          <w14:textFill>
            <w14:solidFill>
              <w14:schemeClr w14:val="tx1"/>
            </w14:solidFill>
          </w14:textFill>
        </w:rPr>
      </w:pPr>
      <w:bookmarkStart w:id="190" w:name="_Toc196915225"/>
      <w:r>
        <w:rPr>
          <w:rFonts w:hint="eastAsia" w:ascii="Times New Roman" w:hAnsi="Times New Roman" w:eastAsia="黑体" w:cs="Times New Roman"/>
          <w:color w:val="000000" w:themeColor="text1"/>
          <w:lang w:eastAsia="zh-CN"/>
          <w14:textFill>
            <w14:solidFill>
              <w14:schemeClr w14:val="tx1"/>
            </w14:solidFill>
          </w14:textFill>
        </w:rPr>
        <w:t>7</w:t>
      </w:r>
      <w:r>
        <w:rPr>
          <w:rFonts w:ascii="Times New Roman" w:hAnsi="Times New Roman" w:eastAsia="黑体" w:cs="Times New Roman"/>
          <w:color w:val="000000" w:themeColor="text1"/>
          <w:lang w:eastAsia="zh-CN"/>
          <w14:textFill>
            <w14:solidFill>
              <w14:schemeClr w14:val="tx1"/>
            </w14:solidFill>
          </w14:textFill>
        </w:rPr>
        <w:t xml:space="preserve"> 管道功能性检验</w:t>
      </w:r>
      <w:bookmarkEnd w:id="190"/>
    </w:p>
    <w:p>
      <w:pPr>
        <w:pStyle w:val="3"/>
        <w:ind w:firstLine="560"/>
      </w:pPr>
      <w:bookmarkStart w:id="191" w:name="_Toc196915226"/>
      <w:r>
        <w:rPr>
          <w:rFonts w:hint="eastAsia"/>
        </w:rPr>
        <w:t>7</w:t>
      </w:r>
      <w:r>
        <w:t>.1 一般规定</w:t>
      </w:r>
      <w:bookmarkEnd w:id="191"/>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.1.1</w:t>
      </w:r>
      <w:r>
        <w:rPr>
          <w:rFonts w:cs="Times New Roman"/>
          <w:color w:val="000000" w:themeColor="text1"/>
          <w:sz w:val="21"/>
          <w:lang w:eastAsia="zh-CN"/>
          <w14:textFill>
            <w14:solidFill>
              <w14:schemeClr w14:val="tx1"/>
            </w14:solidFill>
          </w14:textFill>
        </w:rPr>
        <w:t xml:space="preserve"> 管道修复完成后，应进行管道功能性检验。检验宜采用闭水试验或闭气试验；管径大于 2000 mm的管道，宜采用管道渗水调查检验。</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.1.2</w:t>
      </w:r>
      <w:r>
        <w:rPr>
          <w:rFonts w:cs="Times New Roman"/>
          <w:color w:val="000000" w:themeColor="text1"/>
          <w:sz w:val="21"/>
          <w:lang w:eastAsia="zh-CN"/>
          <w14:textFill>
            <w14:solidFill>
              <w14:schemeClr w14:val="tx1"/>
            </w14:solidFill>
          </w14:textFill>
        </w:rPr>
        <w:t xml:space="preserve"> 管道功能性检验除应符合本标准要求外，还应符合现行国家标准《给水排水管道工程施工及验收规范》GB 50268。</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 xml:space="preserve">.1.3 </w:t>
      </w:r>
      <w:r>
        <w:rPr>
          <w:rFonts w:cs="Times New Roman"/>
          <w:color w:val="000000" w:themeColor="text1"/>
          <w:sz w:val="21"/>
          <w:lang w:eastAsia="zh-CN"/>
          <w14:textFill>
            <w14:solidFill>
              <w14:schemeClr w14:val="tx1"/>
            </w14:solidFill>
          </w14:textFill>
        </w:rPr>
        <w:t>管道功能性检验应满足下列要求：</w:t>
      </w:r>
    </w:p>
    <w:p>
      <w:pPr>
        <w:ind w:left="420" w:firstLine="422"/>
        <w:rPr>
          <w:rFonts w:cs="Times New Roman"/>
          <w:color w:val="000000" w:themeColor="text1"/>
          <w:sz w:val="21"/>
          <w:lang w:eastAsia="zh-CN"/>
          <w14:textFill>
            <w14:solidFill>
              <w14:schemeClr w14:val="tx1"/>
            </w14:solidFill>
          </w14:textFill>
        </w:rPr>
      </w:pPr>
      <w:bookmarkStart w:id="192" w:name="_Toc9306"/>
      <w:bookmarkStart w:id="193" w:name="_Toc30281"/>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管道闭水试验合格的判定依据应为允许渗水量值；</w:t>
      </w:r>
      <w:bookmarkEnd w:id="192"/>
      <w:bookmarkEnd w:id="193"/>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管道闭气试验合格的判定依据应为达到规定压降值所需测试时间；</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管道渗水调查检验合格的判定依据应为现场检查结合CCTV辅助检查；</w:t>
      </w:r>
    </w:p>
    <w:p>
      <w:pPr>
        <w:ind w:left="420" w:firstLine="422"/>
        <w:rPr>
          <w:rFonts w:cs="Times New Roman"/>
          <w:color w:val="000000" w:themeColor="text1"/>
          <w:sz w:val="21"/>
          <w:lang w:eastAsia="zh-CN"/>
          <w14:textFill>
            <w14:solidFill>
              <w14:schemeClr w14:val="tx1"/>
            </w14:solidFill>
          </w14:textFill>
        </w:rPr>
      </w:pPr>
      <w:bookmarkStart w:id="194" w:name="_Toc32285"/>
      <w:bookmarkStart w:id="195" w:name="_Toc32583"/>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局部修复管道可不进行闭气或闭水试验；</w:t>
      </w:r>
      <w:bookmarkEnd w:id="194"/>
      <w:bookmarkEnd w:id="195"/>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采用原位固化法修复时，内衬管安装完成并冷却到周围土体温度后，方可进行试验。</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.1.4</w:t>
      </w:r>
      <w:r>
        <w:rPr>
          <w:rFonts w:cs="Times New Roman"/>
          <w:color w:val="000000" w:themeColor="text1"/>
          <w:sz w:val="21"/>
          <w:lang w:eastAsia="zh-CN"/>
          <w14:textFill>
            <w14:solidFill>
              <w14:schemeClr w14:val="tx1"/>
            </w14:solidFill>
          </w14:textFill>
        </w:rPr>
        <w:t xml:space="preserve"> 进行管道功能性检验时，应按安全作业规程进行操作。试验用水宜使用自来水或河水，应做好水源的引接、排放方案。</w:t>
      </w:r>
    </w:p>
    <w:p>
      <w:pPr>
        <w:pStyle w:val="3"/>
        <w:ind w:firstLine="560"/>
      </w:pPr>
      <w:bookmarkStart w:id="196" w:name="_Toc196915227"/>
      <w:r>
        <w:rPr>
          <w:rFonts w:hint="eastAsia"/>
        </w:rPr>
        <w:t>7</w:t>
      </w:r>
      <w:r>
        <w:t>.2 闭水试验</w:t>
      </w:r>
      <w:bookmarkEnd w:id="196"/>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.2.1</w:t>
      </w:r>
      <w:r>
        <w:rPr>
          <w:rFonts w:cs="Times New Roman"/>
          <w:color w:val="000000" w:themeColor="text1"/>
          <w:sz w:val="21"/>
          <w:lang w:eastAsia="zh-CN"/>
          <w14:textFill>
            <w14:solidFill>
              <w14:schemeClr w14:val="tx1"/>
            </w14:solidFill>
          </w14:textFill>
        </w:rPr>
        <w:t xml:space="preserve"> 管道闭水试验应按检查井间距分段进行，每段试验长度不宜超过5个连续井段，并应带井试验。</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 xml:space="preserve">.2.2 </w:t>
      </w:r>
      <w:r>
        <w:rPr>
          <w:rFonts w:cs="Times New Roman"/>
          <w:color w:val="000000" w:themeColor="text1"/>
          <w:sz w:val="21"/>
          <w:lang w:eastAsia="zh-CN"/>
          <w14:textFill>
            <w14:solidFill>
              <w14:schemeClr w14:val="tx1"/>
            </w14:solidFill>
          </w14:textFill>
        </w:rPr>
        <w:t>管道闭水试验应符合下列规定：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试验段上游设计水头不超过管顶内壁时，试验水头应以试验段上游管顶内壁加 2 m计；</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试验段上游设计水头超过管顶内壁时，试验水头应以试验段上游设计水头加 2 m计；</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计算试验水头小于 10 m，但已超过上游检查井井口时，试验水头应以检查井井口高度为准。</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.2.3</w:t>
      </w:r>
      <w:r>
        <w:rPr>
          <w:rFonts w:cs="Times New Roman"/>
          <w:color w:val="000000" w:themeColor="text1"/>
          <w:sz w:val="21"/>
          <w:lang w:eastAsia="zh-CN"/>
          <w14:textFill>
            <w14:solidFill>
              <w14:schemeClr w14:val="tx1"/>
            </w14:solidFill>
          </w14:textFill>
        </w:rPr>
        <w:t xml:space="preserve"> 闭水试验应采用补水法进行，判定闭水试验合格的依据应为实测渗水量不大于允许渗水量，允许渗水量可按下式计算：</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37"/>
        <w:gridCol w:w="2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37" w:type="dxa"/>
          </w:tcPr>
          <w:p>
            <w:pPr>
              <w:ind w:firstLine="0" w:firstLineChars="0"/>
              <w:jc w:val="center"/>
              <w:rPr>
                <w:rFonts w:cs="Times New Roman"/>
                <w:color w:val="000000" w:themeColor="text1"/>
                <w:sz w:val="21"/>
                <w:lang w:eastAsia="zh-CN"/>
                <w14:textFill>
                  <w14:solidFill>
                    <w14:schemeClr w14:val="tx1"/>
                  </w14:solidFill>
                </w14:textFill>
              </w:rPr>
            </w:pPr>
            <m:oMathPara>
              <m:oMath>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Q</m:t>
                    </m:r>
                    <m:ctrlPr>
                      <w:rPr>
                        <w:rFonts w:ascii="Cambria Math" w:hAnsi="Cambria Math" w:cs="Times New Roman"/>
                        <w:i/>
                        <w:color w:val="000000" w:themeColor="text1"/>
                        <w:sz w:val="21"/>
                        <w:lang w:eastAsia="zh-CN"/>
                        <w14:textFill>
                          <w14:solidFill>
                            <w14:schemeClr w14:val="tx1"/>
                          </w14:solidFill>
                        </w14:textFill>
                      </w:rPr>
                    </m:ctrlPr>
                  </m:e>
                  <m:sub>
                    <m:r>
                      <m:rPr/>
                      <w:rPr>
                        <w:rFonts w:hint="eastAsia" w:ascii="Cambria Math" w:hAnsi="Cambria Math" w:cs="Times New Roman"/>
                        <w:color w:val="000000" w:themeColor="text1"/>
                        <w:sz w:val="21"/>
                        <w:lang w:eastAsia="zh-CN"/>
                        <w14:textFill>
                          <w14:solidFill>
                            <w14:schemeClr w14:val="tx1"/>
                          </w14:solidFill>
                        </w14:textFill>
                      </w:rPr>
                      <m:t>s</m:t>
                    </m:r>
                    <m:ctrlPr>
                      <w:rPr>
                        <w:rFonts w:ascii="Cambria Math" w:hAnsi="Cambria Math" w:cs="Times New Roman"/>
                        <w:i/>
                        <w:color w:val="000000" w:themeColor="text1"/>
                        <w:sz w:val="21"/>
                        <w:lang w:eastAsia="zh-CN"/>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=0.0046</m:t>
                </m:r>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D</m:t>
                    </m:r>
                    <m:ctrlPr>
                      <w:rPr>
                        <w:rFonts w:ascii="Cambria Math" w:hAnsi="Cambria Math" w:cs="Times New Roman"/>
                        <w:i/>
                        <w:color w:val="000000" w:themeColor="text1"/>
                        <w:sz w:val="21"/>
                        <w:lang w:eastAsia="zh-CN"/>
                        <w14:textFill>
                          <w14:solidFill>
                            <w14:schemeClr w14:val="tx1"/>
                          </w14:solidFill>
                        </w14:textFill>
                      </w:rPr>
                    </m:ctrlPr>
                  </m:e>
                  <m:sub>
                    <m:r>
                      <m:rPr/>
                      <w:rPr>
                        <w:rFonts w:hint="eastAsia" w:ascii="Cambria Math" w:hAnsi="Cambria Math" w:cs="Times New Roman"/>
                        <w:color w:val="000000" w:themeColor="text1"/>
                        <w:sz w:val="21"/>
                        <w:lang w:eastAsia="zh-CN"/>
                        <w14:textFill>
                          <w14:solidFill>
                            <w14:schemeClr w14:val="tx1"/>
                          </w14:solidFill>
                        </w14:textFill>
                      </w:rPr>
                      <m:t>j</m:t>
                    </m:r>
                    <m:ctrlPr>
                      <w:rPr>
                        <w:rFonts w:ascii="Cambria Math" w:hAnsi="Cambria Math" w:cs="Times New Roman"/>
                        <w:i/>
                        <w:color w:val="000000" w:themeColor="text1"/>
                        <w:sz w:val="21"/>
                        <w:lang w:eastAsia="zh-CN"/>
                        <w14:textFill>
                          <w14:solidFill>
                            <w14:schemeClr w14:val="tx1"/>
                          </w14:solidFill>
                        </w14:textFill>
                      </w:rPr>
                    </m:ctrlPr>
                  </m:sub>
                </m:sSub>
              </m:oMath>
            </m:oMathPara>
          </w:p>
        </w:tc>
        <w:tc>
          <w:tcPr>
            <w:tcW w:w="2059" w:type="dxa"/>
          </w:tcPr>
          <w:p>
            <w:pPr>
              <w:pStyle w:val="14"/>
            </w:pPr>
            <w:r>
              <w:rPr>
                <w:rFonts w:hint="eastAsia"/>
              </w:rPr>
              <w:t>（7.2.3）</w:t>
            </w:r>
          </w:p>
        </w:tc>
      </w:tr>
    </w:tbl>
    <w:p>
      <w:pPr>
        <w:ind w:left="480" w:leftChars="20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式中：Q——允许渗水量[m</w:t>
      </w:r>
      <w:r>
        <w:rPr>
          <w:rFonts w:cs="Times New Roman"/>
          <w:color w:val="000000" w:themeColor="text1"/>
          <w:sz w:val="21"/>
          <w:vertAlign w:val="superscript"/>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/（24 h·km）]；</w:t>
      </w:r>
    </w:p>
    <w:p>
      <w:pPr>
        <w:ind w:left="995" w:firstLine="474" w:firstLineChars="226"/>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Dj——试验管道内径（mm）。</w:t>
      </w:r>
    </w:p>
    <w:p>
      <w:pPr>
        <w:pStyle w:val="3"/>
        <w:ind w:firstLine="560"/>
      </w:pPr>
      <w:bookmarkStart w:id="197" w:name="_Toc196915228"/>
      <w:r>
        <w:rPr>
          <w:rFonts w:hint="eastAsia"/>
        </w:rPr>
        <w:t>7</w:t>
      </w:r>
      <w:r>
        <w:t>.3 闭气试验</w:t>
      </w:r>
      <w:bookmarkEnd w:id="197"/>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7.3.1 </w:t>
      </w:r>
      <w:r>
        <w:rPr>
          <w:rFonts w:hint="eastAsia" w:cs="Times New Roman"/>
          <w:color w:val="000000" w:themeColor="text1"/>
          <w:sz w:val="21"/>
          <w:lang w:eastAsia="zh-CN"/>
          <w14:textFill>
            <w14:solidFill>
              <w14:schemeClr w14:val="tx1"/>
            </w14:solidFill>
          </w14:textFill>
        </w:rPr>
        <w:t>螺旋缠绕内衬法、短管内衬法和碎裂管法工程施工完成后应进行闭气试验，并应符合现行行业标准《城镇排水管道非开挖修复更新工程技术规程》CJJ/T 210的规定。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.3.</w:t>
      </w:r>
      <w:r>
        <w:rPr>
          <w:rFonts w:hint="eastAsia"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闭气试验可用于修复后口径不大于 2000 mm塑料内衬排水管道的严密性试验。</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.3.</w:t>
      </w:r>
      <w:r>
        <w:rPr>
          <w:rFonts w:hint="eastAsia"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管道闭气试验应按本标准附录</w:t>
      </w:r>
      <w:r>
        <w:rPr>
          <w:rFonts w:hint="eastAsia" w:cs="Times New Roman"/>
          <w:color w:val="000000" w:themeColor="text1"/>
          <w:sz w:val="21"/>
          <w:lang w:eastAsia="zh-CN"/>
          <w14:textFill>
            <w14:solidFill>
              <w14:schemeClr w14:val="tx1"/>
            </w14:solidFill>
          </w14:textFill>
        </w:rPr>
        <w:t>D</w:t>
      </w:r>
      <w:r>
        <w:rPr>
          <w:rFonts w:cs="Times New Roman"/>
          <w:color w:val="000000" w:themeColor="text1"/>
          <w:sz w:val="21"/>
          <w:lang w:eastAsia="zh-CN"/>
          <w14:textFill>
            <w14:solidFill>
              <w14:schemeClr w14:val="tx1"/>
            </w14:solidFill>
          </w14:textFill>
        </w:rPr>
        <w:t>的规定执行。</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.3.</w:t>
      </w:r>
      <w:r>
        <w:rPr>
          <w:rFonts w:hint="eastAsia"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w:t>
      </w:r>
      <w:bookmarkStart w:id="198" w:name="OLE_LINK50"/>
      <w:r>
        <w:rPr>
          <w:rFonts w:cs="Times New Roman"/>
          <w:color w:val="000000" w:themeColor="text1"/>
          <w:sz w:val="21"/>
          <w:lang w:eastAsia="zh-CN"/>
          <w14:textFill>
            <w14:solidFill>
              <w14:schemeClr w14:val="tx1"/>
            </w14:solidFill>
          </w14:textFill>
        </w:rPr>
        <w:t>管道闭气试验的合格判定应符合下列规定：</w:t>
      </w:r>
    </w:p>
    <w:bookmarkEnd w:id="198"/>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闭气试验的起始测试气压宜为3×10⁴Pa，如管道所处的地下水位高于管道内底 0.5m以上时，应提高起始测试气压，增加的测试气压值</w:t>
      </w:r>
      <w:r>
        <w:rPr>
          <w:rFonts w:ascii="Cambria Math" w:hAnsi="Cambria Math" w:cs="Cambria Math"/>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P和起始测试气压P可按下列公式计算：</w:t>
      </w:r>
      <w:bookmarkStart w:id="199" w:name="OLE_LINK111"/>
    </w:p>
    <w:bookmarkEnd w:id="199"/>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37"/>
        <w:gridCol w:w="2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37" w:type="dxa"/>
          </w:tcPr>
          <w:p>
            <w:pPr>
              <w:pStyle w:val="14"/>
            </w:pPr>
            <m:oMathPara>
              <m:oMathParaPr>
                <m:jc m:val="center"/>
              </m:oMathParaPr>
              <m:oMath>
                <w:bookmarkStart w:id="200" w:name="OLE_LINK112"/>
                <m:r>
                  <m:rPr>
                    <m:sty m:val="b"/>
                  </m:rPr>
                  <w:rPr>
                    <w:rFonts w:ascii="Cambria Math" w:hAnsi="Cambria Math"/>
                  </w:rPr>
                  <m:t>∆</m:t>
                </m:r>
                <m:r>
                  <m:rPr>
                    <m:sty m:val="bi"/>
                  </m:rPr>
                  <w:rPr>
                    <w:rFonts w:ascii="Cambria Math" w:hAnsi="Cambria Math"/>
                  </w:rPr>
                  <m:t>P</m:t>
                </m:r>
                <m:r>
                  <m:rPr>
                    <m:sty m:val="b"/>
                  </m:rPr>
                  <w:rPr>
                    <w:rFonts w:ascii="Cambria Math" w:hAnsi="Cambria Math"/>
                  </w:rPr>
                  <m:t>=9800</m:t>
                </m:r>
                <m:d>
                  <m:dPr>
                    <m:ctrlPr>
                      <w:rPr>
                        <w:rFonts w:ascii="Cambria Math" w:hAnsi="Cambria Math"/>
                      </w:rPr>
                    </m:ctrlPr>
                  </m:dPr>
                  <m:e>
                    <m:sSub>
                      <m:sSubPr>
                        <m:ctrlPr>
                          <w:rPr>
                            <w:rFonts w:ascii="Cambria Math" w:hAnsi="Cambria Math"/>
                          </w:rPr>
                        </m:ctrlPr>
                      </m:sSubPr>
                      <m:e>
                        <m:r>
                          <m:rPr>
                            <m:sty m:val="bi"/>
                          </m:rPr>
                          <w:rPr>
                            <w:rFonts w:ascii="Cambria Math" w:hAnsi="Cambria Math"/>
                          </w:rPr>
                          <m:t>Z</m:t>
                        </m:r>
                        <m:ctrlPr>
                          <w:rPr>
                            <w:rFonts w:ascii="Cambria Math" w:hAnsi="Cambria Math"/>
                          </w:rPr>
                        </m:ctrlPr>
                      </m:e>
                      <m:sub>
                        <m:r>
                          <m:rPr>
                            <m:sty m:val="bi"/>
                          </m:rPr>
                          <w:rPr>
                            <w:rFonts w:hint="eastAsia" w:ascii="Cambria Math" w:hAnsi="Cambria Math"/>
                          </w:rPr>
                          <m:t>s</m:t>
                        </m:r>
                        <m:ctrlPr>
                          <w:rPr>
                            <w:rFonts w:ascii="Cambria Math" w:hAnsi="Cambria Math"/>
                          </w:rPr>
                        </m:ctrlP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Z</m:t>
                        </m:r>
                        <m:ctrlPr>
                          <w:rPr>
                            <w:rFonts w:ascii="Cambria Math" w:hAnsi="Cambria Math"/>
                          </w:rPr>
                        </m:ctrlPr>
                      </m:e>
                      <m:sub>
                        <m:r>
                          <m:rPr>
                            <m:sty m:val="bi"/>
                          </m:rPr>
                          <w:rPr>
                            <w:rFonts w:hint="eastAsia" w:ascii="Cambria Math" w:hAnsi="Cambria Math"/>
                          </w:rPr>
                          <m:t>g</m:t>
                        </m:r>
                        <m:ctrlPr>
                          <w:rPr>
                            <w:rFonts w:ascii="Cambria Math" w:hAnsi="Cambria Math"/>
                          </w:rPr>
                        </m:ctrlPr>
                      </m:sub>
                    </m:sSub>
                    <m:r>
                      <m:rPr>
                        <m:sty m:val="b"/>
                      </m:rPr>
                      <w:rPr>
                        <w:rFonts w:ascii="Cambria Math" w:hAnsi="Cambria Math"/>
                      </w:rPr>
                      <m:t>−0.5</m:t>
                    </m:r>
                    <m:ctrlPr>
                      <w:rPr>
                        <w:rFonts w:ascii="Cambria Math" w:hAnsi="Cambria Math"/>
                      </w:rPr>
                    </m:ctrlPr>
                  </m:e>
                </m:d>
              </m:oMath>
            </m:oMathPara>
          </w:p>
        </w:tc>
        <w:tc>
          <w:tcPr>
            <w:tcW w:w="2059" w:type="dxa"/>
          </w:tcPr>
          <w:p>
            <w:pPr>
              <w:pStyle w:val="14"/>
            </w:pPr>
            <w:r>
              <w:rPr>
                <w:rFonts w:hint="eastAsia"/>
              </w:rPr>
              <w:t>（7.3.4-1）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37" w:type="dxa"/>
          </w:tcPr>
          <w:p>
            <w:pPr>
              <w:ind w:firstLine="0" w:firstLineChars="0"/>
              <w:jc w:val="center"/>
              <w:rPr>
                <w:rFonts w:cs="Times New Roman"/>
                <w:color w:val="000000" w:themeColor="text1"/>
                <w:sz w:val="21"/>
                <w:lang w:eastAsia="zh-CN"/>
                <w14:textFill>
                  <w14:solidFill>
                    <w14:schemeClr w14:val="tx1"/>
                  </w14:solidFill>
                </w14:textFill>
              </w:rPr>
            </w:pPr>
            <m:oMath>
              <m:r>
                <m:rPr/>
                <w:rPr>
                  <w:rFonts w:ascii="Cambria Math" w:hAnsi="Cambria Math" w:cs="Times New Roman"/>
                  <w:color w:val="000000" w:themeColor="text1"/>
                  <w:sz w:val="21"/>
                  <w:lang w:eastAsia="zh-CN"/>
                  <w14:textFill>
                    <w14:solidFill>
                      <w14:schemeClr w14:val="tx1"/>
                    </w14:solidFill>
                  </w14:textFill>
                </w:rPr>
                <m:t>P=30000+∆</m:t>
              </m:r>
            </m:oMath>
            <w:r>
              <w:rPr>
                <w:rFonts w:hint="eastAsia" w:cs="Times New Roman"/>
                <w:color w:val="000000" w:themeColor="text1"/>
                <w:sz w:val="21"/>
                <w:lang w:eastAsia="zh-CN"/>
                <w14:textFill>
                  <w14:solidFill>
                    <w14:schemeClr w14:val="tx1"/>
                  </w14:solidFill>
                </w14:textFill>
              </w:rPr>
              <w:t>P</w:t>
            </w:r>
          </w:p>
        </w:tc>
        <w:tc>
          <w:tcPr>
            <w:tcW w:w="2059" w:type="dxa"/>
          </w:tcPr>
          <w:p>
            <w:pPr>
              <w:pStyle w:val="14"/>
            </w:pPr>
            <w:r>
              <w:rPr>
                <w:rFonts w:hint="eastAsia"/>
              </w:rPr>
              <w:t>（7.3.4-2）</w:t>
            </w:r>
          </w:p>
        </w:tc>
      </w:tr>
      <w:bookmarkEnd w:id="200"/>
    </w:tbl>
    <w:p>
      <w:pPr>
        <w:ind w:left="36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式中：P——闭气试验的起始测试气压（Pa）；</w:t>
      </w:r>
    </w:p>
    <w:p>
      <w:pPr>
        <w:ind w:left="780" w:firstLine="630" w:firstLineChars="300"/>
        <w:rPr>
          <w:rFonts w:cs="Times New Roman"/>
          <w:color w:val="000000" w:themeColor="text1"/>
          <w:sz w:val="21"/>
          <w:lang w:eastAsia="zh-CN"/>
          <w14:textFill>
            <w14:solidFill>
              <w14:schemeClr w14:val="tx1"/>
            </w14:solidFill>
          </w14:textFill>
        </w:rPr>
      </w:pPr>
      <w:r>
        <w:rPr>
          <w:rFonts w:ascii="Cambria Math" w:hAnsi="Cambria Math" w:cs="Cambria Math"/>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P——试验压力修正值（Pa）；</w:t>
      </w:r>
    </w:p>
    <w:p>
      <w:pPr>
        <w:ind w:left="78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Z</w:t>
      </w:r>
      <w:r>
        <w:rPr>
          <w:rFonts w:cs="Times New Roman"/>
          <w:color w:val="000000" w:themeColor="text1"/>
          <w:sz w:val="21"/>
          <w:vertAlign w:val="subscript"/>
          <w:lang w:eastAsia="zh-CN"/>
          <w14:textFill>
            <w14:solidFill>
              <w14:schemeClr w14:val="tx1"/>
            </w14:solidFill>
          </w14:textFill>
        </w:rPr>
        <w:t>s</w:t>
      </w:r>
      <w:r>
        <w:rPr>
          <w:rFonts w:cs="Times New Roman"/>
          <w:color w:val="000000" w:themeColor="text1"/>
          <w:sz w:val="21"/>
          <w:lang w:eastAsia="zh-CN"/>
          <w14:textFill>
            <w14:solidFill>
              <w14:schemeClr w14:val="tx1"/>
            </w14:solidFill>
          </w14:textFill>
        </w:rPr>
        <w:t>——管道所处的地下水位标高（m）；</w:t>
      </w:r>
    </w:p>
    <w:p>
      <w:pPr>
        <w:ind w:left="780" w:firstLine="630" w:firstLineChars="3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Z</w:t>
      </w:r>
      <w:r>
        <w:rPr>
          <w:rFonts w:cs="Times New Roman"/>
          <w:color w:val="000000" w:themeColor="text1"/>
          <w:sz w:val="21"/>
          <w:vertAlign w:val="subscript"/>
          <w:lang w:eastAsia="zh-CN"/>
          <w14:textFill>
            <w14:solidFill>
              <w14:schemeClr w14:val="tx1"/>
            </w14:solidFill>
          </w14:textFill>
        </w:rPr>
        <w:t>g</w:t>
      </w:r>
      <w:r>
        <w:rPr>
          <w:rFonts w:cs="Times New Roman"/>
          <w:color w:val="000000" w:themeColor="text1"/>
          <w:sz w:val="21"/>
          <w:lang w:eastAsia="zh-CN"/>
          <w14:textFill>
            <w14:solidFill>
              <w14:schemeClr w14:val="tx1"/>
            </w14:solidFill>
          </w14:textFill>
        </w:rPr>
        <w:t>——管道的管内底标高（m）。</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闭气试验通过规定的压降值所需测试时间来判定严密性试验是否合格。当闭气管段内的压降值达到规定的7000 Pa或3500 Pa，所需的时间大于表</w:t>
      </w:r>
      <w:r>
        <w:rPr>
          <w:rFonts w:hint="eastAsia" w:cs="Times New Roman"/>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-1和表</w:t>
      </w:r>
      <w:r>
        <w:rPr>
          <w:rFonts w:hint="eastAsia" w:cs="Times New Roman"/>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-2中相对应的标准闭气时间T时，则该段管道严密性合格。</w:t>
      </w:r>
    </w:p>
    <w:p>
      <w:pPr>
        <w:ind w:firstLine="422"/>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.3.</w:t>
      </w:r>
      <w:r>
        <w:rPr>
          <w:rFonts w:hint="eastAsia" w:cs="Times New Roman"/>
          <w:b/>
          <w:bCs/>
          <w:color w:val="000000" w:themeColor="text1"/>
          <w:sz w:val="21"/>
          <w:lang w:eastAsia="zh-CN"/>
          <w14:textFill>
            <w14:solidFill>
              <w14:schemeClr w14:val="tx1"/>
            </w14:solidFill>
          </w14:textFill>
        </w:rPr>
        <w:t>4</w:t>
      </w:r>
      <w:r>
        <w:rPr>
          <w:rFonts w:cs="Times New Roman"/>
          <w:b/>
          <w:bCs/>
          <w:color w:val="000000" w:themeColor="text1"/>
          <w:sz w:val="21"/>
          <w:lang w:eastAsia="zh-CN"/>
          <w14:textFill>
            <w14:solidFill>
              <w14:schemeClr w14:val="tx1"/>
            </w14:solidFill>
          </w14:textFill>
        </w:rPr>
        <w:t>-1 闭气试验压降值为7000Pa时的标准闭气时间</w:t>
      </w:r>
    </w:p>
    <w:tbl>
      <w:tblPr>
        <w:tblStyle w:val="16"/>
        <w:tblW w:w="5000" w:type="pct"/>
        <w:tblInd w:w="0" w:type="dxa"/>
        <w:tblLayout w:type="autofit"/>
        <w:tblCellMar>
          <w:top w:w="0" w:type="dxa"/>
          <w:left w:w="108" w:type="dxa"/>
          <w:bottom w:w="0" w:type="dxa"/>
          <w:right w:w="108" w:type="dxa"/>
        </w:tblCellMar>
      </w:tblPr>
      <w:tblGrid>
        <w:gridCol w:w="988"/>
        <w:gridCol w:w="1190"/>
        <w:gridCol w:w="1079"/>
        <w:gridCol w:w="810"/>
        <w:gridCol w:w="607"/>
        <w:gridCol w:w="798"/>
        <w:gridCol w:w="811"/>
        <w:gridCol w:w="811"/>
        <w:gridCol w:w="716"/>
        <w:gridCol w:w="712"/>
      </w:tblGrid>
      <w:tr>
        <w:tblPrEx>
          <w:tblCellMar>
            <w:top w:w="0" w:type="dxa"/>
            <w:left w:w="108" w:type="dxa"/>
            <w:bottom w:w="0" w:type="dxa"/>
            <w:right w:w="108" w:type="dxa"/>
          </w:tblCellMar>
        </w:tblPrEx>
        <w:trPr>
          <w:trHeight w:val="288" w:hRule="atLeast"/>
        </w:trPr>
        <w:tc>
          <w:tcPr>
            <w:tcW w:w="58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转价（mm）</w:t>
            </w:r>
          </w:p>
        </w:tc>
        <w:tc>
          <w:tcPr>
            <w:tcW w:w="69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最小闭气时间</w:t>
            </w:r>
          </w:p>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（h:m）</w:t>
            </w:r>
          </w:p>
        </w:tc>
        <w:tc>
          <w:tcPr>
            <w:tcW w:w="6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最小闭气时间对应管段长度 （m）</w:t>
            </w:r>
          </w:p>
        </w:tc>
        <w:tc>
          <w:tcPr>
            <w:tcW w:w="3089" w:type="pct"/>
            <w:gridSpan w:val="7"/>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检测管段长度L（m），相应的标准闭气时间T（h:m）</w:t>
            </w:r>
          </w:p>
        </w:tc>
      </w:tr>
      <w:tr>
        <w:tblPrEx>
          <w:tblCellMar>
            <w:top w:w="0" w:type="dxa"/>
            <w:left w:w="108" w:type="dxa"/>
            <w:bottom w:w="0" w:type="dxa"/>
            <w:right w:w="108" w:type="dxa"/>
          </w:tblCellMar>
        </w:tblPrEx>
        <w:trPr>
          <w:trHeight w:val="288" w:hRule="atLeast"/>
        </w:trPr>
        <w:tc>
          <w:tcPr>
            <w:tcW w:w="580" w:type="pct"/>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p>
        </w:tc>
        <w:tc>
          <w:tcPr>
            <w:tcW w:w="698" w:type="pct"/>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p>
        </w:tc>
        <w:tc>
          <w:tcPr>
            <w:tcW w:w="633" w:type="pct"/>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10m</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20m</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30m</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40m</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60m</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80m</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100m</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0:12</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62</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0:12</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0:12</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0:12</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0:12</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0:12</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0:15</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0:19</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0:15</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46</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0:15</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0:15</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0:15</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0:15</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0:20</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0:26</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0:33</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0:23</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31</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0:23</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0:23</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0:23</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0:29</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0:11</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0:58</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1:13</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0:03</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23</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0:30</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0:30</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0:39</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0:52</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1:18</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1:44</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2:09</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900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0:34</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21</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0:34</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0:34</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0:49</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1:06</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1:38</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2:11</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2:44</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0:38</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18</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0:38</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0:41</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1:01</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1:21</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2:01</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2:41</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3:22</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0:45</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0:45</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0:58</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1:27</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1:56</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2:54</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3:52</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4:50</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1300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0:49</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14</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0:49</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1:09</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1:43</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2:17</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3:25</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4:33</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5:41</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0:53</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13</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0:53</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1:19</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1:59</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2;38</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3:57</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5:16</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6:35</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0:56</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0:56</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1:31</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2:16</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3:02</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4:32</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6:03</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7:33</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1600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0:60</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0:6</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1:44</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2:35</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3:27</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5:10</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6:53</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8:36</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1700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1:04</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1:04</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1:57</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2:55</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3:53</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5:49</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7:46</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9:42</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1:07</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1:07</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2:11</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3:16</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4:21</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6:32</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8:42</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10:53</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1900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1.11</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1:11</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2:26</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3:38</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4:51</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7:16</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9:42</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12:07</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2000</w:t>
            </w:r>
          </w:p>
        </w:tc>
        <w:tc>
          <w:tcPr>
            <w:tcW w:w="69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1:15</w:t>
            </w:r>
          </w:p>
        </w:tc>
        <w:tc>
          <w:tcPr>
            <w:tcW w:w="63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9</w:t>
            </w:r>
          </w:p>
        </w:tc>
        <w:tc>
          <w:tcPr>
            <w:tcW w:w="47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1:15</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2:41</w:t>
            </w:r>
          </w:p>
        </w:tc>
        <w:tc>
          <w:tcPr>
            <w:tcW w:w="468"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1:02</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5:22</w:t>
            </w:r>
          </w:p>
        </w:tc>
        <w:tc>
          <w:tcPr>
            <w:tcW w:w="47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8:03</w:t>
            </w:r>
          </w:p>
        </w:tc>
        <w:tc>
          <w:tcPr>
            <w:tcW w:w="420"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10:44</w:t>
            </w:r>
          </w:p>
        </w:tc>
        <w:tc>
          <w:tcPr>
            <w:tcW w:w="419"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13:25</w:t>
            </w:r>
          </w:p>
        </w:tc>
      </w:tr>
    </w:tbl>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注：检测管段长度非表中给出值时，可用内插法计算对应标准闭气时间。</w:t>
      </w:r>
    </w:p>
    <w:p>
      <w:pPr>
        <w:ind w:firstLine="422"/>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表</w:t>
      </w: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.3.</w:t>
      </w:r>
      <w:r>
        <w:rPr>
          <w:rFonts w:hint="eastAsia" w:cs="Times New Roman"/>
          <w:b/>
          <w:bCs/>
          <w:color w:val="000000" w:themeColor="text1"/>
          <w:sz w:val="21"/>
          <w:lang w:eastAsia="zh-CN"/>
          <w14:textFill>
            <w14:solidFill>
              <w14:schemeClr w14:val="tx1"/>
            </w14:solidFill>
          </w14:textFill>
        </w:rPr>
        <w:t>4</w:t>
      </w:r>
      <w:r>
        <w:rPr>
          <w:rFonts w:cs="Times New Roman"/>
          <w:b/>
          <w:bCs/>
          <w:color w:val="000000" w:themeColor="text1"/>
          <w:sz w:val="21"/>
          <w:lang w:eastAsia="zh-CN"/>
          <w14:textFill>
            <w14:solidFill>
              <w14:schemeClr w14:val="tx1"/>
            </w14:solidFill>
          </w14:textFill>
        </w:rPr>
        <w:t>-2 闭气试验压降值为3500Pa时的标准闭气时间</w:t>
      </w:r>
    </w:p>
    <w:tbl>
      <w:tblPr>
        <w:tblStyle w:val="16"/>
        <w:tblW w:w="5000" w:type="pct"/>
        <w:tblInd w:w="0" w:type="dxa"/>
        <w:tblLayout w:type="autofit"/>
        <w:tblCellMar>
          <w:top w:w="0" w:type="dxa"/>
          <w:left w:w="108" w:type="dxa"/>
          <w:bottom w:w="0" w:type="dxa"/>
          <w:right w:w="108" w:type="dxa"/>
        </w:tblCellMar>
      </w:tblPr>
      <w:tblGrid>
        <w:gridCol w:w="988"/>
        <w:gridCol w:w="1164"/>
        <w:gridCol w:w="1065"/>
        <w:gridCol w:w="803"/>
        <w:gridCol w:w="607"/>
        <w:gridCol w:w="803"/>
        <w:gridCol w:w="803"/>
        <w:gridCol w:w="803"/>
        <w:gridCol w:w="683"/>
        <w:gridCol w:w="803"/>
      </w:tblGrid>
      <w:tr>
        <w:tblPrEx>
          <w:tblCellMar>
            <w:top w:w="0" w:type="dxa"/>
            <w:left w:w="108" w:type="dxa"/>
            <w:bottom w:w="0" w:type="dxa"/>
            <w:right w:w="108" w:type="dxa"/>
          </w:tblCellMar>
        </w:tblPrEx>
        <w:trPr>
          <w:trHeight w:val="288" w:hRule="atLeast"/>
        </w:trPr>
        <w:tc>
          <w:tcPr>
            <w:tcW w:w="58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转价（mm）</w:t>
            </w:r>
          </w:p>
        </w:tc>
        <w:tc>
          <w:tcPr>
            <w:tcW w:w="6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最小闭气时间</w:t>
            </w:r>
          </w:p>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（h:m）</w:t>
            </w:r>
          </w:p>
        </w:tc>
        <w:tc>
          <w:tcPr>
            <w:tcW w:w="6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最小闭气时间对应管段长度 （m）</w:t>
            </w:r>
          </w:p>
        </w:tc>
        <w:tc>
          <w:tcPr>
            <w:tcW w:w="3112" w:type="pct"/>
            <w:gridSpan w:val="7"/>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检测管段长度L（m），相应的标准闭气时间T（h:m）</w:t>
            </w:r>
          </w:p>
        </w:tc>
      </w:tr>
      <w:tr>
        <w:tblPrEx>
          <w:tblCellMar>
            <w:top w:w="0" w:type="dxa"/>
            <w:left w:w="108" w:type="dxa"/>
            <w:bottom w:w="0" w:type="dxa"/>
            <w:right w:w="108" w:type="dxa"/>
          </w:tblCellMar>
        </w:tblPrEx>
        <w:trPr>
          <w:trHeight w:val="288" w:hRule="atLeast"/>
        </w:trPr>
        <w:tc>
          <w:tcPr>
            <w:tcW w:w="580" w:type="pct"/>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ind w:firstLine="0" w:firstLineChars="0"/>
              <w:jc w:val="left"/>
              <w:textAlignment w:val="auto"/>
              <w:rPr>
                <w:rFonts w:cs="Times New Roman"/>
                <w:snapToGrid/>
                <w:color w:val="000000" w:themeColor="text1"/>
                <w:sz w:val="21"/>
                <w:lang w:eastAsia="zh-CN"/>
                <w14:textFill>
                  <w14:solidFill>
                    <w14:schemeClr w14:val="tx1"/>
                  </w14:solidFill>
                </w14:textFill>
              </w:rPr>
            </w:pPr>
          </w:p>
        </w:tc>
        <w:tc>
          <w:tcPr>
            <w:tcW w:w="683" w:type="pct"/>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ind w:firstLine="0" w:firstLineChars="0"/>
              <w:jc w:val="left"/>
              <w:textAlignment w:val="auto"/>
              <w:rPr>
                <w:rFonts w:cs="Times New Roman"/>
                <w:snapToGrid/>
                <w:color w:val="000000" w:themeColor="text1"/>
                <w:sz w:val="21"/>
                <w:lang w:eastAsia="zh-CN"/>
                <w14:textFill>
                  <w14:solidFill>
                    <w14:schemeClr w14:val="tx1"/>
                  </w14:solidFill>
                </w14:textFill>
              </w:rPr>
            </w:pPr>
          </w:p>
        </w:tc>
        <w:tc>
          <w:tcPr>
            <w:tcW w:w="625" w:type="pct"/>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ind w:firstLine="0" w:firstLineChars="0"/>
              <w:jc w:val="left"/>
              <w:textAlignment w:val="auto"/>
              <w:rPr>
                <w:rFonts w:cs="Times New Roman"/>
                <w:snapToGrid/>
                <w:color w:val="000000" w:themeColor="text1"/>
                <w:sz w:val="21"/>
                <w:lang w:eastAsia="zh-CN"/>
                <w14:textFill>
                  <w14:solidFill>
                    <w14:schemeClr w14:val="tx1"/>
                  </w14:solidFill>
                </w14:textFill>
              </w:rPr>
            </w:pP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10m</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20m</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30m</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40m</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60m</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80m</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100m</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0:12</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62</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0:06</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0:06</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0:06</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0:06</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0:06</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0:08</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0:10</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0:15</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46</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0:08</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0:08</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0:08</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0:08</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0:10</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0:13</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0:17</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0:23</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0:12</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0:12</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0:12</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0:15</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0:22</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0:29</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0:37</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800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0:03</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23</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0:15</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0:15</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0:20</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0:26</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0:39</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0:52</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1:05</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900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0:34</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0:17</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0:17</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0:25</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0:33</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0:49</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1:06</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1:22</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0:38</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18</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0:19</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1:01</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1:41</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0:45</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0:23</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0:29</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0:58</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1:27</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1:56</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2:25</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1300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0:49</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14</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0:25</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0:35</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0:52</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1:09</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1:43</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2:17</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2:51</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0:53</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13</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0:27</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0:40</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0:60</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1:19</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1:59</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2:38</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3:18</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0:56</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0:28</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0:46</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1:08</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1:31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2:16</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3:02</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3:47</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1600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0:60</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0:30</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0:52</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1:18</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1:44</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2:35</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3:27</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4:18</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1700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1:04</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0:32</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0:59</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1:28</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1:57</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2:55</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3:53</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4:51</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1500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1:07</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0:34</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1:06</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1:38</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2:11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3:16</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4:21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5:27</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1900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1.11</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10</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0:37</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1:13</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1:49</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2:26</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3:38</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4:51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6:04</w:t>
            </w:r>
          </w:p>
        </w:tc>
      </w:tr>
      <w:tr>
        <w:tblPrEx>
          <w:tblCellMar>
            <w:top w:w="0" w:type="dxa"/>
            <w:left w:w="108" w:type="dxa"/>
            <w:bottom w:w="0" w:type="dxa"/>
            <w:right w:w="108" w:type="dxa"/>
          </w:tblCellMar>
        </w:tblPrEx>
        <w:trPr>
          <w:trHeight w:val="288" w:hRule="atLeast"/>
        </w:trPr>
        <w:tc>
          <w:tcPr>
            <w:tcW w:w="580"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2000</w:t>
            </w:r>
          </w:p>
        </w:tc>
        <w:tc>
          <w:tcPr>
            <w:tcW w:w="683"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1:15</w:t>
            </w:r>
          </w:p>
        </w:tc>
        <w:tc>
          <w:tcPr>
            <w:tcW w:w="625"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9</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0:41</w:t>
            </w:r>
          </w:p>
        </w:tc>
        <w:tc>
          <w:tcPr>
            <w:tcW w:w="356"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1:21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2:01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2:11</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4:02</w:t>
            </w:r>
          </w:p>
        </w:tc>
        <w:tc>
          <w:tcPr>
            <w:tcW w:w="40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5:22</w:t>
            </w:r>
          </w:p>
        </w:tc>
        <w:tc>
          <w:tcPr>
            <w:tcW w:w="471"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6:13</w:t>
            </w:r>
          </w:p>
        </w:tc>
      </w:tr>
    </w:tbl>
    <w:p>
      <w:pPr>
        <w:ind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注：检测管段长度非表中给出值时，可用内插法计算对应标准闭气时间。</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3 </w:t>
      </w:r>
      <w:r>
        <w:rPr>
          <w:rFonts w:cs="Times New Roman"/>
          <w:color w:val="000000" w:themeColor="text1"/>
          <w:sz w:val="21"/>
          <w:lang w:eastAsia="zh-CN"/>
          <w14:textFill>
            <w14:solidFill>
              <w14:schemeClr w14:val="tx1"/>
            </w14:solidFill>
          </w14:textFill>
        </w:rPr>
        <w:t>对直径较大、井段距离较长的管段进行闭气试验时，且试验刚开始的 15 min内，如果每 5min测得的泄漏值都小于 100 Pa，可采用标准压降值为 3500 Pa的管道允许最小闭气时间来判断管道气密性能是否合格。</w:t>
      </w:r>
    </w:p>
    <w:p>
      <w:pPr>
        <w:pStyle w:val="3"/>
        <w:ind w:firstLine="560"/>
      </w:pPr>
      <w:bookmarkStart w:id="201" w:name="_Toc196915229"/>
      <w:r>
        <w:rPr>
          <w:rFonts w:hint="eastAsia"/>
        </w:rPr>
        <w:t>7</w:t>
      </w:r>
      <w:r>
        <w:t>.4 管道渗水调查检验</w:t>
      </w:r>
      <w:bookmarkEnd w:id="201"/>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.4.1</w:t>
      </w:r>
      <w:r>
        <w:rPr>
          <w:rFonts w:cs="Times New Roman"/>
          <w:color w:val="000000" w:themeColor="text1"/>
          <w:sz w:val="21"/>
          <w:lang w:eastAsia="zh-CN"/>
          <w14:textFill>
            <w14:solidFill>
              <w14:schemeClr w14:val="tx1"/>
            </w14:solidFill>
          </w14:textFill>
        </w:rPr>
        <w:t xml:space="preserve"> 管道渗水调查按上海市工程建设规范《城镇排水工程施工质量验收规范 第1部分：管道工程》DG/TJ08-2110 “混凝土结构无压管道渗水量测与评定方法”的有关规定进行，并做好记录。</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经检查，修复管道应无明显渗水，严禁水珠、滴漏、线漏等现象。</w:t>
      </w:r>
    </w:p>
    <w:p>
      <w:pPr>
        <w:pStyle w:val="14"/>
      </w:pPr>
    </w:p>
    <w:p>
      <w:pPr>
        <w:kinsoku/>
        <w:autoSpaceDE/>
        <w:autoSpaceDN/>
        <w:adjustRightInd/>
        <w:snapToGrid/>
        <w:spacing w:line="240" w:lineRule="auto"/>
        <w:ind w:firstLine="0" w:firstLineChars="0"/>
        <w:jc w:val="left"/>
        <w:textAlignment w:val="auto"/>
        <w:rPr>
          <w:rFonts w:eastAsia="黑体" w:cs="Times New Roman"/>
          <w:b/>
          <w:bCs/>
          <w:color w:val="000000" w:themeColor="text1"/>
          <w:sz w:val="32"/>
          <w:szCs w:val="32"/>
          <w:lang w:eastAsia="zh-CN"/>
          <w14:textFill>
            <w14:solidFill>
              <w14:schemeClr w14:val="tx1"/>
            </w14:solidFill>
          </w14:textFill>
        </w:rPr>
      </w:pPr>
      <w:r>
        <w:rPr>
          <w:rFonts w:eastAsia="黑体" w:cs="Times New Roman"/>
          <w:color w:val="000000" w:themeColor="text1"/>
          <w:lang w:eastAsia="zh-CN"/>
          <w14:textFill>
            <w14:solidFill>
              <w14:schemeClr w14:val="tx1"/>
            </w14:solidFill>
          </w14:textFill>
        </w:rPr>
        <w:br w:type="page"/>
      </w:r>
    </w:p>
    <w:p>
      <w:pPr>
        <w:pStyle w:val="15"/>
        <w:ind w:firstLine="0" w:firstLineChars="0"/>
        <w:rPr>
          <w:rFonts w:ascii="Times New Roman" w:hAnsi="Times New Roman" w:eastAsia="黑体" w:cs="Times New Roman"/>
          <w:color w:val="000000" w:themeColor="text1"/>
          <w:lang w:eastAsia="zh-CN"/>
          <w14:textFill>
            <w14:solidFill>
              <w14:schemeClr w14:val="tx1"/>
            </w14:solidFill>
          </w14:textFill>
        </w:rPr>
      </w:pPr>
      <w:bookmarkStart w:id="202" w:name="_Toc196915230"/>
      <w:r>
        <w:rPr>
          <w:rFonts w:hint="eastAsia" w:ascii="Times New Roman" w:hAnsi="Times New Roman" w:eastAsia="黑体" w:cs="Times New Roman"/>
          <w:color w:val="000000" w:themeColor="text1"/>
          <w:lang w:eastAsia="zh-CN"/>
          <w14:textFill>
            <w14:solidFill>
              <w14:schemeClr w14:val="tx1"/>
            </w14:solidFill>
          </w14:textFill>
        </w:rPr>
        <w:t>8</w:t>
      </w:r>
      <w:r>
        <w:rPr>
          <w:rFonts w:ascii="Times New Roman" w:hAnsi="Times New Roman" w:eastAsia="黑体" w:cs="Times New Roman"/>
          <w:color w:val="000000" w:themeColor="text1"/>
          <w:lang w:eastAsia="zh-CN"/>
          <w14:textFill>
            <w14:solidFill>
              <w14:schemeClr w14:val="tx1"/>
            </w14:solidFill>
          </w14:textFill>
        </w:rPr>
        <w:t xml:space="preserve"> 验</w:t>
      </w:r>
      <w:r>
        <w:rPr>
          <w:rFonts w:hint="eastAsia" w:ascii="Times New Roman" w:hAnsi="Times New Roman" w:eastAsia="黑体" w:cs="Times New Roman"/>
          <w:color w:val="000000" w:themeColor="text1"/>
          <w:lang w:eastAsia="zh-CN"/>
          <w14:textFill>
            <w14:solidFill>
              <w14:schemeClr w14:val="tx1"/>
            </w14:solidFill>
          </w14:textFill>
        </w:rPr>
        <w:t xml:space="preserve"> </w:t>
      </w:r>
      <w:r>
        <w:rPr>
          <w:rFonts w:ascii="Times New Roman" w:hAnsi="Times New Roman" w:eastAsia="黑体" w:cs="Times New Roman"/>
          <w:color w:val="000000" w:themeColor="text1"/>
          <w:lang w:eastAsia="zh-CN"/>
          <w14:textFill>
            <w14:solidFill>
              <w14:schemeClr w14:val="tx1"/>
            </w14:solidFill>
          </w14:textFill>
        </w:rPr>
        <w:t>收</w:t>
      </w:r>
      <w:bookmarkEnd w:id="202"/>
    </w:p>
    <w:p>
      <w:pPr>
        <w:pStyle w:val="3"/>
        <w:ind w:firstLine="560"/>
      </w:pPr>
      <w:bookmarkStart w:id="203" w:name="_Toc196915231"/>
      <w:r>
        <w:rPr>
          <w:rFonts w:hint="eastAsia"/>
        </w:rPr>
        <w:t>8</w:t>
      </w:r>
      <w:r>
        <w:t>.1 一般规定</w:t>
      </w:r>
      <w:bookmarkEnd w:id="203"/>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 xml:space="preserve">.1.1 </w:t>
      </w:r>
      <w:r>
        <w:rPr>
          <w:rFonts w:cs="Times New Roman"/>
          <w:color w:val="000000" w:themeColor="text1"/>
          <w:sz w:val="21"/>
          <w:lang w:eastAsia="zh-CN"/>
          <w14:textFill>
            <w14:solidFill>
              <w14:schemeClr w14:val="tx1"/>
            </w14:solidFill>
          </w14:textFill>
        </w:rPr>
        <w:t>施工单位在排水管道修复施工前应进行工程质量验收单元的划分。工程项目的单位</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子单位</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工程、分部</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子分部</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工程、分项工程和分项工程检验批的质量验收单元划分应符合表</w:t>
      </w:r>
      <w:r>
        <w:rPr>
          <w:rFonts w:hint="eastAsia" w:cs="Times New Roman"/>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.1.1的规定。</w:t>
      </w:r>
    </w:p>
    <w:p>
      <w:pPr>
        <w:ind w:firstLine="422"/>
        <w:jc w:val="center"/>
        <w:rPr>
          <w:rFonts w:cs="Times New Roman"/>
          <w:b/>
          <w:bCs/>
          <w:snapToGrid/>
          <w:color w:val="000000" w:themeColor="text1"/>
          <w:sz w:val="21"/>
          <w:lang w:eastAsia="zh-CN"/>
          <w14:textFill>
            <w14:solidFill>
              <w14:schemeClr w14:val="tx1"/>
            </w14:solidFill>
          </w14:textFill>
        </w:rPr>
      </w:pPr>
      <w:r>
        <w:rPr>
          <w:rFonts w:cs="Times New Roman"/>
          <w:b/>
          <w:bCs/>
          <w:snapToGrid/>
          <w:color w:val="000000" w:themeColor="text1"/>
          <w:sz w:val="21"/>
          <w:lang w:eastAsia="zh-CN"/>
          <w14:textFill>
            <w14:solidFill>
              <w14:schemeClr w14:val="tx1"/>
            </w14:solidFill>
          </w14:textFill>
        </w:rPr>
        <w:t>表</w:t>
      </w:r>
      <w:r>
        <w:rPr>
          <w:rFonts w:hint="eastAsia" w:cs="Times New Roman"/>
          <w:b/>
          <w:bCs/>
          <w:snapToGrid/>
          <w:color w:val="000000" w:themeColor="text1"/>
          <w:sz w:val="21"/>
          <w:lang w:eastAsia="zh-CN"/>
          <w14:textFill>
            <w14:solidFill>
              <w14:schemeClr w14:val="tx1"/>
            </w14:solidFill>
          </w14:textFill>
        </w:rPr>
        <w:t>8</w:t>
      </w:r>
      <w:r>
        <w:rPr>
          <w:rFonts w:cs="Times New Roman"/>
          <w:b/>
          <w:bCs/>
          <w:snapToGrid/>
          <w:color w:val="000000" w:themeColor="text1"/>
          <w:sz w:val="21"/>
          <w:lang w:eastAsia="zh-CN"/>
          <w14:textFill>
            <w14:solidFill>
              <w14:schemeClr w14:val="tx1"/>
            </w14:solidFill>
          </w14:textFill>
        </w:rPr>
        <w:t>.1.1 管道非开挖修复工程的分项、分部、单位工程划分</w:t>
      </w:r>
    </w:p>
    <w:tbl>
      <w:tblPr>
        <w:tblStyle w:val="16"/>
        <w:tblW w:w="5000" w:type="pct"/>
        <w:jc w:val="center"/>
        <w:tblLayout w:type="autofit"/>
        <w:tblCellMar>
          <w:top w:w="0" w:type="dxa"/>
          <w:left w:w="108" w:type="dxa"/>
          <w:bottom w:w="0" w:type="dxa"/>
          <w:right w:w="108" w:type="dxa"/>
        </w:tblCellMar>
      </w:tblPr>
      <w:tblGrid>
        <w:gridCol w:w="498"/>
        <w:gridCol w:w="426"/>
        <w:gridCol w:w="2020"/>
        <w:gridCol w:w="3769"/>
        <w:gridCol w:w="1809"/>
      </w:tblGrid>
      <w:tr>
        <w:tblPrEx>
          <w:tblCellMar>
            <w:top w:w="0" w:type="dxa"/>
            <w:left w:w="108" w:type="dxa"/>
            <w:bottom w:w="0" w:type="dxa"/>
            <w:right w:w="108" w:type="dxa"/>
          </w:tblCellMar>
        </w:tblPrEx>
        <w:trPr>
          <w:trHeight w:val="288"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ind w:firstLine="420"/>
              <w:jc w:val="center"/>
              <w:textAlignment w:val="auto"/>
              <w:rPr>
                <w:rFonts w:cs="Times New Roman"/>
                <w:snapToGrid/>
                <w:color w:val="auto"/>
                <w:sz w:val="21"/>
                <w:lang w:eastAsia="zh-CN"/>
              </w:rPr>
            </w:pPr>
            <w:r>
              <w:rPr>
                <w:rFonts w:cs="Times New Roman"/>
                <w:snapToGrid/>
                <w:color w:val="auto"/>
                <w:sz w:val="21"/>
                <w:lang w:eastAsia="zh-CN"/>
              </w:rPr>
              <w:t>单位工程（可按1个施工合同或视工程规模按1个路段分为1个或若干个子单位工程）</w:t>
            </w:r>
          </w:p>
        </w:tc>
      </w:tr>
      <w:tr>
        <w:tblPrEx>
          <w:tblCellMar>
            <w:top w:w="0" w:type="dxa"/>
            <w:left w:w="108" w:type="dxa"/>
            <w:bottom w:w="0" w:type="dxa"/>
            <w:right w:w="108" w:type="dxa"/>
          </w:tblCellMar>
        </w:tblPrEx>
        <w:trPr>
          <w:trHeight w:val="288" w:hRule="atLeast"/>
          <w:jc w:val="center"/>
        </w:trPr>
        <w:tc>
          <w:tcPr>
            <w:tcW w:w="1706" w:type="pct"/>
            <w:gridSpan w:val="3"/>
            <w:tcBorders>
              <w:top w:val="nil"/>
              <w:left w:val="single" w:color="auto" w:sz="4" w:space="0"/>
              <w:bottom w:val="single" w:color="auto" w:sz="4" w:space="0"/>
              <w:right w:val="single" w:color="auto" w:sz="4" w:space="0"/>
            </w:tcBorders>
            <w:vAlign w:val="center"/>
          </w:tcPr>
          <w:p>
            <w:pPr>
              <w:kinsoku/>
              <w:autoSpaceDE/>
              <w:autoSpaceDN/>
              <w:adjustRightInd/>
              <w:snapToGrid/>
              <w:ind w:firstLine="420"/>
              <w:jc w:val="center"/>
              <w:textAlignment w:val="auto"/>
              <w:rPr>
                <w:rFonts w:cs="Times New Roman"/>
                <w:snapToGrid/>
                <w:color w:val="auto"/>
                <w:sz w:val="21"/>
                <w:lang w:eastAsia="zh-CN"/>
              </w:rPr>
            </w:pPr>
            <w:r>
              <w:rPr>
                <w:rFonts w:cs="Times New Roman"/>
                <w:snapToGrid/>
                <w:color w:val="auto"/>
                <w:sz w:val="21"/>
                <w:lang w:eastAsia="zh-CN"/>
              </w:rPr>
              <w:t>分部工程</w:t>
            </w:r>
          </w:p>
        </w:tc>
        <w:tc>
          <w:tcPr>
            <w:tcW w:w="222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分项工程</w:t>
            </w:r>
          </w:p>
        </w:tc>
        <w:tc>
          <w:tcPr>
            <w:tcW w:w="107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分项工程检验批</w:t>
            </w:r>
          </w:p>
        </w:tc>
      </w:tr>
      <w:tr>
        <w:tblPrEx>
          <w:tblCellMar>
            <w:top w:w="0" w:type="dxa"/>
            <w:left w:w="108" w:type="dxa"/>
            <w:bottom w:w="0" w:type="dxa"/>
            <w:right w:w="108" w:type="dxa"/>
          </w:tblCellMar>
        </w:tblPrEx>
        <w:trPr>
          <w:trHeight w:val="576" w:hRule="atLeast"/>
          <w:jc w:val="center"/>
        </w:trPr>
        <w:tc>
          <w:tcPr>
            <w:tcW w:w="303" w:type="pct"/>
            <w:vMerge w:val="restar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管道修复工程</w:t>
            </w:r>
          </w:p>
          <w:p>
            <w:pPr>
              <w:ind w:firstLine="420"/>
              <w:jc w:val="center"/>
              <w:rPr>
                <w:rFonts w:cs="Times New Roman"/>
                <w:snapToGrid/>
                <w:color w:val="FFFF00"/>
                <w:sz w:val="21"/>
                <w:lang w:eastAsia="zh-CN"/>
              </w:rPr>
            </w:pPr>
          </w:p>
        </w:tc>
        <w:tc>
          <w:tcPr>
            <w:tcW w:w="1403" w:type="pct"/>
            <w:gridSpan w:val="2"/>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bookmarkStart w:id="204" w:name="OLE_LINK47"/>
            <w:r>
              <w:rPr>
                <w:rFonts w:cs="Times New Roman"/>
                <w:snapToGrid/>
                <w:color w:val="000000" w:themeColor="text1"/>
                <w:sz w:val="21"/>
                <w:lang w:eastAsia="zh-CN"/>
                <w14:textFill>
                  <w14:solidFill>
                    <w14:schemeClr w14:val="tx1"/>
                  </w14:solidFill>
                </w14:textFill>
              </w:rPr>
              <w:t>功能性</w:t>
            </w:r>
            <w:r>
              <w:rPr>
                <w:rFonts w:hint="eastAsia" w:cs="Times New Roman"/>
                <w:snapToGrid/>
                <w:color w:val="000000" w:themeColor="text1"/>
                <w:sz w:val="21"/>
                <w:lang w:eastAsia="zh-CN"/>
                <w14:textFill>
                  <w14:solidFill>
                    <w14:schemeClr w14:val="tx1"/>
                  </w14:solidFill>
                </w14:textFill>
              </w:rPr>
              <w:t>缺陷</w:t>
            </w:r>
            <w:r>
              <w:rPr>
                <w:rFonts w:cs="Times New Roman"/>
                <w:snapToGrid/>
                <w:color w:val="000000" w:themeColor="text1"/>
                <w:sz w:val="21"/>
                <w:lang w:eastAsia="zh-CN"/>
                <w14:textFill>
                  <w14:solidFill>
                    <w14:schemeClr w14:val="tx1"/>
                  </w14:solidFill>
                </w14:textFill>
              </w:rPr>
              <w:t>修复</w:t>
            </w:r>
            <w:bookmarkEnd w:id="204"/>
          </w:p>
        </w:tc>
        <w:tc>
          <w:tcPr>
            <w:tcW w:w="222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沉积、结垢、障碍物、残墙、坝根、树根、浮渣</w:t>
            </w:r>
          </w:p>
        </w:tc>
        <w:tc>
          <w:tcPr>
            <w:tcW w:w="107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每修复井段</w:t>
            </w:r>
          </w:p>
        </w:tc>
      </w:tr>
      <w:tr>
        <w:tblPrEx>
          <w:tblCellMar>
            <w:top w:w="0" w:type="dxa"/>
            <w:left w:w="108" w:type="dxa"/>
            <w:bottom w:w="0" w:type="dxa"/>
            <w:right w:w="108" w:type="dxa"/>
          </w:tblCellMar>
        </w:tblPrEx>
        <w:trPr>
          <w:trHeight w:val="576" w:hRule="atLeast"/>
          <w:jc w:val="center"/>
        </w:trPr>
        <w:tc>
          <w:tcPr>
            <w:tcW w:w="303" w:type="pct"/>
            <w:vMerge w:val="continue"/>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p>
        </w:tc>
        <w:tc>
          <w:tcPr>
            <w:tcW w:w="1403" w:type="pct"/>
            <w:gridSpan w:val="2"/>
            <w:tcBorders>
              <w:top w:val="nil"/>
              <w:left w:val="single" w:color="auto" w:sz="4" w:space="0"/>
              <w:bottom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预处理</w:t>
            </w:r>
          </w:p>
        </w:tc>
        <w:tc>
          <w:tcPr>
            <w:tcW w:w="222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hint="eastAsia" w:cs="Times New Roman"/>
                <w:snapToGrid/>
                <w:color w:val="000000" w:themeColor="text1"/>
                <w:sz w:val="21"/>
                <w:lang w:eastAsia="zh-CN"/>
                <w14:textFill>
                  <w14:solidFill>
                    <w14:schemeClr w14:val="tx1"/>
                  </w14:solidFill>
                </w14:textFill>
              </w:rPr>
              <w:t>土体注浆、裂缝嵌补、堵漏、不锈钢双胀圈、不锈钢快速锁</w:t>
            </w:r>
          </w:p>
        </w:tc>
        <w:tc>
          <w:tcPr>
            <w:tcW w:w="107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000000" w:themeColor="text1"/>
                <w:sz w:val="21"/>
                <w:lang w:eastAsia="zh-CN"/>
                <w14:textFill>
                  <w14:solidFill>
                    <w14:schemeClr w14:val="tx1"/>
                  </w14:solidFill>
                </w14:textFill>
              </w:rPr>
            </w:pPr>
            <w:r>
              <w:rPr>
                <w:rFonts w:cs="Times New Roman"/>
                <w:snapToGrid/>
                <w:color w:val="000000" w:themeColor="text1"/>
                <w:sz w:val="21"/>
                <w:lang w:eastAsia="zh-CN"/>
                <w14:textFill>
                  <w14:solidFill>
                    <w14:schemeClr w14:val="tx1"/>
                  </w14:solidFill>
                </w14:textFill>
              </w:rPr>
              <w:t>每修复井段</w:t>
            </w:r>
          </w:p>
        </w:tc>
      </w:tr>
      <w:tr>
        <w:tblPrEx>
          <w:tblCellMar>
            <w:top w:w="0" w:type="dxa"/>
            <w:left w:w="108" w:type="dxa"/>
            <w:bottom w:w="0" w:type="dxa"/>
            <w:right w:w="108" w:type="dxa"/>
          </w:tblCellMar>
        </w:tblPrEx>
        <w:trPr>
          <w:trHeight w:val="288" w:hRule="atLeast"/>
          <w:jc w:val="center"/>
        </w:trPr>
        <w:tc>
          <w:tcPr>
            <w:tcW w:w="303" w:type="pct"/>
            <w:vMerge w:val="continue"/>
            <w:tcBorders>
              <w:left w:val="single" w:color="auto" w:sz="4" w:space="0"/>
              <w:bottom w:val="single" w:color="auto" w:sz="4" w:space="0"/>
              <w:right w:val="single" w:color="auto" w:sz="4" w:space="0"/>
            </w:tcBorders>
            <w:vAlign w:val="center"/>
          </w:tcPr>
          <w:p>
            <w:pPr>
              <w:ind w:firstLine="420"/>
              <w:jc w:val="center"/>
              <w:rPr>
                <w:rFonts w:cs="Times New Roman"/>
                <w:snapToGrid/>
                <w:color w:val="auto"/>
                <w:sz w:val="21"/>
                <w:lang w:eastAsia="zh-CN"/>
              </w:rPr>
            </w:pPr>
          </w:p>
        </w:tc>
        <w:tc>
          <w:tcPr>
            <w:tcW w:w="207" w:type="pct"/>
            <w:vMerge w:val="restart"/>
            <w:tcBorders>
              <w:left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auto"/>
                <w:sz w:val="21"/>
                <w:lang w:eastAsia="zh-CN"/>
              </w:rPr>
            </w:pPr>
            <w:bookmarkStart w:id="205" w:name="OLE_LINK11"/>
            <w:r>
              <w:rPr>
                <w:rFonts w:hint="eastAsia" w:cs="Times New Roman"/>
                <w:snapToGrid/>
                <w:color w:val="auto"/>
                <w:sz w:val="21"/>
                <w:lang w:eastAsia="zh-CN"/>
              </w:rPr>
              <w:t>管道修</w:t>
            </w:r>
            <w:bookmarkEnd w:id="205"/>
            <w:r>
              <w:rPr>
                <w:rFonts w:hint="eastAsia" w:cs="Times New Roman"/>
                <w:snapToGrid/>
                <w:color w:val="auto"/>
                <w:sz w:val="21"/>
                <w:lang w:eastAsia="zh-CN"/>
              </w:rPr>
              <w:t>复</w:t>
            </w:r>
          </w:p>
        </w:tc>
        <w:tc>
          <w:tcPr>
            <w:tcW w:w="1196"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紫外光原位固化</w:t>
            </w:r>
            <w:r>
              <w:rPr>
                <w:rFonts w:hint="eastAsia" w:cs="Times New Roman"/>
                <w:snapToGrid/>
                <w:color w:val="auto"/>
                <w:sz w:val="21"/>
                <w:lang w:eastAsia="zh-CN"/>
              </w:rPr>
              <w:t>法</w:t>
            </w:r>
          </w:p>
        </w:tc>
        <w:tc>
          <w:tcPr>
            <w:tcW w:w="222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软管牵拉置入与软管固化、端口处理</w:t>
            </w:r>
          </w:p>
        </w:tc>
        <w:tc>
          <w:tcPr>
            <w:tcW w:w="1072" w:type="pct"/>
            <w:vMerge w:val="restart"/>
            <w:tcBorders>
              <w:top w:val="nil"/>
              <w:left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每施工段1个</w:t>
            </w:r>
          </w:p>
          <w:p>
            <w:pPr>
              <w:ind w:firstLine="420"/>
              <w:jc w:val="center"/>
              <w:rPr>
                <w:rFonts w:cs="Times New Roman"/>
                <w:snapToGrid/>
                <w:color w:val="auto"/>
                <w:sz w:val="21"/>
                <w:lang w:eastAsia="zh-CN"/>
              </w:rPr>
            </w:pPr>
          </w:p>
        </w:tc>
      </w:tr>
      <w:tr>
        <w:tblPrEx>
          <w:tblCellMar>
            <w:top w:w="0" w:type="dxa"/>
            <w:left w:w="108" w:type="dxa"/>
            <w:bottom w:w="0" w:type="dxa"/>
            <w:right w:w="108" w:type="dxa"/>
          </w:tblCellMar>
        </w:tblPrEx>
        <w:trPr>
          <w:trHeight w:val="288" w:hRule="atLeast"/>
          <w:jc w:val="center"/>
        </w:trPr>
        <w:tc>
          <w:tcPr>
            <w:tcW w:w="303" w:type="pct"/>
            <w:vMerge w:val="continue"/>
            <w:tcBorders>
              <w:left w:val="single" w:color="auto" w:sz="4" w:space="0"/>
              <w:bottom w:val="single" w:color="auto" w:sz="4" w:space="0"/>
              <w:right w:val="single" w:color="auto" w:sz="4" w:space="0"/>
            </w:tcBorders>
            <w:vAlign w:val="center"/>
          </w:tcPr>
          <w:p>
            <w:pPr>
              <w:ind w:firstLine="420"/>
              <w:jc w:val="center"/>
              <w:rPr>
                <w:rFonts w:cs="Times New Roman"/>
                <w:snapToGrid/>
                <w:color w:val="auto"/>
                <w:sz w:val="21"/>
                <w:lang w:eastAsia="zh-CN"/>
              </w:rPr>
            </w:pPr>
          </w:p>
        </w:tc>
        <w:tc>
          <w:tcPr>
            <w:tcW w:w="207" w:type="pct"/>
            <w:vMerge w:val="continue"/>
            <w:tcBorders>
              <w:left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auto"/>
                <w:sz w:val="21"/>
                <w:lang w:eastAsia="zh-CN"/>
              </w:rPr>
            </w:pPr>
          </w:p>
        </w:tc>
        <w:tc>
          <w:tcPr>
            <w:tcW w:w="1196"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hint="eastAsia" w:cs="Times New Roman"/>
                <w:snapToGrid/>
                <w:color w:val="auto"/>
                <w:sz w:val="21"/>
                <w:lang w:eastAsia="zh-CN"/>
              </w:rPr>
              <w:t>翻转式</w:t>
            </w:r>
            <w:r>
              <w:rPr>
                <w:rFonts w:cs="Times New Roman"/>
                <w:snapToGrid/>
                <w:color w:val="auto"/>
                <w:sz w:val="21"/>
                <w:lang w:eastAsia="zh-CN"/>
              </w:rPr>
              <w:t>原位固化</w:t>
            </w:r>
            <w:r>
              <w:rPr>
                <w:rFonts w:hint="eastAsia" w:cs="Times New Roman"/>
                <w:snapToGrid/>
                <w:color w:val="auto"/>
                <w:sz w:val="21"/>
                <w:lang w:eastAsia="zh-CN"/>
              </w:rPr>
              <w:t>法</w:t>
            </w:r>
          </w:p>
        </w:tc>
        <w:tc>
          <w:tcPr>
            <w:tcW w:w="222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软管翻转置入与软管固化、端口处理</w:t>
            </w:r>
          </w:p>
        </w:tc>
        <w:tc>
          <w:tcPr>
            <w:tcW w:w="1072" w:type="pct"/>
            <w:vMerge w:val="continue"/>
            <w:tcBorders>
              <w:left w:val="single" w:color="auto" w:sz="4" w:space="0"/>
              <w:right w:val="single" w:color="auto" w:sz="4" w:space="0"/>
            </w:tcBorders>
            <w:vAlign w:val="center"/>
          </w:tcPr>
          <w:p>
            <w:pPr>
              <w:ind w:firstLine="420"/>
              <w:jc w:val="center"/>
              <w:rPr>
                <w:rFonts w:cs="Times New Roman"/>
                <w:snapToGrid/>
                <w:color w:val="auto"/>
                <w:sz w:val="21"/>
                <w:lang w:eastAsia="zh-CN"/>
              </w:rPr>
            </w:pPr>
          </w:p>
        </w:tc>
      </w:tr>
      <w:tr>
        <w:tblPrEx>
          <w:tblCellMar>
            <w:top w:w="0" w:type="dxa"/>
            <w:left w:w="108" w:type="dxa"/>
            <w:bottom w:w="0" w:type="dxa"/>
            <w:right w:w="108" w:type="dxa"/>
          </w:tblCellMar>
        </w:tblPrEx>
        <w:trPr>
          <w:trHeight w:val="576" w:hRule="atLeast"/>
          <w:jc w:val="center"/>
        </w:trPr>
        <w:tc>
          <w:tcPr>
            <w:tcW w:w="303" w:type="pct"/>
            <w:vMerge w:val="continue"/>
            <w:tcBorders>
              <w:left w:val="single" w:color="auto" w:sz="4" w:space="0"/>
              <w:bottom w:val="single" w:color="auto" w:sz="4" w:space="0"/>
              <w:right w:val="single" w:color="auto" w:sz="4" w:space="0"/>
            </w:tcBorders>
            <w:shd w:val="clear" w:color="auto" w:fill="auto"/>
            <w:vAlign w:val="center"/>
          </w:tcPr>
          <w:p>
            <w:pPr>
              <w:ind w:firstLine="420"/>
              <w:jc w:val="center"/>
              <w:rPr>
                <w:rFonts w:cs="Times New Roman"/>
                <w:snapToGrid/>
                <w:color w:val="auto"/>
                <w:sz w:val="21"/>
                <w:lang w:eastAsia="zh-CN"/>
              </w:rPr>
            </w:pPr>
          </w:p>
        </w:tc>
        <w:tc>
          <w:tcPr>
            <w:tcW w:w="207" w:type="pct"/>
            <w:vMerge w:val="continue"/>
            <w:tcBorders>
              <w:left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auto"/>
                <w:sz w:val="21"/>
                <w:lang w:eastAsia="zh-CN"/>
              </w:rPr>
            </w:pPr>
          </w:p>
        </w:tc>
        <w:tc>
          <w:tcPr>
            <w:tcW w:w="1196"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螺旋缠绕内衬法</w:t>
            </w:r>
          </w:p>
        </w:tc>
        <w:tc>
          <w:tcPr>
            <w:tcW w:w="222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hint="eastAsia" w:cs="Times New Roman"/>
                <w:snapToGrid/>
                <w:color w:val="auto"/>
                <w:sz w:val="21"/>
                <w:lang w:eastAsia="zh-CN"/>
              </w:rPr>
              <w:t xml:space="preserve"> </w:t>
            </w:r>
            <w:r>
              <w:rPr>
                <w:rFonts w:cs="Times New Roman"/>
                <w:snapToGrid/>
                <w:color w:val="auto"/>
                <w:sz w:val="21"/>
                <w:lang w:eastAsia="zh-CN"/>
              </w:rPr>
              <w:t>螺旋缠绕、注浆、端口处理</w:t>
            </w:r>
          </w:p>
        </w:tc>
        <w:tc>
          <w:tcPr>
            <w:tcW w:w="1072" w:type="pct"/>
            <w:vMerge w:val="continue"/>
            <w:tcBorders>
              <w:left w:val="single" w:color="auto" w:sz="4" w:space="0"/>
              <w:right w:val="single" w:color="auto" w:sz="4" w:space="0"/>
            </w:tcBorders>
            <w:shd w:val="clear" w:color="auto" w:fill="auto"/>
            <w:vAlign w:val="center"/>
          </w:tcPr>
          <w:p>
            <w:pPr>
              <w:ind w:firstLine="420"/>
              <w:jc w:val="center"/>
              <w:rPr>
                <w:rFonts w:cs="Times New Roman"/>
                <w:snapToGrid/>
                <w:color w:val="auto"/>
                <w:sz w:val="21"/>
                <w:lang w:eastAsia="zh-CN"/>
              </w:rPr>
            </w:pPr>
          </w:p>
        </w:tc>
      </w:tr>
      <w:tr>
        <w:tblPrEx>
          <w:tblCellMar>
            <w:top w:w="0" w:type="dxa"/>
            <w:left w:w="108" w:type="dxa"/>
            <w:bottom w:w="0" w:type="dxa"/>
            <w:right w:w="108" w:type="dxa"/>
          </w:tblCellMar>
        </w:tblPrEx>
        <w:trPr>
          <w:trHeight w:val="288" w:hRule="atLeast"/>
          <w:jc w:val="center"/>
        </w:trPr>
        <w:tc>
          <w:tcPr>
            <w:tcW w:w="303" w:type="pct"/>
            <w:vMerge w:val="continue"/>
            <w:tcBorders>
              <w:left w:val="single" w:color="auto" w:sz="4" w:space="0"/>
              <w:bottom w:val="single" w:color="auto" w:sz="4" w:space="0"/>
              <w:right w:val="single" w:color="auto" w:sz="4" w:space="0"/>
            </w:tcBorders>
            <w:vAlign w:val="center"/>
          </w:tcPr>
          <w:p>
            <w:pPr>
              <w:ind w:firstLine="420"/>
              <w:jc w:val="center"/>
              <w:rPr>
                <w:rFonts w:cs="Times New Roman"/>
                <w:snapToGrid/>
                <w:color w:val="auto"/>
                <w:sz w:val="21"/>
                <w:lang w:eastAsia="zh-CN"/>
              </w:rPr>
            </w:pPr>
          </w:p>
        </w:tc>
        <w:tc>
          <w:tcPr>
            <w:tcW w:w="207" w:type="pct"/>
            <w:vMerge w:val="continue"/>
            <w:tcBorders>
              <w:left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auto"/>
                <w:sz w:val="21"/>
                <w:lang w:eastAsia="zh-CN"/>
              </w:rPr>
            </w:pPr>
          </w:p>
        </w:tc>
        <w:tc>
          <w:tcPr>
            <w:tcW w:w="1196"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原位热塑成型法</w:t>
            </w:r>
          </w:p>
        </w:tc>
        <w:tc>
          <w:tcPr>
            <w:tcW w:w="222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管段穿插置入、热力加压、端口处理</w:t>
            </w:r>
          </w:p>
        </w:tc>
        <w:tc>
          <w:tcPr>
            <w:tcW w:w="1072" w:type="pct"/>
            <w:vMerge w:val="continue"/>
            <w:tcBorders>
              <w:left w:val="single" w:color="auto" w:sz="4" w:space="0"/>
              <w:right w:val="single" w:color="auto" w:sz="4" w:space="0"/>
            </w:tcBorders>
            <w:shd w:val="clear" w:color="auto" w:fill="auto"/>
            <w:vAlign w:val="center"/>
          </w:tcPr>
          <w:p>
            <w:pPr>
              <w:ind w:firstLine="420"/>
              <w:jc w:val="center"/>
              <w:rPr>
                <w:rFonts w:cs="Times New Roman"/>
                <w:snapToGrid/>
                <w:color w:val="auto"/>
                <w:sz w:val="21"/>
                <w:lang w:eastAsia="zh-CN"/>
              </w:rPr>
            </w:pPr>
          </w:p>
        </w:tc>
      </w:tr>
      <w:tr>
        <w:tblPrEx>
          <w:tblCellMar>
            <w:top w:w="0" w:type="dxa"/>
            <w:left w:w="108" w:type="dxa"/>
            <w:bottom w:w="0" w:type="dxa"/>
            <w:right w:w="108" w:type="dxa"/>
          </w:tblCellMar>
        </w:tblPrEx>
        <w:trPr>
          <w:trHeight w:val="288" w:hRule="atLeast"/>
          <w:jc w:val="center"/>
        </w:trPr>
        <w:tc>
          <w:tcPr>
            <w:tcW w:w="303" w:type="pct"/>
            <w:vMerge w:val="continue"/>
            <w:tcBorders>
              <w:left w:val="single" w:color="auto" w:sz="4" w:space="0"/>
              <w:bottom w:val="single" w:color="auto" w:sz="4" w:space="0"/>
              <w:right w:val="single" w:color="auto" w:sz="4" w:space="0"/>
            </w:tcBorders>
            <w:vAlign w:val="center"/>
          </w:tcPr>
          <w:p>
            <w:pPr>
              <w:ind w:firstLine="420"/>
              <w:jc w:val="center"/>
              <w:rPr>
                <w:rFonts w:cs="Times New Roman"/>
                <w:snapToGrid/>
                <w:color w:val="auto"/>
                <w:sz w:val="21"/>
                <w:lang w:eastAsia="zh-CN"/>
              </w:rPr>
            </w:pPr>
          </w:p>
        </w:tc>
        <w:tc>
          <w:tcPr>
            <w:tcW w:w="207" w:type="pct"/>
            <w:vMerge w:val="continue"/>
            <w:tcBorders>
              <w:left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auto"/>
                <w:sz w:val="21"/>
                <w:lang w:eastAsia="zh-CN"/>
              </w:rPr>
            </w:pPr>
          </w:p>
        </w:tc>
        <w:tc>
          <w:tcPr>
            <w:tcW w:w="1196"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短管内衬法</w:t>
            </w:r>
          </w:p>
        </w:tc>
        <w:tc>
          <w:tcPr>
            <w:tcW w:w="222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拼装制管、注浆、端口处理</w:t>
            </w:r>
          </w:p>
        </w:tc>
        <w:tc>
          <w:tcPr>
            <w:tcW w:w="1072" w:type="pct"/>
            <w:vMerge w:val="continue"/>
            <w:tcBorders>
              <w:left w:val="single" w:color="auto" w:sz="4" w:space="0"/>
              <w:right w:val="single" w:color="auto" w:sz="4" w:space="0"/>
            </w:tcBorders>
            <w:vAlign w:val="center"/>
          </w:tcPr>
          <w:p>
            <w:pPr>
              <w:ind w:firstLine="420"/>
              <w:jc w:val="center"/>
              <w:rPr>
                <w:rFonts w:cs="Times New Roman"/>
                <w:snapToGrid/>
                <w:color w:val="auto"/>
                <w:sz w:val="21"/>
                <w:lang w:eastAsia="zh-CN"/>
              </w:rPr>
            </w:pPr>
          </w:p>
        </w:tc>
      </w:tr>
      <w:tr>
        <w:tblPrEx>
          <w:tblCellMar>
            <w:top w:w="0" w:type="dxa"/>
            <w:left w:w="108" w:type="dxa"/>
            <w:bottom w:w="0" w:type="dxa"/>
            <w:right w:w="108" w:type="dxa"/>
          </w:tblCellMar>
        </w:tblPrEx>
        <w:trPr>
          <w:trHeight w:val="288" w:hRule="atLeast"/>
          <w:jc w:val="center"/>
        </w:trPr>
        <w:tc>
          <w:tcPr>
            <w:tcW w:w="303" w:type="pct"/>
            <w:vMerge w:val="continue"/>
            <w:tcBorders>
              <w:left w:val="single" w:color="auto" w:sz="4" w:space="0"/>
              <w:bottom w:val="single" w:color="auto" w:sz="4" w:space="0"/>
              <w:right w:val="single" w:color="auto" w:sz="4" w:space="0"/>
            </w:tcBorders>
            <w:vAlign w:val="center"/>
          </w:tcPr>
          <w:p>
            <w:pPr>
              <w:ind w:firstLine="420"/>
              <w:jc w:val="center"/>
              <w:rPr>
                <w:rFonts w:cs="Times New Roman"/>
                <w:snapToGrid/>
                <w:color w:val="auto"/>
                <w:sz w:val="21"/>
                <w:lang w:eastAsia="zh-CN"/>
              </w:rPr>
            </w:pPr>
          </w:p>
        </w:tc>
        <w:tc>
          <w:tcPr>
            <w:tcW w:w="207" w:type="pct"/>
            <w:vMerge w:val="continue"/>
            <w:tcBorders>
              <w:left w:val="single" w:color="auto" w:sz="4" w:space="0"/>
              <w:bottom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auto"/>
                <w:sz w:val="21"/>
                <w:lang w:eastAsia="zh-CN"/>
              </w:rPr>
            </w:pPr>
          </w:p>
        </w:tc>
        <w:tc>
          <w:tcPr>
            <w:tcW w:w="1196" w:type="pc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喷</w:t>
            </w:r>
            <w:r>
              <w:rPr>
                <w:rFonts w:hint="eastAsia" w:cs="Times New Roman"/>
                <w:snapToGrid/>
                <w:color w:val="auto"/>
                <w:sz w:val="21"/>
                <w:lang w:eastAsia="zh-CN"/>
              </w:rPr>
              <w:t>涂法</w:t>
            </w:r>
          </w:p>
        </w:tc>
        <w:tc>
          <w:tcPr>
            <w:tcW w:w="222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喷涂</w:t>
            </w:r>
          </w:p>
        </w:tc>
        <w:tc>
          <w:tcPr>
            <w:tcW w:w="1072" w:type="pct"/>
            <w:vMerge w:val="continue"/>
            <w:tcBorders>
              <w:left w:val="single" w:color="auto" w:sz="4" w:space="0"/>
              <w:bottom w:val="single" w:color="auto" w:sz="4" w:space="0"/>
              <w:right w:val="single" w:color="auto" w:sz="4" w:space="0"/>
            </w:tcBorders>
            <w:vAlign w:val="center"/>
          </w:tcPr>
          <w:p>
            <w:pPr>
              <w:ind w:firstLine="420"/>
              <w:jc w:val="center"/>
              <w:rPr>
                <w:rFonts w:cs="Times New Roman"/>
                <w:snapToGrid/>
                <w:color w:val="auto"/>
                <w:sz w:val="21"/>
                <w:lang w:eastAsia="zh-CN"/>
              </w:rPr>
            </w:pPr>
          </w:p>
        </w:tc>
      </w:tr>
      <w:tr>
        <w:tblPrEx>
          <w:tblCellMar>
            <w:top w:w="0" w:type="dxa"/>
            <w:left w:w="108" w:type="dxa"/>
            <w:bottom w:w="0" w:type="dxa"/>
            <w:right w:w="108" w:type="dxa"/>
          </w:tblCellMar>
        </w:tblPrEx>
        <w:trPr>
          <w:trHeight w:val="288" w:hRule="atLeast"/>
          <w:jc w:val="center"/>
        </w:trPr>
        <w:tc>
          <w:tcPr>
            <w:tcW w:w="303" w:type="pct"/>
            <w:vMerge w:val="continue"/>
            <w:tcBorders>
              <w:left w:val="single" w:color="auto" w:sz="4" w:space="0"/>
              <w:bottom w:val="single" w:color="auto" w:sz="4" w:space="0"/>
              <w:right w:val="single" w:color="auto" w:sz="4" w:space="0"/>
            </w:tcBorders>
            <w:vAlign w:val="center"/>
          </w:tcPr>
          <w:p>
            <w:pPr>
              <w:kinsoku/>
              <w:autoSpaceDE/>
              <w:autoSpaceDN/>
              <w:adjustRightInd/>
              <w:snapToGrid/>
              <w:ind w:firstLine="420"/>
              <w:jc w:val="center"/>
              <w:textAlignment w:val="auto"/>
              <w:rPr>
                <w:rFonts w:cs="Times New Roman"/>
                <w:snapToGrid/>
                <w:color w:val="auto"/>
                <w:sz w:val="21"/>
                <w:lang w:eastAsia="zh-CN"/>
              </w:rPr>
            </w:pPr>
          </w:p>
        </w:tc>
        <w:tc>
          <w:tcPr>
            <w:tcW w:w="1403" w:type="pct"/>
            <w:gridSpan w:val="2"/>
            <w:tcBorders>
              <w:left w:val="single" w:color="auto" w:sz="4" w:space="0"/>
              <w:bottom w:val="single" w:color="auto" w:sz="4" w:space="0"/>
              <w:right w:val="single" w:color="auto" w:sz="4" w:space="0"/>
            </w:tcBorders>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hint="eastAsia" w:cs="Times New Roman"/>
                <w:snapToGrid/>
                <w:color w:val="auto"/>
                <w:sz w:val="21"/>
                <w:lang w:eastAsia="zh-CN"/>
              </w:rPr>
              <w:t>检查井修复</w:t>
            </w:r>
          </w:p>
        </w:tc>
        <w:tc>
          <w:tcPr>
            <w:tcW w:w="2222" w:type="pct"/>
            <w:tcBorders>
              <w:top w:val="nil"/>
              <w:left w:val="nil"/>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hint="eastAsia" w:cs="Times New Roman"/>
                <w:snapToGrid/>
                <w:color w:val="auto"/>
                <w:sz w:val="21"/>
                <w:lang w:eastAsia="zh-CN"/>
              </w:rPr>
              <w:t>喷涂</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ind w:firstLine="0" w:firstLineChars="0"/>
              <w:jc w:val="center"/>
              <w:textAlignment w:val="auto"/>
              <w:rPr>
                <w:rFonts w:cs="Times New Roman"/>
                <w:snapToGrid/>
                <w:color w:val="auto"/>
                <w:sz w:val="21"/>
                <w:lang w:eastAsia="zh-CN"/>
              </w:rPr>
            </w:pPr>
            <w:r>
              <w:rPr>
                <w:rFonts w:cs="Times New Roman"/>
                <w:snapToGrid/>
                <w:color w:val="auto"/>
                <w:sz w:val="21"/>
                <w:lang w:eastAsia="zh-CN"/>
              </w:rPr>
              <w:t>每</w:t>
            </w:r>
            <w:r>
              <w:rPr>
                <w:rFonts w:hint="eastAsia" w:cs="Times New Roman"/>
                <w:snapToGrid/>
                <w:color w:val="auto"/>
                <w:sz w:val="21"/>
                <w:lang w:eastAsia="zh-CN"/>
              </w:rPr>
              <w:t>座检查井</w:t>
            </w:r>
          </w:p>
        </w:tc>
      </w:tr>
    </w:tbl>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注：当工程规模较小时，如仅1个井段，则该分部工程可视同单位工程。</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.1.2</w:t>
      </w:r>
      <w:r>
        <w:rPr>
          <w:rFonts w:cs="Times New Roman"/>
          <w:color w:val="000000" w:themeColor="text1"/>
          <w:sz w:val="21"/>
          <w:lang w:eastAsia="zh-CN"/>
          <w14:textFill>
            <w14:solidFill>
              <w14:schemeClr w14:val="tx1"/>
            </w14:solidFill>
          </w14:textFill>
        </w:rPr>
        <w:t xml:space="preserve"> 管道非开挖修复工程的质量验收应符合现行国家标准《给水排水管道工程施工及验收规范》GB 50268。</w:t>
      </w:r>
    </w:p>
    <w:p>
      <w:pPr>
        <w:ind w:firstLine="420" w:firstLineChars="0"/>
        <w:rPr>
          <w:rFonts w:cs="Times New Roman"/>
          <w:sz w:val="21"/>
          <w:lang w:eastAsia="zh-CN"/>
        </w:rPr>
      </w:pPr>
      <w:bookmarkStart w:id="206" w:name="OLE_LINK38"/>
      <w:r>
        <w:rPr>
          <w:rFonts w:cs="Times New Roman"/>
          <w:b/>
          <w:bCs/>
          <w:sz w:val="21"/>
          <w:lang w:eastAsia="zh-CN"/>
        </w:rPr>
        <w:t>8.1.</w:t>
      </w:r>
      <w:bookmarkEnd w:id="206"/>
      <w:r>
        <w:rPr>
          <w:rFonts w:hint="eastAsia" w:cs="Times New Roman"/>
          <w:b/>
          <w:bCs/>
          <w:sz w:val="21"/>
          <w:lang w:eastAsia="zh-CN"/>
        </w:rPr>
        <w:t>3</w:t>
      </w:r>
      <w:r>
        <w:rPr>
          <w:rFonts w:cs="Times New Roman"/>
          <w:sz w:val="21"/>
          <w:lang w:eastAsia="zh-CN"/>
        </w:rPr>
        <w:t>工作井的围护结构、井内结构施工质量验收标准应按现行国家标准</w:t>
      </w:r>
      <w:bookmarkStart w:id="207" w:name="_Hlk196920561"/>
      <w:r>
        <w:rPr>
          <w:rFonts w:cs="Times New Roman"/>
          <w:sz w:val="21"/>
          <w:lang w:eastAsia="zh-CN"/>
        </w:rPr>
        <w:t>《建筑地基基础工程施工质量验收标准》GB 50202</w:t>
      </w:r>
      <w:bookmarkEnd w:id="207"/>
      <w:r>
        <w:rPr>
          <w:rFonts w:cs="Times New Roman"/>
          <w:sz w:val="21"/>
          <w:lang w:eastAsia="zh-CN"/>
        </w:rPr>
        <w:t>、</w:t>
      </w:r>
      <w:bookmarkStart w:id="208" w:name="_Hlk196920566"/>
      <w:r>
        <w:rPr>
          <w:rFonts w:cs="Times New Roman"/>
          <w:sz w:val="21"/>
          <w:lang w:eastAsia="zh-CN"/>
        </w:rPr>
        <w:t>《给水排水构筑物工程施工及验收规范》GB 50141</w:t>
      </w:r>
      <w:bookmarkEnd w:id="208"/>
      <w:r>
        <w:rPr>
          <w:rFonts w:cs="Times New Roman"/>
          <w:sz w:val="21"/>
          <w:lang w:eastAsia="zh-CN"/>
        </w:rPr>
        <w:t>的有关规定执行。</w:t>
      </w:r>
    </w:p>
    <w:p>
      <w:pPr>
        <w:ind w:firstLine="420" w:firstLineChars="0"/>
        <w:rPr>
          <w:rFonts w:cs="Times New Roman"/>
          <w:color w:val="FF0000"/>
          <w:sz w:val="21"/>
          <w:lang w:eastAsia="zh-CN"/>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.1.4</w:t>
      </w:r>
      <w:r>
        <w:rPr>
          <w:rFonts w:cs="Times New Roman"/>
          <w:color w:val="000000" w:themeColor="text1"/>
          <w:sz w:val="21"/>
          <w:lang w:eastAsia="zh-CN"/>
          <w14:textFill>
            <w14:solidFill>
              <w14:schemeClr w14:val="tx1"/>
            </w14:solidFill>
          </w14:textFill>
        </w:rPr>
        <w:t xml:space="preserve"> 工程施工完成后</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应</w:t>
      </w:r>
      <w:r>
        <w:rPr>
          <w:rFonts w:hint="eastAsia" w:cs="Times New Roman"/>
          <w:color w:val="000000" w:themeColor="text1"/>
          <w:sz w:val="21"/>
          <w:lang w:eastAsia="zh-CN"/>
          <w14:textFill>
            <w14:solidFill>
              <w14:schemeClr w14:val="tx1"/>
            </w14:solidFill>
          </w14:textFill>
        </w:rPr>
        <w:t>由具有相关资质的第三方检测机构</w:t>
      </w:r>
      <w:r>
        <w:rPr>
          <w:rFonts w:cs="Times New Roman"/>
          <w:color w:val="000000" w:themeColor="text1"/>
          <w:sz w:val="21"/>
          <w:lang w:eastAsia="zh-CN"/>
          <w14:textFill>
            <w14:solidFill>
              <w14:schemeClr w14:val="tx1"/>
            </w14:solidFill>
          </w14:textFill>
        </w:rPr>
        <w:t>进行CCTV检测</w:t>
      </w:r>
      <w:r>
        <w:rPr>
          <w:rFonts w:hint="eastAsia" w:cs="Times New Roman"/>
          <w:color w:val="000000" w:themeColor="text1"/>
          <w:sz w:val="21"/>
          <w:lang w:eastAsia="zh-CN"/>
          <w14:textFill>
            <w14:solidFill>
              <w14:schemeClr w14:val="tx1"/>
            </w14:solidFill>
          </w14:textFill>
        </w:rPr>
        <w:t>，并出具检测报告</w:t>
      </w:r>
      <w:r>
        <w:rPr>
          <w:rFonts w:cs="Times New Roman"/>
          <w:color w:val="FF0000"/>
          <w:sz w:val="21"/>
          <w:lang w:eastAsia="zh-CN"/>
        </w:rPr>
        <w:t>。</w:t>
      </w:r>
    </w:p>
    <w:p>
      <w:pPr>
        <w:ind w:firstLine="420" w:firstLineChars="0"/>
        <w:rPr>
          <w:rFonts w:cs="Times New Roman"/>
          <w:color w:val="000000" w:themeColor="text1"/>
          <w:sz w:val="21"/>
          <w:lang w:eastAsia="zh-CN"/>
          <w14:textFill>
            <w14:solidFill>
              <w14:schemeClr w14:val="tx1"/>
            </w14:solidFill>
          </w14:textFill>
        </w:rPr>
      </w:pPr>
      <w:bookmarkStart w:id="209" w:name="OLE_LINK36"/>
      <w:r>
        <w:rPr>
          <w:rFonts w:hint="eastAsia" w:cs="Times New Roman"/>
          <w:b/>
          <w:bCs/>
          <w:color w:val="000000" w:themeColor="text1"/>
          <w:sz w:val="21"/>
          <w:lang w:eastAsia="zh-CN"/>
          <w14:textFill>
            <w14:solidFill>
              <w14:schemeClr w14:val="tx1"/>
            </w14:solidFill>
          </w14:textFill>
        </w:rPr>
        <w:t>8.1.5</w:t>
      </w:r>
      <w:r>
        <w:rPr>
          <w:rFonts w:hint="eastAsia" w:cs="Times New Roman"/>
          <w:color w:val="000000" w:themeColor="text1"/>
          <w:sz w:val="21"/>
          <w:lang w:eastAsia="zh-CN"/>
          <w14:textFill>
            <w14:solidFill>
              <w14:schemeClr w14:val="tx1"/>
            </w14:solidFill>
          </w14:textFill>
        </w:rPr>
        <w:t xml:space="preserve"> 管道非开挖修复工程应经单位工程质量验收合格后，方可通水使用。不能长时间停止运行的管道，应由建设单位组织设计、监理、施工单位，并邀请设施管理单位，按照相关法律法规和管理要求进行分部或分项工程通水验收，满足管道正常运行需求。</w:t>
      </w:r>
    </w:p>
    <w:bookmarkEnd w:id="209"/>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.1.</w:t>
      </w:r>
      <w:r>
        <w:rPr>
          <w:rFonts w:hint="eastAsia"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 xml:space="preserve"> 修复工程的质量验收不合格时，应按下列规定处理：</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经返工重做或更换管节、管件、管道设备等的验收批，应重新进行验收。</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经有相应资质的检测单位检测鉴定能够达到设计要求的验收批，可予以验收。</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3 </w:t>
      </w:r>
      <w:r>
        <w:rPr>
          <w:rFonts w:cs="Times New Roman"/>
          <w:color w:val="000000" w:themeColor="text1"/>
          <w:sz w:val="21"/>
          <w:lang w:eastAsia="zh-CN"/>
          <w14:textFill>
            <w14:solidFill>
              <w14:schemeClr w14:val="tx1"/>
            </w14:solidFill>
          </w14:textFill>
        </w:rPr>
        <w:t>经返修或加固处理的分项工程、分部（子分部）工程，改变外形尺寸但仍能满足结构安全和使用功能要求的，可按技术处理方案文件和协商文件进行验收。</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.1.</w:t>
      </w:r>
      <w:r>
        <w:rPr>
          <w:rFonts w:hint="eastAsia" w:cs="Times New Roman"/>
          <w:b/>
          <w:bCs/>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 xml:space="preserve"> 通过返修或加固处理仍不能满足结构安全或使用功能要求的分部（子分部工程）、单位（子单位）工程，严禁通过验收。</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.1.</w:t>
      </w:r>
      <w:r>
        <w:rPr>
          <w:rFonts w:hint="eastAsia" w:cs="Times New Roman"/>
          <w:b/>
          <w:bCs/>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 xml:space="preserve"> 单位工程经施工单位自行检验合格，并经监理单位确认通过后，应向建设单位提出单位工程验收。</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.1.</w:t>
      </w:r>
      <w:r>
        <w:rPr>
          <w:rFonts w:hint="eastAsia" w:cs="Times New Roman"/>
          <w:b/>
          <w:bCs/>
          <w:color w:val="000000" w:themeColor="text1"/>
          <w:sz w:val="21"/>
          <w:lang w:eastAsia="zh-CN"/>
          <w14:textFill>
            <w14:solidFill>
              <w14:schemeClr w14:val="tx1"/>
            </w14:solidFill>
          </w14:textFill>
        </w:rPr>
        <w:t>9</w:t>
      </w:r>
      <w:r>
        <w:rPr>
          <w:rFonts w:cs="Times New Roman"/>
          <w:color w:val="000000" w:themeColor="text1"/>
          <w:sz w:val="21"/>
          <w:lang w:eastAsia="zh-CN"/>
          <w14:textFill>
            <w14:solidFill>
              <w14:schemeClr w14:val="tx1"/>
            </w14:solidFill>
          </w14:textFill>
        </w:rPr>
        <w:t xml:space="preserve"> 分部工程（子分部工程）验收及竣工验收应由建设单位组织，勘察、设计、施工、监理单位应参加验收。</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.1.</w:t>
      </w:r>
      <w:r>
        <w:rPr>
          <w:rFonts w:hint="eastAsia" w:cs="Times New Roman"/>
          <w:b/>
          <w:bCs/>
          <w:color w:val="000000" w:themeColor="text1"/>
          <w:sz w:val="21"/>
          <w:lang w:eastAsia="zh-CN"/>
          <w14:textFill>
            <w14:solidFill>
              <w14:schemeClr w14:val="tx1"/>
            </w14:solidFill>
          </w14:textFill>
        </w:rPr>
        <w:t>10</w:t>
      </w:r>
      <w:r>
        <w:rPr>
          <w:rFonts w:cs="Times New Roman"/>
          <w:color w:val="000000" w:themeColor="text1"/>
          <w:sz w:val="21"/>
          <w:lang w:eastAsia="zh-CN"/>
          <w14:textFill>
            <w14:solidFill>
              <w14:schemeClr w14:val="tx1"/>
            </w14:solidFill>
          </w14:textFill>
        </w:rPr>
        <w:t xml:space="preserve"> 修复工程的质量验收不合格时，应按下列规定处理：</w:t>
      </w:r>
    </w:p>
    <w:p>
      <w:pPr>
        <w:ind w:left="420" w:firstLine="420" w:firstLineChars="0"/>
        <w:rPr>
          <w:rFonts w:cs="Times New Roman"/>
          <w:color w:val="000000" w:themeColor="text1"/>
          <w:sz w:val="21"/>
          <w:lang w:eastAsia="zh-CN"/>
          <w14:textFill>
            <w14:solidFill>
              <w14:schemeClr w14:val="tx1"/>
            </w14:solidFill>
          </w14:textFill>
        </w:rPr>
      </w:pPr>
      <w:bookmarkStart w:id="210" w:name="OLE_LINK39"/>
      <w:bookmarkStart w:id="211" w:name="_Toc16291"/>
      <w:bookmarkStart w:id="212" w:name="_Toc20435"/>
      <w:r>
        <w:rPr>
          <w:rFonts w:cs="Times New Roman"/>
          <w:b/>
          <w:bCs/>
          <w:color w:val="000000" w:themeColor="text1"/>
          <w:sz w:val="21"/>
          <w:lang w:eastAsia="zh-CN"/>
          <w14:textFill>
            <w14:solidFill>
              <w14:schemeClr w14:val="tx1"/>
            </w14:solidFill>
          </w14:textFill>
        </w:rPr>
        <w:t>1</w:t>
      </w:r>
      <w:bookmarkEnd w:id="210"/>
      <w:r>
        <w:rPr>
          <w:rFonts w:cs="Times New Roman"/>
          <w:color w:val="000000" w:themeColor="text1"/>
          <w:sz w:val="21"/>
          <w:lang w:eastAsia="zh-CN"/>
          <w14:textFill>
            <w14:solidFill>
              <w14:schemeClr w14:val="tx1"/>
            </w14:solidFill>
          </w14:textFill>
        </w:rPr>
        <w:t xml:space="preserve"> 经返工重做或更换内衬、型材等的验收批，应重新进行验收；</w:t>
      </w:r>
      <w:bookmarkEnd w:id="211"/>
      <w:bookmarkEnd w:id="212"/>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对返工重做或更换的内衬、型材，经有相应资质的检测单位检测鉴定能够达到设计要求的验收批，可予以验收。</w:t>
      </w:r>
    </w:p>
    <w:p>
      <w:pPr>
        <w:pStyle w:val="3"/>
        <w:ind w:firstLine="560"/>
      </w:pPr>
      <w:bookmarkStart w:id="213" w:name="_Toc196915232"/>
      <w:r>
        <w:rPr>
          <w:rFonts w:hint="eastAsia"/>
        </w:rPr>
        <w:t>8</w:t>
      </w:r>
      <w:r>
        <w:t xml:space="preserve">.2 </w:t>
      </w:r>
      <w:bookmarkEnd w:id="213"/>
      <w:r>
        <w:rPr>
          <w:rFonts w:hint="eastAsia"/>
        </w:rPr>
        <w:t>功能性缺陷与预处理</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w:t>
      </w:r>
      <w:r>
        <w:rPr>
          <w:rFonts w:cs="Times New Roman"/>
          <w:b/>
          <w:bCs/>
          <w:color w:val="000000" w:themeColor="text1"/>
          <w:sz w:val="21"/>
          <w:lang w:eastAsia="zh-CN"/>
          <w14:textFill>
            <w14:solidFill>
              <w14:schemeClr w14:val="tx1"/>
            </w14:solidFill>
          </w14:textFill>
        </w:rPr>
        <w:t>2.1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管道疏通质量检验应符合下列规定。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预处理后的原有管道内应无沉积物、垃圾及其他障碍物，管道内不得有影响施工的积水，管道内表面应洁净，无附着物、尖锐毛刺或突起。</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当采用原位固化法进行修复时，修复部位不得有渗水现象。</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当采用喷涂进行修复时，施工前基底应处于无自由水的状态。</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当采用局部修复时，原有管道待修复部位及其前后</w:t>
      </w:r>
      <w:r>
        <w:rPr>
          <w:rFonts w:cs="Times New Roman"/>
          <w:color w:val="000000" w:themeColor="text1"/>
          <w:sz w:val="21"/>
          <w:lang w:eastAsia="zh-CN"/>
          <w14:textFill>
            <w14:solidFill>
              <w14:schemeClr w14:val="tx1"/>
            </w14:solidFill>
          </w14:textFill>
        </w:rPr>
        <w:t xml:space="preserve"> 0.5 m</w:t>
      </w:r>
      <w:r>
        <w:rPr>
          <w:rFonts w:hint="eastAsia" w:cs="Times New Roman"/>
          <w:color w:val="000000" w:themeColor="text1"/>
          <w:sz w:val="21"/>
          <w:lang w:eastAsia="zh-CN"/>
          <w14:textFill>
            <w14:solidFill>
              <w14:schemeClr w14:val="tx1"/>
            </w14:solidFill>
          </w14:textFill>
        </w:rPr>
        <w:t>范围内管道内表面应洁净，无附着物、尖锐毛刺或突起。</w:t>
      </w:r>
    </w:p>
    <w:p>
      <w:pPr>
        <w:ind w:firstLine="420" w:firstLineChars="0"/>
        <w:rPr>
          <w:color w:val="auto"/>
          <w:sz w:val="21"/>
          <w:lang w:eastAsia="zh-CN"/>
        </w:rPr>
      </w:pPr>
      <w:r>
        <w:rPr>
          <w:rFonts w:hint="eastAsia" w:cs="Times New Roman"/>
          <w:b/>
          <w:bCs/>
          <w:color w:val="auto"/>
          <w:sz w:val="21"/>
          <w:lang w:eastAsia="zh-CN"/>
        </w:rPr>
        <w:t>8.2.2</w:t>
      </w:r>
      <w:r>
        <w:rPr>
          <w:color w:val="auto"/>
          <w:sz w:val="21"/>
          <w:lang w:eastAsia="zh-CN"/>
        </w:rPr>
        <w:t xml:space="preserve"> </w:t>
      </w:r>
      <w:r>
        <w:rPr>
          <w:rFonts w:hint="eastAsia"/>
          <w:color w:val="auto"/>
          <w:sz w:val="21"/>
          <w:lang w:eastAsia="zh-CN"/>
        </w:rPr>
        <w:t>土体注浆加固质量应符合下列规定：</w:t>
      </w:r>
    </w:p>
    <w:p>
      <w:pPr>
        <w:ind w:left="418" w:firstLine="422"/>
        <w:rPr>
          <w:color w:val="auto"/>
          <w:sz w:val="21"/>
          <w:lang w:eastAsia="zh-CN"/>
        </w:rPr>
      </w:pPr>
      <w:r>
        <w:rPr>
          <w:b/>
          <w:bCs/>
          <w:color w:val="auto"/>
          <w:sz w:val="21"/>
          <w:lang w:eastAsia="zh-CN"/>
        </w:rPr>
        <w:t>1</w:t>
      </w:r>
      <w:r>
        <w:rPr>
          <w:rFonts w:hint="eastAsia"/>
          <w:color w:val="auto"/>
          <w:sz w:val="21"/>
          <w:lang w:eastAsia="zh-CN"/>
        </w:rPr>
        <w:t xml:space="preserve"> 管道接口处及裂缝处应无明显的渗漏水；</w:t>
      </w:r>
    </w:p>
    <w:p>
      <w:pPr>
        <w:ind w:left="418" w:firstLine="422"/>
        <w:rPr>
          <w:color w:val="auto"/>
          <w:sz w:val="21"/>
          <w:lang w:eastAsia="zh-CN"/>
        </w:rPr>
      </w:pPr>
      <w:r>
        <w:rPr>
          <w:b/>
          <w:bCs/>
          <w:color w:val="auto"/>
          <w:sz w:val="21"/>
          <w:lang w:eastAsia="zh-CN"/>
        </w:rPr>
        <w:t>2</w:t>
      </w:r>
      <w:r>
        <w:rPr>
          <w:rFonts w:hint="eastAsia"/>
          <w:color w:val="auto"/>
          <w:sz w:val="21"/>
          <w:lang w:eastAsia="zh-CN"/>
        </w:rPr>
        <w:t xml:space="preserve"> 管道外部脱空及空洞位置、深度、面积应明确，脱空及空洞处应填充密实；</w:t>
      </w:r>
    </w:p>
    <w:p>
      <w:pPr>
        <w:ind w:left="418" w:firstLine="422"/>
        <w:rPr>
          <w:color w:val="auto"/>
          <w:sz w:val="21"/>
          <w:lang w:eastAsia="zh-CN"/>
        </w:rPr>
      </w:pPr>
      <w:r>
        <w:rPr>
          <w:b/>
          <w:bCs/>
          <w:color w:val="auto"/>
          <w:sz w:val="21"/>
          <w:lang w:eastAsia="zh-CN"/>
        </w:rPr>
        <w:t>3</w:t>
      </w:r>
      <w:r>
        <w:rPr>
          <w:rFonts w:hint="eastAsia"/>
          <w:color w:val="auto"/>
          <w:sz w:val="21"/>
          <w:lang w:eastAsia="zh-CN"/>
        </w:rPr>
        <w:t xml:space="preserve"> 注浆完成后应对管道外部土体加固质量进行评估；</w:t>
      </w:r>
    </w:p>
    <w:p>
      <w:pPr>
        <w:ind w:left="418" w:firstLine="422"/>
        <w:rPr>
          <w:color w:val="auto"/>
          <w:sz w:val="21"/>
          <w:lang w:eastAsia="zh-CN"/>
        </w:rPr>
      </w:pPr>
      <w:r>
        <w:rPr>
          <w:b/>
          <w:bCs/>
          <w:color w:val="auto"/>
          <w:sz w:val="21"/>
          <w:lang w:eastAsia="zh-CN"/>
        </w:rPr>
        <w:t>4</w:t>
      </w:r>
      <w:r>
        <w:rPr>
          <w:rFonts w:hint="eastAsia"/>
          <w:color w:val="auto"/>
          <w:sz w:val="21"/>
          <w:lang w:eastAsia="zh-CN"/>
        </w:rPr>
        <w:t xml:space="preserve"> 注浆完成后，管内应无残留或凸起的注浆材料。</w:t>
      </w:r>
    </w:p>
    <w:p>
      <w:pPr>
        <w:ind w:firstLine="422"/>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8.2.3 </w:t>
      </w:r>
      <w:r>
        <w:rPr>
          <w:rFonts w:hint="eastAsia" w:cs="Times New Roman"/>
          <w:color w:val="000000" w:themeColor="text1"/>
          <w:sz w:val="21"/>
          <w:lang w:eastAsia="zh-CN"/>
          <w14:textFill>
            <w14:solidFill>
              <w14:schemeClr w14:val="tx1"/>
            </w14:solidFill>
          </w14:textFill>
        </w:rPr>
        <w:t>裂缝嵌补质量检验应符合下列规定。</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hint="eastAsia" w:cs="Times New Roman"/>
          <w:color w:val="000000" w:themeColor="text1"/>
          <w:sz w:val="21"/>
          <w:lang w:eastAsia="zh-CN"/>
          <w14:textFill>
            <w14:solidFill>
              <w14:schemeClr w14:val="tx1"/>
            </w14:solidFill>
          </w14:textFill>
        </w:rPr>
        <w:t>嵌补区域表面应平整，无凹凸不平、气孔或剥离现象。</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2 </w:t>
      </w:r>
      <w:r>
        <w:rPr>
          <w:rFonts w:hint="eastAsia" w:cs="Times New Roman"/>
          <w:color w:val="000000" w:themeColor="text1"/>
          <w:sz w:val="21"/>
          <w:lang w:eastAsia="zh-CN"/>
          <w14:textFill>
            <w14:solidFill>
              <w14:schemeClr w14:val="tx1"/>
            </w14:solidFill>
          </w14:textFill>
        </w:rPr>
        <w:t>胶结材料与原结构粘结牢固，无开裂或脱落。</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填缝材料颜色均匀一致，无明显色差。</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8.2.4 </w:t>
      </w:r>
      <w:r>
        <w:rPr>
          <w:rFonts w:hint="eastAsia" w:cs="Times New Roman"/>
          <w:color w:val="000000" w:themeColor="text1"/>
          <w:sz w:val="21"/>
          <w:lang w:eastAsia="zh-CN"/>
          <w14:textFill>
            <w14:solidFill>
              <w14:schemeClr w14:val="tx1"/>
            </w14:solidFill>
          </w14:textFill>
        </w:rPr>
        <w:t>堵漏质量检验应符合下列规定。</w:t>
      </w:r>
    </w:p>
    <w:p>
      <w:pPr>
        <w:ind w:left="420" w:firstLine="422"/>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封堵区表面应平整，光滑、无气泡、裂纹和脱落现象。</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堵漏区无渗水现象。</w:t>
      </w:r>
    </w:p>
    <w:p>
      <w:pPr>
        <w:ind w:firstLine="481" w:firstLineChars="228"/>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8.2.5 </w:t>
      </w:r>
      <w:r>
        <w:rPr>
          <w:rFonts w:hint="eastAsia" w:cs="Times New Roman"/>
          <w:color w:val="000000" w:themeColor="text1"/>
          <w:sz w:val="21"/>
          <w:lang w:eastAsia="zh-CN"/>
          <w14:textFill>
            <w14:solidFill>
              <w14:schemeClr w14:val="tx1"/>
            </w14:solidFill>
          </w14:textFill>
        </w:rPr>
        <w:t>不锈钢双胀环法、不锈钢快速所法应符合下列规定：</w:t>
      </w:r>
    </w:p>
    <w:p>
      <w:pPr>
        <w:ind w:left="361" w:firstLine="481" w:firstLineChars="228"/>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修复位置应正确，修复装置应安装牢固；</w:t>
      </w:r>
    </w:p>
    <w:p>
      <w:pPr>
        <w:ind w:left="361" w:firstLine="481" w:firstLineChars="228"/>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已修复部位不得漏水、渗水；</w:t>
      </w:r>
    </w:p>
    <w:p>
      <w:pPr>
        <w:ind w:left="361" w:firstLine="481" w:firstLineChars="228"/>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3 </w:t>
      </w:r>
      <w:r>
        <w:rPr>
          <w:rFonts w:hint="eastAsia" w:cs="Times New Roman"/>
          <w:color w:val="000000" w:themeColor="text1"/>
          <w:sz w:val="21"/>
          <w:lang w:eastAsia="zh-CN"/>
          <w14:textFill>
            <w14:solidFill>
              <w14:schemeClr w14:val="tx1"/>
            </w14:solidFill>
          </w14:textFill>
        </w:rPr>
        <w:t>原有缺陷部位应已被修复材料完全覆盖，止水材料与原管应贴合紧密；</w:t>
      </w:r>
    </w:p>
    <w:p>
      <w:pPr>
        <w:ind w:left="361" w:firstLine="481" w:firstLineChars="228"/>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修复后管道线形应和顺，接口、接缝处过渡应平顺，内衬与原有管道过度应平缓。</w:t>
      </w:r>
    </w:p>
    <w:p>
      <w:pPr>
        <w:pStyle w:val="3"/>
        <w:ind w:firstLine="560"/>
      </w:pPr>
      <w:bookmarkStart w:id="214" w:name="_Toc196915233"/>
      <w:r>
        <w:rPr>
          <w:rFonts w:hint="eastAsia"/>
        </w:rPr>
        <w:t>8</w:t>
      </w:r>
      <w:r>
        <w:t>.</w:t>
      </w:r>
      <w:r>
        <w:rPr>
          <w:rFonts w:hint="eastAsia"/>
        </w:rPr>
        <w:t>3</w:t>
      </w:r>
      <w:r>
        <w:t xml:space="preserve"> </w:t>
      </w:r>
      <w:r>
        <w:rPr>
          <w:rFonts w:hint="eastAsia"/>
        </w:rPr>
        <w:t>紫外光原位固化法</w:t>
      </w:r>
      <w:bookmarkEnd w:id="214"/>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样品宜在中间检查井处截取；若在端部取样，</w:t>
      </w:r>
      <w:r>
        <w:rPr>
          <w:rFonts w:hint="eastAsia" w:cs="Times New Roman"/>
          <w:color w:val="000000" w:themeColor="text1"/>
          <w:sz w:val="21"/>
          <w:lang w:eastAsia="zh-CN"/>
          <w14:textFill>
            <w14:solidFill>
              <w14:schemeClr w14:val="tx1"/>
            </w14:solidFill>
          </w14:textFill>
        </w:rPr>
        <w:t>应</w:t>
      </w:r>
      <w:r>
        <w:rPr>
          <w:rFonts w:cs="Times New Roman"/>
          <w:color w:val="000000" w:themeColor="text1"/>
          <w:sz w:val="21"/>
          <w:lang w:eastAsia="zh-CN"/>
          <w14:textFill>
            <w14:solidFill>
              <w14:schemeClr w14:val="tx1"/>
            </w14:solidFill>
          </w14:textFill>
        </w:rPr>
        <w:t>在扎头处预留不小于300mm内衬管</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沿轴向进行切割或按设计要求取样；受现场条件限制无法截取时，应采用同批次同规格软管在同等固化条件下制作。</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 xml:space="preserve">2 </w:t>
      </w:r>
      <w:r>
        <w:rPr>
          <w:rFonts w:hint="eastAsia" w:cs="Times New Roman"/>
          <w:color w:val="000000" w:themeColor="text1"/>
          <w:sz w:val="21"/>
          <w:lang w:eastAsia="zh-CN"/>
          <w14:textFill>
            <w14:solidFill>
              <w14:schemeClr w14:val="tx1"/>
            </w14:solidFill>
          </w14:textFill>
        </w:rPr>
        <w:t>取样尺寸及技术要求应符合表8</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2 的规定。</w:t>
      </w:r>
    </w:p>
    <w:p>
      <w:pPr>
        <w:pStyle w:val="43"/>
        <w:rPr>
          <w:rFonts w:eastAsia="宋体"/>
          <w:color w:val="auto"/>
        </w:rPr>
      </w:pPr>
      <w:r>
        <w:rPr>
          <w:rFonts w:eastAsia="宋体"/>
          <w:color w:val="auto"/>
        </w:rPr>
        <w:t>表</w:t>
      </w:r>
      <w:r>
        <w:rPr>
          <w:rFonts w:eastAsia="宋体"/>
          <w:b/>
          <w:bCs/>
          <w:color w:val="000000" w:themeColor="text1"/>
          <w14:textFill>
            <w14:solidFill>
              <w14:schemeClr w14:val="tx1"/>
            </w14:solidFill>
          </w14:textFill>
        </w:rPr>
        <w:t>8.3.2</w:t>
      </w:r>
      <w:r>
        <w:rPr>
          <w:rFonts w:eastAsia="宋体"/>
          <w:color w:val="auto"/>
        </w:rPr>
        <w:t xml:space="preserve"> 取样尺寸及技术要求</w:t>
      </w:r>
    </w:p>
    <w:tbl>
      <w:tblPr>
        <w:tblStyle w:val="16"/>
        <w:tblW w:w="820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28" w:type="dxa"/>
          <w:left w:w="57" w:type="dxa"/>
          <w:bottom w:w="28" w:type="dxa"/>
          <w:right w:w="57" w:type="dxa"/>
        </w:tblCellMar>
      </w:tblPr>
      <w:tblGrid>
        <w:gridCol w:w="1828"/>
        <w:gridCol w:w="1701"/>
        <w:gridCol w:w="3686"/>
        <w:gridCol w:w="9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57" w:type="dxa"/>
            <w:bottom w:w="28" w:type="dxa"/>
            <w:right w:w="57" w:type="dxa"/>
          </w:tblCellMar>
        </w:tblPrEx>
        <w:trPr>
          <w:trHeight w:val="340" w:hRule="atLeast"/>
          <w:jc w:val="center"/>
        </w:trPr>
        <w:tc>
          <w:tcPr>
            <w:tcW w:w="1828" w:type="dxa"/>
            <w:vAlign w:val="center"/>
          </w:tcPr>
          <w:p>
            <w:pPr>
              <w:ind w:firstLine="0" w:firstLineChars="0"/>
              <w:jc w:val="center"/>
              <w:rPr>
                <w:rFonts w:cs="Times New Roman"/>
                <w:color w:val="auto"/>
                <w:sz w:val="21"/>
                <w:lang w:eastAsia="zh-CN"/>
              </w:rPr>
            </w:pPr>
            <w:r>
              <w:rPr>
                <w:rFonts w:cs="Times New Roman"/>
                <w:color w:val="auto"/>
                <w:sz w:val="21"/>
                <w:lang w:eastAsia="zh-CN"/>
              </w:rPr>
              <w:t>测试项目</w:t>
            </w:r>
          </w:p>
        </w:tc>
        <w:tc>
          <w:tcPr>
            <w:tcW w:w="1701" w:type="dxa"/>
            <w:vAlign w:val="center"/>
          </w:tcPr>
          <w:p>
            <w:pPr>
              <w:ind w:firstLine="0" w:firstLineChars="0"/>
              <w:jc w:val="center"/>
              <w:rPr>
                <w:rFonts w:cs="Times New Roman"/>
                <w:color w:val="auto"/>
                <w:sz w:val="21"/>
                <w:lang w:eastAsia="zh-CN"/>
              </w:rPr>
            </w:pPr>
            <w:r>
              <w:rPr>
                <w:rFonts w:cs="Times New Roman"/>
                <w:color w:val="auto"/>
                <w:sz w:val="21"/>
                <w:lang w:eastAsia="zh-CN"/>
              </w:rPr>
              <w:t>测试指标</w:t>
            </w:r>
          </w:p>
        </w:tc>
        <w:tc>
          <w:tcPr>
            <w:tcW w:w="3686" w:type="dxa"/>
            <w:vAlign w:val="center"/>
          </w:tcPr>
          <w:p>
            <w:pPr>
              <w:ind w:firstLine="0" w:firstLineChars="0"/>
              <w:jc w:val="center"/>
              <w:rPr>
                <w:rFonts w:cs="Times New Roman"/>
                <w:color w:val="auto"/>
                <w:sz w:val="21"/>
                <w:lang w:eastAsia="zh-CN"/>
              </w:rPr>
            </w:pPr>
            <w:r>
              <w:rPr>
                <w:rFonts w:cs="Times New Roman"/>
                <w:color w:val="auto"/>
                <w:sz w:val="21"/>
                <w:lang w:eastAsia="zh-CN"/>
              </w:rPr>
              <w:t>取样要求</w:t>
            </w:r>
          </w:p>
        </w:tc>
        <w:tc>
          <w:tcPr>
            <w:tcW w:w="992" w:type="dxa"/>
            <w:vAlign w:val="center"/>
          </w:tcPr>
          <w:p>
            <w:pPr>
              <w:ind w:firstLine="0" w:firstLineChars="0"/>
              <w:jc w:val="center"/>
              <w:rPr>
                <w:rFonts w:cs="Times New Roman"/>
                <w:color w:val="auto"/>
                <w:sz w:val="21"/>
                <w:lang w:eastAsia="zh-CN"/>
              </w:rPr>
            </w:pPr>
            <w:r>
              <w:rPr>
                <w:rFonts w:cs="Times New Roman"/>
                <w:color w:val="auto"/>
                <w:sz w:val="21"/>
                <w:lang w:eastAsia="zh-CN"/>
              </w:rPr>
              <w:t>样块数量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57" w:type="dxa"/>
            <w:bottom w:w="28" w:type="dxa"/>
            <w:right w:w="57" w:type="dxa"/>
          </w:tblCellMar>
        </w:tblPrEx>
        <w:trPr>
          <w:trHeight w:val="340" w:hRule="atLeast"/>
          <w:jc w:val="center"/>
        </w:trPr>
        <w:tc>
          <w:tcPr>
            <w:tcW w:w="1828" w:type="dxa"/>
            <w:vMerge w:val="restart"/>
            <w:vAlign w:val="center"/>
          </w:tcPr>
          <w:p>
            <w:pPr>
              <w:ind w:firstLine="0" w:firstLineChars="0"/>
              <w:jc w:val="center"/>
              <w:rPr>
                <w:rFonts w:cs="Times New Roman"/>
                <w:color w:val="auto"/>
                <w:sz w:val="21"/>
                <w:lang w:eastAsia="zh-CN"/>
              </w:rPr>
            </w:pPr>
            <w:r>
              <w:rPr>
                <w:rFonts w:cs="Times New Roman"/>
                <w:color w:val="auto"/>
                <w:sz w:val="21"/>
                <w:lang w:eastAsia="zh-CN"/>
              </w:rPr>
              <w:t>三点弯曲测试</w:t>
            </w:r>
          </w:p>
        </w:tc>
        <w:tc>
          <w:tcPr>
            <w:tcW w:w="1701" w:type="dxa"/>
            <w:vAlign w:val="center"/>
          </w:tcPr>
          <w:p>
            <w:pPr>
              <w:ind w:firstLine="0" w:firstLineChars="0"/>
              <w:jc w:val="center"/>
              <w:rPr>
                <w:rFonts w:cs="Times New Roman"/>
                <w:color w:val="auto"/>
                <w:sz w:val="21"/>
                <w:lang w:eastAsia="zh-CN"/>
              </w:rPr>
            </w:pPr>
            <w:r>
              <w:rPr>
                <w:rFonts w:cs="Times New Roman"/>
                <w:color w:val="auto"/>
                <w:sz w:val="21"/>
                <w:lang w:eastAsia="zh-CN"/>
              </w:rPr>
              <w:t>抗弯强度</w:t>
            </w:r>
          </w:p>
        </w:tc>
        <w:tc>
          <w:tcPr>
            <w:tcW w:w="3686" w:type="dxa"/>
            <w:vMerge w:val="restart"/>
            <w:vAlign w:val="center"/>
          </w:tcPr>
          <w:p>
            <w:pPr>
              <w:ind w:firstLine="0" w:firstLineChars="0"/>
              <w:jc w:val="center"/>
              <w:rPr>
                <w:rFonts w:cs="Times New Roman"/>
                <w:color w:val="auto"/>
                <w:sz w:val="21"/>
                <w:lang w:eastAsia="zh-CN"/>
              </w:rPr>
            </w:pPr>
            <w:r>
              <w:rPr>
                <w:rFonts w:cs="Times New Roman"/>
                <w:color w:val="auto"/>
                <w:sz w:val="21"/>
                <w:lang w:eastAsia="zh-CN"/>
              </w:rPr>
              <w:t>施工现场采集样块尺寸：</w:t>
            </w:r>
          </w:p>
          <w:p>
            <w:pPr>
              <w:ind w:firstLine="0" w:firstLineChars="0"/>
              <w:jc w:val="center"/>
              <w:rPr>
                <w:rFonts w:cs="Times New Roman"/>
                <w:color w:val="auto"/>
                <w:sz w:val="21"/>
                <w:lang w:eastAsia="zh-CN"/>
              </w:rPr>
            </w:pPr>
            <w:r>
              <w:rPr>
                <w:rFonts w:cs="Times New Roman"/>
                <w:color w:val="auto"/>
                <w:sz w:val="21"/>
                <w:lang w:eastAsia="zh-CN"/>
              </w:rPr>
              <w:t>（周向长度 × 轴向长度）</w:t>
            </w:r>
          </w:p>
          <w:p>
            <w:pPr>
              <w:ind w:firstLine="0" w:firstLineChars="0"/>
              <w:jc w:val="center"/>
              <w:rPr>
                <w:rFonts w:cs="Times New Roman"/>
                <w:color w:val="auto"/>
                <w:sz w:val="21"/>
                <w:lang w:eastAsia="zh-CN"/>
              </w:rPr>
            </w:pPr>
            <w:r>
              <w:rPr>
                <w:rFonts w:cs="Times New Roman"/>
                <w:color w:val="auto"/>
                <w:sz w:val="21"/>
                <w:lang w:eastAsia="zh-CN"/>
              </w:rPr>
              <w:t>em ＜ 10mm内衬管：2</w:t>
            </w:r>
            <w:r>
              <w:rPr>
                <w:rFonts w:hint="eastAsia" w:cs="Times New Roman"/>
                <w:color w:val="auto"/>
                <w:sz w:val="21"/>
                <w:lang w:eastAsia="zh-CN"/>
              </w:rPr>
              <w:t>0</w:t>
            </w:r>
            <w:r>
              <w:rPr>
                <w:rFonts w:cs="Times New Roman"/>
                <w:color w:val="auto"/>
                <w:sz w:val="21"/>
                <w:lang w:eastAsia="zh-CN"/>
              </w:rPr>
              <w:t xml:space="preserve">0mm × </w:t>
            </w:r>
            <w:r>
              <w:rPr>
                <w:rFonts w:hint="eastAsia" w:cs="Times New Roman"/>
                <w:color w:val="auto"/>
                <w:sz w:val="21"/>
                <w:lang w:eastAsia="zh-CN"/>
              </w:rPr>
              <w:t>3</w:t>
            </w:r>
            <w:r>
              <w:rPr>
                <w:rFonts w:cs="Times New Roman"/>
                <w:color w:val="auto"/>
                <w:sz w:val="21"/>
                <w:lang w:eastAsia="zh-CN"/>
              </w:rPr>
              <w:t>00mm</w:t>
            </w:r>
          </w:p>
          <w:p>
            <w:pPr>
              <w:ind w:firstLine="0" w:firstLineChars="0"/>
              <w:jc w:val="center"/>
              <w:rPr>
                <w:rFonts w:cs="Times New Roman"/>
                <w:color w:val="auto"/>
                <w:sz w:val="21"/>
                <w:lang w:eastAsia="zh-CN"/>
              </w:rPr>
            </w:pPr>
            <w:r>
              <w:rPr>
                <w:rFonts w:cs="Times New Roman"/>
                <w:color w:val="auto"/>
                <w:sz w:val="21"/>
                <w:lang w:eastAsia="zh-CN"/>
              </w:rPr>
              <w:t xml:space="preserve">em </w:t>
            </w:r>
            <w:bookmarkStart w:id="215" w:name="OLE_LINK25"/>
            <w:r>
              <w:rPr>
                <w:rFonts w:cs="Times New Roman"/>
                <w:color w:val="auto"/>
                <w:sz w:val="21"/>
                <w:lang w:eastAsia="zh-CN"/>
              </w:rPr>
              <w:t>≥ 1</w:t>
            </w:r>
            <w:bookmarkEnd w:id="215"/>
            <w:r>
              <w:rPr>
                <w:rFonts w:cs="Times New Roman"/>
                <w:color w:val="auto"/>
                <w:sz w:val="21"/>
                <w:lang w:eastAsia="zh-CN"/>
              </w:rPr>
              <w:t>0mm内衬管：</w:t>
            </w:r>
            <w:r>
              <w:rPr>
                <w:rFonts w:hint="eastAsia" w:cs="Times New Roman"/>
                <w:color w:val="auto"/>
                <w:sz w:val="21"/>
                <w:lang w:eastAsia="zh-CN"/>
              </w:rPr>
              <w:t>4</w:t>
            </w:r>
            <w:r>
              <w:rPr>
                <w:rFonts w:cs="Times New Roman"/>
                <w:color w:val="auto"/>
                <w:sz w:val="21"/>
                <w:lang w:eastAsia="zh-CN"/>
              </w:rPr>
              <w:t xml:space="preserve">00mm × </w:t>
            </w:r>
            <w:r>
              <w:rPr>
                <w:rFonts w:hint="eastAsia" w:cs="Times New Roman"/>
                <w:color w:val="auto"/>
                <w:sz w:val="21"/>
                <w:lang w:eastAsia="zh-CN"/>
              </w:rPr>
              <w:t>3</w:t>
            </w:r>
            <w:r>
              <w:rPr>
                <w:rFonts w:cs="Times New Roman"/>
                <w:color w:val="auto"/>
                <w:sz w:val="21"/>
                <w:lang w:eastAsia="zh-CN"/>
              </w:rPr>
              <w:t>00mm</w:t>
            </w:r>
          </w:p>
          <w:p>
            <w:pPr>
              <w:ind w:firstLine="0" w:firstLineChars="0"/>
              <w:jc w:val="center"/>
              <w:rPr>
                <w:rFonts w:cs="Times New Roman"/>
                <w:color w:val="auto"/>
                <w:sz w:val="21"/>
                <w:lang w:eastAsia="zh-CN"/>
              </w:rPr>
            </w:pPr>
            <w:r>
              <w:rPr>
                <w:rFonts w:cs="Times New Roman"/>
                <w:color w:val="auto"/>
                <w:sz w:val="21"/>
                <w:lang w:eastAsia="zh-CN"/>
              </w:rPr>
              <w:t>同三点弯曲测试</w:t>
            </w:r>
          </w:p>
        </w:tc>
        <w:tc>
          <w:tcPr>
            <w:tcW w:w="992" w:type="dxa"/>
            <w:vMerge w:val="restart"/>
            <w:vAlign w:val="center"/>
          </w:tcPr>
          <w:p>
            <w:pPr>
              <w:ind w:firstLine="0" w:firstLineChars="0"/>
              <w:jc w:val="center"/>
              <w:rPr>
                <w:rFonts w:cs="Times New Roman"/>
                <w:color w:val="auto"/>
                <w:sz w:val="21"/>
                <w:lang w:eastAsia="zh-CN"/>
              </w:rPr>
            </w:pPr>
            <w:r>
              <w:rPr>
                <w:rFonts w:cs="Times New Roman"/>
                <w:color w:val="auto"/>
                <w:sz w:val="21"/>
                <w:lang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57" w:type="dxa"/>
            <w:bottom w:w="28" w:type="dxa"/>
            <w:right w:w="57" w:type="dxa"/>
          </w:tblCellMar>
        </w:tblPrEx>
        <w:trPr>
          <w:trHeight w:val="340" w:hRule="atLeast"/>
          <w:jc w:val="center"/>
        </w:trPr>
        <w:tc>
          <w:tcPr>
            <w:tcW w:w="1828" w:type="dxa"/>
            <w:vMerge w:val="continue"/>
            <w:vAlign w:val="center"/>
          </w:tcPr>
          <w:p>
            <w:pPr>
              <w:ind w:firstLine="0" w:firstLineChars="0"/>
              <w:jc w:val="center"/>
              <w:rPr>
                <w:rFonts w:cs="Times New Roman"/>
                <w:color w:val="auto"/>
                <w:sz w:val="21"/>
                <w:lang w:eastAsia="zh-CN"/>
              </w:rPr>
            </w:pPr>
          </w:p>
        </w:tc>
        <w:tc>
          <w:tcPr>
            <w:tcW w:w="1701" w:type="dxa"/>
            <w:vAlign w:val="center"/>
          </w:tcPr>
          <w:p>
            <w:pPr>
              <w:ind w:firstLine="0" w:firstLineChars="0"/>
              <w:jc w:val="center"/>
              <w:rPr>
                <w:rFonts w:cs="Times New Roman"/>
                <w:color w:val="auto"/>
                <w:sz w:val="21"/>
                <w:lang w:eastAsia="zh-CN"/>
              </w:rPr>
            </w:pPr>
            <w:r>
              <w:rPr>
                <w:rFonts w:cs="Times New Roman"/>
                <w:color w:val="auto"/>
                <w:sz w:val="21"/>
                <w:lang w:eastAsia="zh-CN"/>
              </w:rPr>
              <w:t>短期弯曲模量</w:t>
            </w:r>
          </w:p>
        </w:tc>
        <w:tc>
          <w:tcPr>
            <w:tcW w:w="3686" w:type="dxa"/>
            <w:vMerge w:val="continue"/>
            <w:vAlign w:val="center"/>
          </w:tcPr>
          <w:p>
            <w:pPr>
              <w:ind w:firstLine="0" w:firstLineChars="0"/>
              <w:jc w:val="center"/>
              <w:rPr>
                <w:rFonts w:cs="Times New Roman"/>
                <w:color w:val="auto"/>
                <w:sz w:val="21"/>
                <w:lang w:eastAsia="zh-CN"/>
              </w:rPr>
            </w:pPr>
          </w:p>
        </w:tc>
        <w:tc>
          <w:tcPr>
            <w:tcW w:w="992" w:type="dxa"/>
            <w:vMerge w:val="continue"/>
            <w:vAlign w:val="center"/>
          </w:tcPr>
          <w:p>
            <w:pPr>
              <w:ind w:firstLine="0" w:firstLineChars="0"/>
              <w:jc w:val="center"/>
              <w:rPr>
                <w:rFonts w:cs="Times New Roman"/>
                <w:color w:val="auto"/>
                <w:sz w:val="21"/>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57" w:type="dxa"/>
            <w:bottom w:w="28" w:type="dxa"/>
            <w:right w:w="57" w:type="dxa"/>
          </w:tblCellMar>
        </w:tblPrEx>
        <w:trPr>
          <w:trHeight w:val="340" w:hRule="atLeast"/>
          <w:jc w:val="center"/>
        </w:trPr>
        <w:tc>
          <w:tcPr>
            <w:tcW w:w="1828" w:type="dxa"/>
            <w:vAlign w:val="center"/>
          </w:tcPr>
          <w:p>
            <w:pPr>
              <w:ind w:firstLine="0" w:firstLineChars="0"/>
              <w:jc w:val="center"/>
              <w:rPr>
                <w:rFonts w:cs="Times New Roman"/>
                <w:color w:val="auto"/>
                <w:sz w:val="21"/>
                <w:lang w:eastAsia="zh-CN"/>
              </w:rPr>
            </w:pPr>
            <w:r>
              <w:rPr>
                <w:rFonts w:cs="Times New Roman"/>
                <w:color w:val="auto"/>
                <w:sz w:val="21"/>
                <w:lang w:eastAsia="zh-CN"/>
              </w:rPr>
              <w:t>厚度测量</w:t>
            </w:r>
          </w:p>
        </w:tc>
        <w:tc>
          <w:tcPr>
            <w:tcW w:w="1701" w:type="dxa"/>
            <w:vAlign w:val="center"/>
          </w:tcPr>
          <w:p>
            <w:pPr>
              <w:ind w:firstLine="0" w:firstLineChars="0"/>
              <w:jc w:val="center"/>
              <w:rPr>
                <w:rFonts w:cs="Times New Roman"/>
                <w:color w:val="auto"/>
                <w:sz w:val="21"/>
                <w:lang w:eastAsia="zh-CN"/>
              </w:rPr>
            </w:pPr>
            <w:r>
              <w:rPr>
                <w:rFonts w:cs="Times New Roman"/>
                <w:color w:val="auto"/>
                <w:sz w:val="21"/>
                <w:lang w:eastAsia="zh-CN"/>
              </w:rPr>
              <w:t>平均厚度em</w:t>
            </w:r>
          </w:p>
        </w:tc>
        <w:tc>
          <w:tcPr>
            <w:tcW w:w="3686" w:type="dxa"/>
            <w:vMerge w:val="continue"/>
            <w:vAlign w:val="center"/>
          </w:tcPr>
          <w:p>
            <w:pPr>
              <w:ind w:firstLine="0" w:firstLineChars="0"/>
              <w:jc w:val="center"/>
              <w:rPr>
                <w:rFonts w:cs="Times New Roman"/>
                <w:color w:val="auto"/>
                <w:sz w:val="21"/>
                <w:lang w:eastAsia="zh-CN"/>
              </w:rPr>
            </w:pPr>
          </w:p>
        </w:tc>
        <w:tc>
          <w:tcPr>
            <w:tcW w:w="992" w:type="dxa"/>
            <w:vMerge w:val="continue"/>
            <w:vAlign w:val="center"/>
          </w:tcPr>
          <w:p>
            <w:pPr>
              <w:ind w:firstLine="0" w:firstLineChars="0"/>
              <w:jc w:val="center"/>
              <w:rPr>
                <w:rFonts w:cs="Times New Roman"/>
                <w:color w:val="auto"/>
                <w:sz w:val="21"/>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57" w:type="dxa"/>
            <w:bottom w:w="28" w:type="dxa"/>
            <w:right w:w="57" w:type="dxa"/>
          </w:tblCellMar>
        </w:tblPrEx>
        <w:trPr>
          <w:trHeight w:val="340" w:hRule="atLeast"/>
          <w:jc w:val="center"/>
        </w:trPr>
        <w:tc>
          <w:tcPr>
            <w:tcW w:w="1828" w:type="dxa"/>
            <w:vAlign w:val="center"/>
          </w:tcPr>
          <w:p>
            <w:pPr>
              <w:ind w:firstLine="0" w:firstLineChars="0"/>
              <w:jc w:val="center"/>
              <w:rPr>
                <w:rFonts w:cs="Times New Roman"/>
                <w:color w:val="auto"/>
                <w:sz w:val="21"/>
                <w:lang w:eastAsia="zh-CN"/>
              </w:rPr>
            </w:pPr>
            <w:r>
              <w:rPr>
                <w:rFonts w:cs="Times New Roman"/>
                <w:color w:val="auto"/>
                <w:sz w:val="21"/>
                <w:lang w:eastAsia="zh-CN"/>
              </w:rPr>
              <w:t>拉伸试验</w:t>
            </w:r>
          </w:p>
        </w:tc>
        <w:tc>
          <w:tcPr>
            <w:tcW w:w="1701" w:type="dxa"/>
            <w:vAlign w:val="center"/>
          </w:tcPr>
          <w:p>
            <w:pPr>
              <w:ind w:firstLine="0" w:firstLineChars="0"/>
              <w:jc w:val="center"/>
              <w:rPr>
                <w:rFonts w:cs="Times New Roman"/>
                <w:color w:val="auto"/>
                <w:sz w:val="21"/>
                <w:lang w:eastAsia="zh-CN"/>
              </w:rPr>
            </w:pPr>
            <w:r>
              <w:rPr>
                <w:rFonts w:cs="Times New Roman"/>
                <w:color w:val="auto"/>
                <w:sz w:val="21"/>
                <w:lang w:eastAsia="zh-CN"/>
              </w:rPr>
              <w:t>抗拉强度</w:t>
            </w:r>
          </w:p>
        </w:tc>
        <w:tc>
          <w:tcPr>
            <w:tcW w:w="3686" w:type="dxa"/>
            <w:vAlign w:val="center"/>
          </w:tcPr>
          <w:p>
            <w:pPr>
              <w:ind w:firstLine="0" w:firstLineChars="0"/>
              <w:jc w:val="center"/>
              <w:rPr>
                <w:rFonts w:cs="Times New Roman"/>
                <w:color w:val="auto"/>
                <w:sz w:val="21"/>
                <w:lang w:eastAsia="zh-CN"/>
              </w:rPr>
            </w:pPr>
            <w:r>
              <w:rPr>
                <w:rFonts w:cs="Times New Roman"/>
                <w:color w:val="auto"/>
                <w:sz w:val="21"/>
                <w:lang w:eastAsia="zh-CN"/>
              </w:rPr>
              <w:t>施工现场采集样块尺寸：</w:t>
            </w:r>
          </w:p>
          <w:p>
            <w:pPr>
              <w:ind w:firstLine="0" w:firstLineChars="0"/>
              <w:jc w:val="center"/>
              <w:rPr>
                <w:rFonts w:cs="Times New Roman"/>
                <w:color w:val="auto"/>
                <w:sz w:val="21"/>
                <w:lang w:eastAsia="zh-CN"/>
              </w:rPr>
            </w:pPr>
            <w:r>
              <w:rPr>
                <w:rFonts w:cs="Times New Roman"/>
                <w:color w:val="auto"/>
                <w:sz w:val="21"/>
                <w:lang w:eastAsia="zh-CN"/>
              </w:rPr>
              <w:t>（周向长度 × 轴向长度）</w:t>
            </w:r>
          </w:p>
          <w:p>
            <w:pPr>
              <w:ind w:firstLine="0" w:firstLineChars="0"/>
              <w:jc w:val="center"/>
              <w:rPr>
                <w:rFonts w:cs="Times New Roman"/>
                <w:color w:val="auto"/>
                <w:sz w:val="21"/>
                <w:lang w:eastAsia="zh-CN"/>
              </w:rPr>
            </w:pPr>
            <w:r>
              <w:rPr>
                <w:rFonts w:cs="Times New Roman"/>
                <w:color w:val="auto"/>
                <w:sz w:val="21"/>
                <w:lang w:eastAsia="zh-CN"/>
              </w:rPr>
              <w:t>200mm × 300mm</w:t>
            </w:r>
          </w:p>
        </w:tc>
        <w:tc>
          <w:tcPr>
            <w:tcW w:w="992" w:type="dxa"/>
            <w:vAlign w:val="center"/>
          </w:tcPr>
          <w:p>
            <w:pPr>
              <w:ind w:firstLine="0" w:firstLineChars="0"/>
              <w:jc w:val="center"/>
              <w:rPr>
                <w:rFonts w:cs="Times New Roman"/>
                <w:color w:val="auto"/>
                <w:sz w:val="21"/>
                <w:lang w:eastAsia="zh-CN"/>
              </w:rPr>
            </w:pPr>
            <w:r>
              <w:rPr>
                <w:rFonts w:cs="Times New Roman"/>
                <w:color w:val="auto"/>
                <w:sz w:val="21"/>
                <w:lang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57" w:type="dxa"/>
            <w:bottom w:w="28" w:type="dxa"/>
            <w:right w:w="57" w:type="dxa"/>
          </w:tblCellMar>
        </w:tblPrEx>
        <w:trPr>
          <w:trHeight w:val="340" w:hRule="atLeast"/>
          <w:jc w:val="center"/>
        </w:trPr>
        <w:tc>
          <w:tcPr>
            <w:tcW w:w="1828" w:type="dxa"/>
            <w:vAlign w:val="center"/>
          </w:tcPr>
          <w:p>
            <w:pPr>
              <w:ind w:firstLine="0" w:firstLineChars="0"/>
              <w:jc w:val="center"/>
              <w:rPr>
                <w:rFonts w:cs="Times New Roman"/>
                <w:color w:val="auto"/>
                <w:sz w:val="21"/>
                <w:lang w:eastAsia="zh-CN"/>
              </w:rPr>
            </w:pPr>
            <w:r>
              <w:rPr>
                <w:rFonts w:cs="Times New Roman"/>
                <w:color w:val="auto"/>
                <w:sz w:val="21"/>
                <w:lang w:eastAsia="zh-CN"/>
              </w:rPr>
              <w:t>密实性检测</w:t>
            </w:r>
          </w:p>
        </w:tc>
        <w:tc>
          <w:tcPr>
            <w:tcW w:w="1701" w:type="dxa"/>
            <w:vAlign w:val="center"/>
          </w:tcPr>
          <w:p>
            <w:pPr>
              <w:ind w:firstLine="0" w:firstLineChars="0"/>
              <w:jc w:val="center"/>
              <w:rPr>
                <w:rFonts w:cs="Times New Roman"/>
                <w:color w:val="auto"/>
                <w:sz w:val="21"/>
                <w:lang w:eastAsia="zh-CN"/>
              </w:rPr>
            </w:pPr>
            <w:r>
              <w:rPr>
                <w:rFonts w:cs="Times New Roman"/>
                <w:color w:val="auto"/>
                <w:sz w:val="21"/>
                <w:lang w:eastAsia="zh-CN"/>
              </w:rPr>
              <w:t>材料样本透水性</w:t>
            </w:r>
          </w:p>
        </w:tc>
        <w:tc>
          <w:tcPr>
            <w:tcW w:w="3686" w:type="dxa"/>
            <w:vAlign w:val="center"/>
          </w:tcPr>
          <w:p>
            <w:pPr>
              <w:ind w:firstLine="0" w:firstLineChars="0"/>
              <w:jc w:val="center"/>
              <w:rPr>
                <w:rFonts w:cs="Times New Roman"/>
                <w:color w:val="auto"/>
                <w:sz w:val="21"/>
                <w:lang w:eastAsia="zh-CN"/>
              </w:rPr>
            </w:pPr>
            <w:r>
              <w:rPr>
                <w:rFonts w:cs="Times New Roman"/>
                <w:color w:val="auto"/>
                <w:sz w:val="21"/>
                <w:lang w:eastAsia="zh-CN"/>
              </w:rPr>
              <w:t>边长为45mm±5mm 的正方形</w:t>
            </w:r>
          </w:p>
        </w:tc>
        <w:tc>
          <w:tcPr>
            <w:tcW w:w="992" w:type="dxa"/>
            <w:vAlign w:val="center"/>
          </w:tcPr>
          <w:p>
            <w:pPr>
              <w:ind w:firstLine="0" w:firstLineChars="0"/>
              <w:jc w:val="center"/>
              <w:rPr>
                <w:rFonts w:cs="Times New Roman"/>
                <w:color w:val="auto"/>
                <w:sz w:val="21"/>
                <w:lang w:eastAsia="zh-CN"/>
              </w:rPr>
            </w:pPr>
            <w:r>
              <w:rPr>
                <w:rFonts w:cs="Times New Roman"/>
                <w:color w:val="auto"/>
                <w:sz w:val="21"/>
                <w:lang w:eastAsia="zh-CN"/>
              </w:rPr>
              <w:t>1</w:t>
            </w:r>
          </w:p>
        </w:tc>
      </w:tr>
    </w:tbl>
    <w:p>
      <w:pPr>
        <w:ind w:firstLine="42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注：取样要求为最小取样尺寸。</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内衬管样品送检应符合下列规定：</w:t>
      </w:r>
    </w:p>
    <w:p>
      <w:pPr>
        <w:ind w:left="420" w:firstLine="420" w:firstLineChars="0"/>
        <w:rPr>
          <w:rFonts w:cs="Times New Roman"/>
          <w:color w:val="000000" w:themeColor="text1"/>
          <w:sz w:val="21"/>
          <w:lang w:eastAsia="zh-CN"/>
          <w14:textFill>
            <w14:solidFill>
              <w14:schemeClr w14:val="tx1"/>
            </w14:solidFill>
          </w14:textFill>
        </w:rPr>
      </w:pPr>
      <w:bookmarkStart w:id="216" w:name="OLE_LINK51"/>
      <w:r>
        <w:rPr>
          <w:rFonts w:cs="Times New Roman"/>
          <w:b/>
          <w:bCs/>
          <w:color w:val="000000" w:themeColor="text1"/>
          <w:sz w:val="21"/>
          <w:lang w:eastAsia="zh-CN"/>
          <w14:textFill>
            <w14:solidFill>
              <w14:schemeClr w14:val="tx1"/>
            </w14:solidFill>
          </w14:textFill>
        </w:rPr>
        <w:t>1</w:t>
      </w:r>
      <w:bookmarkEnd w:id="216"/>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应由具有相应检测资质的第三方进行检测，并出具检测报告；</w:t>
      </w:r>
    </w:p>
    <w:p>
      <w:pPr>
        <w:ind w:left="420" w:firstLine="42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每个样品应有样品说明单，样品说明单包括下列信息：</w:t>
      </w:r>
    </w:p>
    <w:p>
      <w:pPr>
        <w:ind w:left="84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）内衬材料、尺寸、树脂类型、载体材料、内衬生产商；</w:t>
      </w:r>
    </w:p>
    <w:p>
      <w:pPr>
        <w:ind w:left="84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）施工日期、采样日期、批次编号；</w:t>
      </w:r>
    </w:p>
    <w:p>
      <w:pPr>
        <w:ind w:left="84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）采样位置、采样方法；</w:t>
      </w:r>
    </w:p>
    <w:p>
      <w:pPr>
        <w:ind w:left="84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4</w:t>
      </w:r>
      <w:r>
        <w:rPr>
          <w:rFonts w:hint="eastAsia" w:cs="Times New Roman"/>
          <w:color w:val="000000" w:themeColor="text1"/>
          <w:sz w:val="21"/>
          <w:lang w:eastAsia="zh-CN"/>
          <w14:textFill>
            <w14:solidFill>
              <w14:schemeClr w14:val="tx1"/>
            </w14:solidFill>
          </w14:textFill>
        </w:rPr>
        <w:t>）测试委托方、施工方签字确认。</w:t>
      </w:r>
    </w:p>
    <w:p>
      <w:pPr>
        <w:ind w:firstLine="42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Ⅰ 主控项目</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预处理后，原有管道内壁应无影响修复施工的缺陷，并应符合本规程第8.2节的规定。</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检查方法：观察或</w:t>
      </w:r>
      <w:r>
        <w:rPr>
          <w:rFonts w:cs="Times New Roman"/>
          <w:color w:val="000000" w:themeColor="text1"/>
          <w:sz w:val="21"/>
          <w:lang w:eastAsia="zh-CN"/>
          <w14:textFill>
            <w14:solidFill>
              <w14:schemeClr w14:val="tx1"/>
            </w14:solidFill>
          </w14:textFill>
        </w:rPr>
        <w:t>CCTV</w:t>
      </w:r>
      <w:r>
        <w:rPr>
          <w:rFonts w:hint="eastAsia" w:cs="Times New Roman"/>
          <w:color w:val="000000" w:themeColor="text1"/>
          <w:sz w:val="21"/>
          <w:lang w:eastAsia="zh-CN"/>
          <w14:textFill>
            <w14:solidFill>
              <w14:schemeClr w14:val="tx1"/>
            </w14:solidFill>
          </w14:textFill>
        </w:rPr>
        <w:t>检测；检查预处理施工记录、</w:t>
      </w:r>
      <w:r>
        <w:rPr>
          <w:rFonts w:cs="Times New Roman"/>
          <w:color w:val="000000" w:themeColor="text1"/>
          <w:sz w:val="21"/>
          <w:lang w:eastAsia="zh-CN"/>
          <w14:textFill>
            <w14:solidFill>
              <w14:schemeClr w14:val="tx1"/>
            </w14:solidFill>
          </w14:textFill>
        </w:rPr>
        <w:t>CCTV</w:t>
      </w:r>
      <w:r>
        <w:rPr>
          <w:rFonts w:hint="eastAsia" w:cs="Times New Roman"/>
          <w:color w:val="000000" w:themeColor="text1"/>
          <w:sz w:val="21"/>
          <w:lang w:eastAsia="zh-CN"/>
          <w14:textFill>
            <w14:solidFill>
              <w14:schemeClr w14:val="tx1"/>
            </w14:solidFill>
          </w14:textFill>
        </w:rPr>
        <w:t>检测记录等。</w:t>
      </w:r>
    </w:p>
    <w:p>
      <w:pPr>
        <w:ind w:left="420" w:firstLine="42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检查数量：全部检查。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5</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内衬软管等主要材料和固化设备进场应符合本规程</w:t>
      </w:r>
      <w:r>
        <w:rPr>
          <w:rFonts w:hint="eastAsia" w:cs="Times New Roman"/>
          <w:color w:val="000000" w:themeColor="text1"/>
          <w:sz w:val="21"/>
          <w:lang w:eastAsia="zh-CN"/>
          <w14:textFill>
            <w14:solidFill>
              <w14:schemeClr w14:val="tx1"/>
            </w14:solidFill>
          </w14:textFill>
        </w:rPr>
        <w:t>第4.3节</w:t>
      </w:r>
      <w:r>
        <w:rPr>
          <w:rFonts w:cs="Times New Roman"/>
          <w:color w:val="000000" w:themeColor="text1"/>
          <w:sz w:val="21"/>
          <w:lang w:eastAsia="zh-CN"/>
          <w14:textFill>
            <w14:solidFill>
              <w14:schemeClr w14:val="tx1"/>
            </w14:solidFill>
          </w14:textFill>
        </w:rPr>
        <w:t>的规定，应检查质量合格证书、性能检测报告和使用说明书。</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w:t>
      </w:r>
      <w:r>
        <w:rPr>
          <w:rFonts w:hint="eastAsia" w:cs="Times New Roman"/>
          <w:color w:val="000000" w:themeColor="text1"/>
          <w:sz w:val="21"/>
          <w:lang w:eastAsia="zh-CN"/>
          <w14:textFill>
            <w14:solidFill>
              <w14:schemeClr w14:val="tx1"/>
            </w14:solidFill>
          </w14:textFill>
        </w:rPr>
        <w:t>人工检查</w:t>
      </w:r>
      <w:r>
        <w:rPr>
          <w:rFonts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检查数量：全部检查。</w:t>
      </w:r>
    </w:p>
    <w:p>
      <w:pPr>
        <w:widowControl w:val="0"/>
        <w:kinsoku/>
        <w:autoSpaceDE/>
        <w:autoSpaceDN/>
        <w:adjustRightInd/>
        <w:snapToGrid/>
        <w:ind w:firstLine="422"/>
        <w:textAlignment w:val="auto"/>
        <w:rPr>
          <w:rFonts w:cs="Times New Roman"/>
          <w:snapToGrid/>
          <w:color w:val="auto"/>
          <w:kern w:val="2"/>
          <w:szCs w:val="24"/>
          <w:lang w:eastAsia="zh-CN"/>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内衬管</w:t>
      </w:r>
      <w:r>
        <w:rPr>
          <w:rFonts w:hint="eastAsia" w:cs="Times New Roman"/>
          <w:color w:val="000000" w:themeColor="text1"/>
          <w:sz w:val="21"/>
          <w:lang w:eastAsia="zh-CN"/>
          <w14:textFill>
            <w14:solidFill>
              <w14:schemeClr w14:val="tx1"/>
            </w14:solidFill>
          </w14:textFill>
        </w:rPr>
        <w:t>样品应避光储藏，</w:t>
      </w:r>
      <w:r>
        <w:rPr>
          <w:rFonts w:cs="Times New Roman"/>
          <w:color w:val="000000" w:themeColor="text1"/>
          <w:sz w:val="21"/>
          <w:lang w:eastAsia="zh-CN"/>
          <w14:textFill>
            <w14:solidFill>
              <w14:schemeClr w14:val="tx1"/>
            </w14:solidFill>
          </w14:textFill>
        </w:rPr>
        <w:t>送检，</w:t>
      </w:r>
      <w:r>
        <w:rPr>
          <w:rFonts w:hint="eastAsia" w:cs="Times New Roman"/>
          <w:color w:val="000000" w:themeColor="text1"/>
          <w:sz w:val="21"/>
          <w:lang w:eastAsia="zh-CN"/>
          <w14:textFill>
            <w14:solidFill>
              <w14:schemeClr w14:val="tx1"/>
            </w14:solidFill>
          </w14:textFill>
        </w:rPr>
        <w:t>力学性能</w:t>
      </w:r>
      <w:r>
        <w:rPr>
          <w:rFonts w:cs="Times New Roman"/>
          <w:color w:val="000000" w:themeColor="text1"/>
          <w:sz w:val="21"/>
          <w:lang w:eastAsia="zh-CN"/>
          <w14:textFill>
            <w14:solidFill>
              <w14:schemeClr w14:val="tx1"/>
            </w14:solidFill>
          </w14:textFill>
        </w:rPr>
        <w:t>应符合</w:t>
      </w:r>
      <w:r>
        <w:rPr>
          <w:rFonts w:hint="eastAsia" w:cs="Times New Roman"/>
          <w:color w:val="000000" w:themeColor="text1"/>
          <w:sz w:val="21"/>
          <w:lang w:eastAsia="zh-CN"/>
          <w14:textFill>
            <w14:solidFill>
              <w14:schemeClr w14:val="tx1"/>
            </w14:solidFill>
          </w14:textFill>
        </w:rPr>
        <w:t>表4.4.10</w:t>
      </w:r>
      <w:r>
        <w:rPr>
          <w:rFonts w:cs="Times New Roman"/>
          <w:color w:val="000000" w:themeColor="text1"/>
          <w:sz w:val="21"/>
          <w:lang w:eastAsia="zh-CN"/>
          <w14:textFill>
            <w14:solidFill>
              <w14:schemeClr w14:val="tx1"/>
            </w14:solidFill>
          </w14:textFill>
        </w:rPr>
        <w:t>的规定和设计要求。巴氏硬度测试方法应符合现行国家标准</w:t>
      </w:r>
      <w:bookmarkStart w:id="217" w:name="_Hlk196920241"/>
      <w:r>
        <w:rPr>
          <w:rFonts w:cs="Times New Roman"/>
          <w:color w:val="000000" w:themeColor="text1"/>
          <w:sz w:val="21"/>
          <w:lang w:eastAsia="zh-CN"/>
          <w14:textFill>
            <w14:solidFill>
              <w14:schemeClr w14:val="tx1"/>
            </w14:solidFill>
          </w14:textFill>
        </w:rPr>
        <w:t>《增强塑料巴柯尔硬度试验方法》GB/T 3854</w:t>
      </w:r>
      <w:bookmarkEnd w:id="217"/>
      <w:r>
        <w:rPr>
          <w:rFonts w:cs="Times New Roman"/>
          <w:color w:val="000000" w:themeColor="text1"/>
          <w:sz w:val="21"/>
          <w:lang w:eastAsia="zh-CN"/>
          <w14:textFill>
            <w14:solidFill>
              <w14:schemeClr w14:val="tx1"/>
            </w14:solidFill>
          </w14:textFill>
        </w:rPr>
        <w:t>的规定。管壁的密</w:t>
      </w:r>
      <w:r>
        <w:rPr>
          <w:rFonts w:cs="Times New Roman"/>
          <w:color w:val="000000" w:themeColor="text1"/>
          <w:sz w:val="21"/>
          <w:highlight w:val="none"/>
          <w:lang w:eastAsia="zh-CN"/>
          <w14:textFill>
            <w14:solidFill>
              <w14:schemeClr w14:val="tx1"/>
            </w14:solidFill>
          </w14:textFill>
        </w:rPr>
        <w:t>实性、耐腐蚀性测试方法应</w:t>
      </w:r>
      <w:r>
        <w:rPr>
          <w:rFonts w:cs="Times New Roman"/>
          <w:color w:val="000000" w:themeColor="text1"/>
          <w:sz w:val="21"/>
          <w:lang w:eastAsia="zh-CN"/>
          <w14:textFill>
            <w14:solidFill>
              <w14:schemeClr w14:val="tx1"/>
            </w14:solidFill>
          </w14:textFill>
        </w:rPr>
        <w:t>按</w:t>
      </w:r>
      <w:r>
        <w:rPr>
          <w:rFonts w:hint="eastAsia" w:cs="Times New Roman"/>
          <w:color w:val="000000" w:themeColor="text1"/>
          <w:sz w:val="21"/>
          <w:lang w:eastAsia="zh-CN"/>
          <w14:textFill>
            <w14:solidFill>
              <w14:schemeClr w14:val="tx1"/>
            </w14:solidFill>
          </w14:textFill>
        </w:rPr>
        <w:t>现行国家标准《地下无压排水管网非开挖修复用塑料管道系统 第4部分：原位固化内衬法》GB/T 41666.4</w:t>
      </w:r>
      <w:r>
        <w:rPr>
          <w:rFonts w:cs="Times New Roman"/>
          <w:color w:val="000000" w:themeColor="text1"/>
          <w:sz w:val="21"/>
          <w:lang w:eastAsia="zh-CN"/>
          <w14:textFill>
            <w14:solidFill>
              <w14:schemeClr w14:val="tx1"/>
            </w14:solidFill>
          </w14:textFill>
        </w:rPr>
        <w:t>进行测试。</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w:t>
      </w:r>
      <w:r>
        <w:rPr>
          <w:rFonts w:hint="eastAsia" w:cs="Times New Roman"/>
          <w:color w:val="000000" w:themeColor="text1"/>
          <w:sz w:val="21"/>
          <w:lang w:eastAsia="zh-CN"/>
          <w14:textFill>
            <w14:solidFill>
              <w14:schemeClr w14:val="tx1"/>
            </w14:solidFill>
          </w14:textFill>
        </w:rPr>
        <w:t>送第三方检验</w:t>
      </w:r>
      <w:r>
        <w:rPr>
          <w:rFonts w:cs="Times New Roman"/>
          <w:color w:val="000000" w:themeColor="text1"/>
          <w:sz w:val="21"/>
          <w:lang w:eastAsia="zh-CN"/>
          <w14:textFill>
            <w14:solidFill>
              <w14:schemeClr w14:val="tx1"/>
            </w14:solidFill>
          </w14:textFill>
        </w:rPr>
        <w:t>。</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检查数量：每个施工段的内衬管应按同一厂家、同一批次、同一管径，且不超过200米进行现场取样，取样数量应不少于1组。</w:t>
      </w:r>
    </w:p>
    <w:p>
      <w:pPr>
        <w:widowControl w:val="0"/>
        <w:kinsoku/>
        <w:autoSpaceDE/>
        <w:autoSpaceDN/>
        <w:adjustRightInd/>
        <w:snapToGrid/>
        <w:ind w:firstLine="422"/>
        <w:textAlignment w:val="auto"/>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 xml:space="preserve"> 修复后内衬管的壁厚应不低于设计要求。壁厚检验应按现行国家标准</w:t>
      </w:r>
      <w:bookmarkStart w:id="218" w:name="_Hlk196920249"/>
      <w:r>
        <w:rPr>
          <w:rFonts w:cs="Times New Roman"/>
          <w:color w:val="000000" w:themeColor="text1"/>
          <w:sz w:val="21"/>
          <w:lang w:eastAsia="zh-CN"/>
          <w14:textFill>
            <w14:solidFill>
              <w14:schemeClr w14:val="tx1"/>
            </w14:solidFill>
          </w14:textFill>
        </w:rPr>
        <w:t>《塑料管道系统塑料部件尺寸的测定》GB/T</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8806</w:t>
      </w:r>
      <w:bookmarkEnd w:id="218"/>
      <w:r>
        <w:rPr>
          <w:rFonts w:cs="Times New Roman"/>
          <w:color w:val="000000" w:themeColor="text1"/>
          <w:sz w:val="21"/>
          <w:lang w:eastAsia="zh-CN"/>
          <w14:textFill>
            <w14:solidFill>
              <w14:schemeClr w14:val="tx1"/>
            </w14:solidFill>
          </w14:textFill>
        </w:rPr>
        <w:t>的有关规定执行。</w:t>
      </w:r>
    </w:p>
    <w:p>
      <w:pPr>
        <w:widowControl w:val="0"/>
        <w:kinsoku/>
        <w:autoSpaceDE/>
        <w:autoSpaceDN/>
        <w:adjustRightInd/>
        <w:snapToGrid/>
        <w:ind w:left="420" w:firstLine="420"/>
        <w:textAlignment w:val="auto"/>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检查方法：用测厚仪、卡尺、钢尺等量测。</w:t>
      </w:r>
    </w:p>
    <w:p>
      <w:pPr>
        <w:widowControl w:val="0"/>
        <w:kinsoku/>
        <w:autoSpaceDE/>
        <w:autoSpaceDN/>
        <w:adjustRightInd/>
        <w:snapToGrid/>
        <w:ind w:left="420" w:firstLine="420"/>
        <w:textAlignment w:val="auto"/>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检查数量：修复管段的两个端头，每个端头均布4个测点。</w:t>
      </w:r>
    </w:p>
    <w:p>
      <w:pPr>
        <w:widowControl w:val="0"/>
        <w:kinsoku/>
        <w:autoSpaceDE/>
        <w:autoSpaceDN/>
        <w:adjustRightInd/>
        <w:snapToGrid/>
        <w:ind w:firstLine="422"/>
        <w:textAlignment w:val="auto"/>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8</w:t>
      </w:r>
      <w:r>
        <w:rPr>
          <w:rFonts w:cs="Times New Roman"/>
          <w:snapToGrid/>
          <w:color w:val="auto"/>
          <w:kern w:val="2"/>
          <w:szCs w:val="24"/>
          <w:lang w:eastAsia="zh-CN"/>
        </w:rPr>
        <w:t xml:space="preserve"> </w:t>
      </w:r>
      <w:r>
        <w:rPr>
          <w:rFonts w:cs="Times New Roman"/>
          <w:color w:val="000000" w:themeColor="text1"/>
          <w:sz w:val="21"/>
          <w:lang w:eastAsia="zh-CN"/>
          <w14:textFill>
            <w14:solidFill>
              <w14:schemeClr w14:val="tx1"/>
            </w14:solidFill>
          </w14:textFill>
        </w:rPr>
        <w:t>修复后的内衬管应与原有管道贴附紧密，无缝隙。</w:t>
      </w:r>
    </w:p>
    <w:p>
      <w:pPr>
        <w:widowControl w:val="0"/>
        <w:kinsoku/>
        <w:autoSpaceDE/>
        <w:autoSpaceDN/>
        <w:adjustRightInd/>
        <w:snapToGrid/>
        <w:ind w:left="420" w:firstLine="420"/>
        <w:textAlignment w:val="auto"/>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检查方法：观察或CCTV检测；检查施工记录、CCTV检测记录等。</w:t>
      </w:r>
    </w:p>
    <w:p>
      <w:pPr>
        <w:widowControl w:val="0"/>
        <w:kinsoku/>
        <w:autoSpaceDE/>
        <w:autoSpaceDN/>
        <w:adjustRightInd/>
        <w:snapToGrid/>
        <w:ind w:left="420" w:firstLine="420"/>
        <w:textAlignment w:val="auto"/>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检查数量：全部检查</w:t>
      </w:r>
      <w:r>
        <w:rPr>
          <w:rFonts w:hint="eastAsia" w:cs="Times New Roman"/>
          <w:color w:val="000000" w:themeColor="text1"/>
          <w:sz w:val="21"/>
          <w:lang w:eastAsia="zh-CN"/>
          <w14:textFill>
            <w14:solidFill>
              <w14:schemeClr w14:val="tx1"/>
            </w14:solidFill>
          </w14:textFill>
        </w:rPr>
        <w:t>。</w:t>
      </w:r>
    </w:p>
    <w:p>
      <w:pPr>
        <w:widowControl w:val="0"/>
        <w:kinsoku/>
        <w:autoSpaceDE/>
        <w:autoSpaceDN/>
        <w:adjustRightInd/>
        <w:snapToGrid/>
        <w:ind w:firstLine="422"/>
        <w:textAlignment w:val="auto"/>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9</w:t>
      </w:r>
      <w:r>
        <w:rPr>
          <w:rFonts w:cs="Times New Roman"/>
          <w:color w:val="000000" w:themeColor="text1"/>
          <w:sz w:val="21"/>
          <w:lang w:eastAsia="zh-CN"/>
          <w14:textFill>
            <w14:solidFill>
              <w14:schemeClr w14:val="tx1"/>
            </w14:solidFill>
          </w14:textFill>
        </w:rPr>
        <w:t xml:space="preserve"> 因施工原因产生的环形褶皱、纵向褶皱、局部隆起检查应符合下列规定：</w:t>
      </w:r>
    </w:p>
    <w:p>
      <w:pPr>
        <w:widowControl w:val="0"/>
        <w:kinsoku/>
        <w:autoSpaceDE/>
        <w:autoSpaceDN/>
        <w:adjustRightInd/>
        <w:snapToGrid/>
        <w:ind w:left="420" w:firstLine="422"/>
        <w:textAlignment w:val="auto"/>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局部划伤、磨损、气泡或干斑的出现频次每10 m应不多于1处</w:t>
      </w:r>
      <w:r>
        <w:rPr>
          <w:rFonts w:hint="eastAsia" w:cs="Times New Roman"/>
          <w:color w:val="000000" w:themeColor="text1"/>
          <w:sz w:val="21"/>
          <w:lang w:eastAsia="zh-CN"/>
          <w14:textFill>
            <w14:solidFill>
              <w14:schemeClr w14:val="tx1"/>
            </w14:solidFill>
          </w14:textFill>
        </w:rPr>
        <w:t>。</w:t>
      </w:r>
    </w:p>
    <w:p>
      <w:pPr>
        <w:widowControl w:val="0"/>
        <w:kinsoku/>
        <w:autoSpaceDE/>
        <w:autoSpaceDN/>
        <w:adjustRightInd/>
        <w:snapToGrid/>
        <w:ind w:left="420" w:firstLine="422"/>
        <w:textAlignment w:val="auto"/>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内衬管褶皱应满足设计要求；当设计无要求时，管道直线段最大褶皱的高度不应大于0.02D或6mm中的较小值。</w:t>
      </w:r>
    </w:p>
    <w:p>
      <w:pPr>
        <w:widowControl w:val="0"/>
        <w:kinsoku/>
        <w:autoSpaceDE/>
        <w:autoSpaceDN/>
        <w:adjustRightInd/>
        <w:snapToGrid/>
        <w:ind w:left="420" w:firstLine="420"/>
        <w:textAlignment w:val="auto"/>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检查方法：观察，检查CCTV检测图像。</w:t>
      </w:r>
    </w:p>
    <w:p>
      <w:pPr>
        <w:widowControl w:val="0"/>
        <w:kinsoku/>
        <w:autoSpaceDE/>
        <w:autoSpaceDN/>
        <w:adjustRightInd/>
        <w:snapToGrid/>
        <w:ind w:left="420" w:firstLine="420"/>
        <w:textAlignment w:val="auto"/>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检查数量：全</w:t>
      </w:r>
      <w:r>
        <w:rPr>
          <w:rFonts w:hint="eastAsia" w:cs="Times New Roman"/>
          <w:color w:val="000000" w:themeColor="text1"/>
          <w:sz w:val="21"/>
          <w:lang w:eastAsia="zh-CN"/>
          <w14:textFill>
            <w14:solidFill>
              <w14:schemeClr w14:val="tx1"/>
            </w14:solidFill>
          </w14:textFill>
        </w:rPr>
        <w:t>数</w:t>
      </w:r>
      <w:r>
        <w:rPr>
          <w:rFonts w:cs="Times New Roman"/>
          <w:color w:val="000000" w:themeColor="text1"/>
          <w:sz w:val="21"/>
          <w:lang w:eastAsia="zh-CN"/>
          <w14:textFill>
            <w14:solidFill>
              <w14:schemeClr w14:val="tx1"/>
            </w14:solidFill>
          </w14:textFill>
        </w:rPr>
        <w:t>检查。</w:t>
      </w:r>
    </w:p>
    <w:p>
      <w:pPr>
        <w:ind w:firstLine="420" w:firstLineChars="0"/>
        <w:jc w:val="center"/>
        <w:rPr>
          <w:rFonts w:cs="Times New Roman"/>
          <w:color w:val="000000" w:themeColor="text1"/>
          <w:sz w:val="21"/>
          <w:lang w:eastAsia="zh-CN"/>
          <w14:textFill>
            <w14:solidFill>
              <w14:schemeClr w14:val="tx1"/>
            </w14:solidFill>
          </w14:textFill>
        </w:rPr>
      </w:pPr>
      <w:bookmarkStart w:id="219" w:name="OLE_LINK66"/>
      <w:r>
        <w:rPr>
          <w:rFonts w:cs="Times New Roman"/>
          <w:color w:val="000000" w:themeColor="text1"/>
          <w:sz w:val="21"/>
          <w:lang w:eastAsia="zh-CN"/>
          <w14:textFill>
            <w14:solidFill>
              <w14:schemeClr w14:val="tx1"/>
            </w14:solidFill>
          </w14:textFill>
        </w:rPr>
        <w:t>Ⅱ 一般项目</w:t>
      </w:r>
    </w:p>
    <w:bookmarkEnd w:id="219"/>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10</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修</w:t>
      </w:r>
      <w:r>
        <w:rPr>
          <w:rFonts w:cs="Times New Roman"/>
          <w:color w:val="000000" w:themeColor="text1"/>
          <w:sz w:val="21"/>
          <w:lang w:eastAsia="zh-CN"/>
          <w14:textFill>
            <w14:solidFill>
              <w14:schemeClr w14:val="tx1"/>
            </w14:solidFill>
          </w14:textFill>
        </w:rPr>
        <w:t>复后管道内壁应光洁、平整、线性、无明显凸起；接口、接缝应平顺，新旧管道过渡应平缓</w:t>
      </w:r>
      <w:r>
        <w:rPr>
          <w:rFonts w:hint="eastAsia" w:cs="Times New Roman"/>
          <w:color w:val="000000" w:themeColor="text1"/>
          <w:sz w:val="21"/>
          <w:lang w:eastAsia="zh-CN"/>
          <w14:textFill>
            <w14:solidFill>
              <w14:schemeClr w14:val="tx1"/>
            </w14:solidFill>
          </w14:textFill>
        </w:rPr>
        <w:t>。</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检查方法：观察，检查CCTV检测图像。</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检查数量：全</w:t>
      </w:r>
      <w:r>
        <w:rPr>
          <w:rFonts w:hint="eastAsia" w:cs="Times New Roman"/>
          <w:color w:val="000000" w:themeColor="text1"/>
          <w:sz w:val="21"/>
          <w:lang w:eastAsia="zh-CN"/>
          <w14:textFill>
            <w14:solidFill>
              <w14:schemeClr w14:val="tx1"/>
            </w14:solidFill>
          </w14:textFill>
        </w:rPr>
        <w:t>数</w:t>
      </w:r>
      <w:r>
        <w:rPr>
          <w:rFonts w:cs="Times New Roman"/>
          <w:color w:val="000000" w:themeColor="text1"/>
          <w:sz w:val="21"/>
          <w:lang w:eastAsia="zh-CN"/>
          <w14:textFill>
            <w14:solidFill>
              <w14:schemeClr w14:val="tx1"/>
            </w14:solidFill>
          </w14:textFill>
        </w:rPr>
        <w:t>检查。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11</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内衬管道端部切口应平齐，无松动、无明显贴合缝隙。</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检查方法：观察；检查施工记录。</w:t>
      </w:r>
    </w:p>
    <w:p>
      <w:pPr>
        <w:ind w:left="42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检查数量：全</w:t>
      </w:r>
      <w:r>
        <w:rPr>
          <w:rFonts w:hint="eastAsia" w:cs="Times New Roman"/>
          <w:color w:val="000000" w:themeColor="text1"/>
          <w:sz w:val="21"/>
          <w:lang w:eastAsia="zh-CN"/>
          <w14:textFill>
            <w14:solidFill>
              <w14:schemeClr w14:val="tx1"/>
            </w14:solidFill>
          </w14:textFill>
        </w:rPr>
        <w:t>数</w:t>
      </w:r>
      <w:r>
        <w:rPr>
          <w:rFonts w:cs="Times New Roman"/>
          <w:color w:val="000000" w:themeColor="text1"/>
          <w:sz w:val="21"/>
          <w:lang w:eastAsia="zh-CN"/>
          <w14:textFill>
            <w14:solidFill>
              <w14:schemeClr w14:val="tx1"/>
            </w14:solidFill>
          </w14:textFill>
        </w:rPr>
        <w:t>检查。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3</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12</w:t>
      </w:r>
      <w:r>
        <w:rPr>
          <w:rFonts w:cs="Times New Roman"/>
          <w:color w:val="000000" w:themeColor="text1"/>
          <w:sz w:val="21"/>
          <w:lang w:eastAsia="zh-CN"/>
          <w14:textFill>
            <w14:solidFill>
              <w14:schemeClr w14:val="tx1"/>
            </w14:solidFill>
          </w14:textFill>
        </w:rPr>
        <w:t xml:space="preserve"> 内衬管两端与原有管道间的环状空隙做密封处理无缝隙。</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检查方法：观察；对照设计文件检查施工记录等。</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检查数量：全</w:t>
      </w:r>
      <w:r>
        <w:rPr>
          <w:rFonts w:hint="eastAsia" w:cs="Times New Roman"/>
          <w:color w:val="000000" w:themeColor="text1"/>
          <w:sz w:val="21"/>
          <w:lang w:eastAsia="zh-CN"/>
          <w14:textFill>
            <w14:solidFill>
              <w14:schemeClr w14:val="tx1"/>
            </w14:solidFill>
          </w14:textFill>
        </w:rPr>
        <w:t>数</w:t>
      </w:r>
      <w:r>
        <w:rPr>
          <w:rFonts w:cs="Times New Roman"/>
          <w:color w:val="000000" w:themeColor="text1"/>
          <w:sz w:val="21"/>
          <w:lang w:eastAsia="zh-CN"/>
          <w14:textFill>
            <w14:solidFill>
              <w14:schemeClr w14:val="tx1"/>
            </w14:solidFill>
          </w14:textFill>
        </w:rPr>
        <w:t>检查。</w:t>
      </w:r>
    </w:p>
    <w:p>
      <w:pPr>
        <w:pStyle w:val="3"/>
        <w:ind w:firstLine="560"/>
      </w:pPr>
      <w:bookmarkStart w:id="220" w:name="_Toc196915234"/>
      <w:r>
        <w:rPr>
          <w:rFonts w:hint="eastAsia"/>
        </w:rPr>
        <w:t>8.4 翻转式</w:t>
      </w:r>
      <w:r>
        <w:t>原位固化法</w:t>
      </w:r>
      <w:bookmarkEnd w:id="220"/>
    </w:p>
    <w:p>
      <w:pPr>
        <w:ind w:firstLine="42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 xml:space="preserve">Ⅰ </w:t>
      </w:r>
      <w:r>
        <w:rPr>
          <w:rFonts w:hint="eastAsia" w:cs="Times New Roman"/>
          <w:color w:val="000000" w:themeColor="text1"/>
          <w:sz w:val="21"/>
          <w:lang w:eastAsia="zh-CN"/>
          <w14:textFill>
            <w14:solidFill>
              <w14:schemeClr w14:val="tx1"/>
            </w14:solidFill>
          </w14:textFill>
        </w:rPr>
        <w:t>主控</w:t>
      </w:r>
      <w:r>
        <w:rPr>
          <w:rFonts w:cs="Times New Roman"/>
          <w:color w:val="000000" w:themeColor="text1"/>
          <w:sz w:val="21"/>
          <w:lang w:eastAsia="zh-CN"/>
          <w14:textFill>
            <w14:solidFill>
              <w14:schemeClr w14:val="tx1"/>
            </w14:solidFill>
          </w14:textFill>
        </w:rPr>
        <w:t>项目</w:t>
      </w:r>
    </w:p>
    <w:p>
      <w:pPr>
        <w:ind w:left="420" w:firstLine="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8.4.1</w:t>
      </w:r>
      <w:r>
        <w:rPr>
          <w:rFonts w:hint="eastAsia" w:cs="Times New Roman"/>
          <w:color w:val="000000" w:themeColor="text1"/>
          <w:sz w:val="21"/>
          <w:lang w:eastAsia="zh-CN"/>
          <w14:textFill>
            <w14:solidFill>
              <w14:schemeClr w14:val="tx1"/>
            </w14:solidFill>
          </w14:textFill>
        </w:rPr>
        <w:t xml:space="preserve"> 预处理后，原有管道内壁应无影响修复施工的缺陷，并应符合本规程第8.2节的规定。</w:t>
      </w:r>
    </w:p>
    <w:p>
      <w:pPr>
        <w:ind w:left="420"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检查方法：观察或CCTV检测；检查预处理施工记录、CCTV检测记录等。</w:t>
      </w:r>
    </w:p>
    <w:p>
      <w:pPr>
        <w:ind w:left="420"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检查数量：全部检查。</w:t>
      </w:r>
    </w:p>
    <w:p>
      <w:pPr>
        <w:ind w:left="420" w:firstLine="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8.4.2</w:t>
      </w:r>
      <w:r>
        <w:rPr>
          <w:rFonts w:hint="eastAsia" w:cs="Times New Roman"/>
          <w:color w:val="000000" w:themeColor="text1"/>
          <w:sz w:val="21"/>
          <w:lang w:eastAsia="zh-CN"/>
          <w14:textFill>
            <w14:solidFill>
              <w14:schemeClr w14:val="tx1"/>
            </w14:solidFill>
          </w14:textFill>
        </w:rPr>
        <w:t xml:space="preserve"> 内衬软管等主要材料和固化设备进场应符合本规程第4.3节的规定，检查资料包括质量合格证书、性能检测报告和使用说明书。</w:t>
      </w:r>
    </w:p>
    <w:p>
      <w:pPr>
        <w:ind w:left="420"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检查方法：原材和设备进场检查记录表。</w:t>
      </w:r>
    </w:p>
    <w:p>
      <w:pPr>
        <w:ind w:left="420"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检查数量：全部检查。</w:t>
      </w:r>
    </w:p>
    <w:p>
      <w:pPr>
        <w:ind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8.4.3</w:t>
      </w:r>
      <w:r>
        <w:rPr>
          <w:rFonts w:hint="eastAsia" w:cs="Times New Roman"/>
          <w:color w:val="000000" w:themeColor="text1"/>
          <w:sz w:val="21"/>
          <w:lang w:eastAsia="zh-CN"/>
          <w14:textFill>
            <w14:solidFill>
              <w14:schemeClr w14:val="tx1"/>
            </w14:solidFill>
          </w14:textFill>
        </w:rPr>
        <w:t xml:space="preserve"> 内衬管主要技术指标应符合本文件的规定和设计要求。</w:t>
      </w:r>
    </w:p>
    <w:p>
      <w:pPr>
        <w:ind w:left="420"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检查方法：对照设计文件检查取样检测记录、复测报告等；内衬管检查方法应按本文件第8.4.1条～8.4.4条执行。</w:t>
      </w:r>
    </w:p>
    <w:p>
      <w:pPr>
        <w:ind w:left="420"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检查数量：每个施工段内衬管应按同一厂家、同一批次、同一管径，且不超过200米进行现场取样，取样数量不应少于一组。</w:t>
      </w:r>
    </w:p>
    <w:p>
      <w:pPr>
        <w:ind w:left="420" w:firstLine="0" w:firstLineChars="0"/>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8.4.4</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现场内衬管的壁厚检验应按现行国家标准</w:t>
      </w:r>
      <w:bookmarkStart w:id="221" w:name="_Hlk196920257"/>
      <w:r>
        <w:rPr>
          <w:rFonts w:hint="eastAsia" w:cs="Times New Roman"/>
          <w:color w:val="000000" w:themeColor="text1"/>
          <w:sz w:val="21"/>
          <w:lang w:eastAsia="zh-CN"/>
          <w14:textFill>
            <w14:solidFill>
              <w14:schemeClr w14:val="tx1"/>
            </w14:solidFill>
          </w14:textFill>
        </w:rPr>
        <w:t>《塑料管道系统塑料部件尺寸的测定》GB/T 8806</w:t>
      </w:r>
      <w:bookmarkEnd w:id="221"/>
      <w:r>
        <w:rPr>
          <w:rFonts w:hint="eastAsia" w:cs="Times New Roman"/>
          <w:color w:val="000000" w:themeColor="text1"/>
          <w:sz w:val="21"/>
          <w:lang w:eastAsia="zh-CN"/>
          <w14:textFill>
            <w14:solidFill>
              <w14:schemeClr w14:val="tx1"/>
            </w14:solidFill>
          </w14:textFill>
        </w:rPr>
        <w:t>的有关规定执行。固化后内衬管的最小壁厚不应小于图纸设计值，平均壁厚不宜大于设计壁厚的20%。</w:t>
      </w:r>
    </w:p>
    <w:p>
      <w:pPr>
        <w:ind w:left="420"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检查方法：对照设计文件用测厚仪、卡尺等量测，取平均值为该断面的平均壁厚。检查样品管或样品板检验记录并填入本文件附录表</w:t>
      </w:r>
      <w:bookmarkStart w:id="222" w:name="OLE_LINK65"/>
      <w:r>
        <w:rPr>
          <w:rFonts w:hint="eastAsia" w:cs="Times New Roman"/>
          <w:color w:val="000000" w:themeColor="text1"/>
          <w:sz w:val="21"/>
          <w:lang w:eastAsia="zh-CN"/>
          <w14:textFill>
            <w14:solidFill>
              <w14:schemeClr w14:val="tx1"/>
            </w14:solidFill>
          </w14:textFill>
        </w:rPr>
        <w:t>B</w:t>
      </w:r>
      <w:bookmarkEnd w:id="222"/>
      <w:r>
        <w:rPr>
          <w:rFonts w:hint="eastAsia" w:cs="Times New Roman"/>
          <w:color w:val="000000" w:themeColor="text1"/>
          <w:sz w:val="21"/>
          <w:lang w:eastAsia="zh-CN"/>
          <w14:textFill>
            <w14:solidFill>
              <w14:schemeClr w14:val="tx1"/>
            </w14:solidFill>
          </w14:textFill>
        </w:rPr>
        <w:t>。</w:t>
      </w:r>
    </w:p>
    <w:p>
      <w:pPr>
        <w:ind w:left="36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 xml:space="preserve">检查数量：应量测管道两端各1个断面，每个断面测环向均匀至少4个点。 </w:t>
      </w:r>
    </w:p>
    <w:p>
      <w:pPr>
        <w:ind w:left="420" w:firstLine="420" w:firstLineChars="0"/>
        <w:jc w:val="center"/>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II 一般项目</w:t>
      </w:r>
    </w:p>
    <w:p>
      <w:pPr>
        <w:ind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8.4.5</w:t>
      </w:r>
      <w:r>
        <w:rPr>
          <w:rFonts w:hint="eastAsia" w:cs="Times New Roman"/>
          <w:color w:val="000000" w:themeColor="text1"/>
          <w:sz w:val="21"/>
          <w:lang w:eastAsia="zh-CN"/>
          <w14:textFill>
            <w14:solidFill>
              <w14:schemeClr w14:val="tx1"/>
            </w14:solidFill>
          </w14:textFill>
        </w:rPr>
        <w:t xml:space="preserve"> 内衬管表面质量应符合下列规定：</w:t>
      </w:r>
    </w:p>
    <w:p>
      <w:pPr>
        <w:ind w:left="840" w:firstLine="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 xml:space="preserve"> 内衬管与原有管道内壁紧密贴合，线形与原有管道一致，不应有明显凸起、凹陷、错台、空鼓等现象。</w:t>
      </w:r>
    </w:p>
    <w:p>
      <w:pPr>
        <w:ind w:left="840" w:firstLine="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 xml:space="preserve"> 内衬管表面光洁、平整，无划伤、裂纹、磨损、孔洞、气泡、干斑、脱皮、分层、折痕、杂质和软弱带等影响管道使用的缺陷；管道不应有渗水现象。</w:t>
      </w:r>
    </w:p>
    <w:p>
      <w:pPr>
        <w:ind w:left="840" w:firstLine="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 xml:space="preserve"> 内衬管褶皱应满足设计要求，当设计无要求时，管道直线段最大褶皱不应大于0.02D或6mm中的较大值。</w:t>
      </w:r>
    </w:p>
    <w:p>
      <w:pPr>
        <w:ind w:left="36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检查方法：观察（CCTV辅助检查）；或检查施工记录、CCTV记录等。</w:t>
      </w:r>
    </w:p>
    <w:p>
      <w:pPr>
        <w:ind w:left="36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检查数量：全部检查。</w:t>
      </w:r>
    </w:p>
    <w:p>
      <w:pPr>
        <w:ind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8.4.6</w:t>
      </w:r>
      <w:r>
        <w:rPr>
          <w:rFonts w:hint="eastAsia" w:cs="Times New Roman"/>
          <w:color w:val="000000" w:themeColor="text1"/>
          <w:sz w:val="21"/>
          <w:lang w:eastAsia="zh-CN"/>
          <w14:textFill>
            <w14:solidFill>
              <w14:schemeClr w14:val="tx1"/>
            </w14:solidFill>
          </w14:textFill>
        </w:rPr>
        <w:t xml:space="preserve"> 修复后管道线形平顺，折变或错台处过渡平顺；环向断面圆弧饱满。</w:t>
      </w:r>
    </w:p>
    <w:p>
      <w:pPr>
        <w:ind w:left="36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检查方法：观察（CCTV辅助检查）；或检查施工记录、CCTV记录等。</w:t>
      </w:r>
    </w:p>
    <w:p>
      <w:pPr>
        <w:ind w:left="36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检查数量：全部检查。</w:t>
      </w:r>
    </w:p>
    <w:p>
      <w:pPr>
        <w:ind w:left="420" w:firstLine="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8.4.7</w:t>
      </w:r>
      <w:r>
        <w:rPr>
          <w:rFonts w:hint="eastAsia" w:cs="Times New Roman"/>
          <w:color w:val="000000" w:themeColor="text1"/>
          <w:sz w:val="21"/>
          <w:lang w:eastAsia="zh-CN"/>
          <w14:textFill>
            <w14:solidFill>
              <w14:schemeClr w14:val="tx1"/>
            </w14:solidFill>
          </w14:textFill>
        </w:rPr>
        <w:t xml:space="preserve"> 内衬管端头应切割整齐，端部密封处理符合设计要求，且密封良好、饱满密实。</w:t>
      </w:r>
    </w:p>
    <w:p>
      <w:pPr>
        <w:ind w:left="36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检查方法：观察或对照设计文件检查施工记录等。</w:t>
      </w:r>
    </w:p>
    <w:p>
      <w:pPr>
        <w:pStyle w:val="3"/>
        <w:ind w:firstLine="560"/>
      </w:pPr>
      <w:bookmarkStart w:id="223" w:name="_Toc196915235"/>
      <w:r>
        <w:t>8.</w:t>
      </w:r>
      <w:r>
        <w:rPr>
          <w:rFonts w:hint="eastAsia"/>
        </w:rPr>
        <w:t>5</w:t>
      </w:r>
      <w:r>
        <w:t xml:space="preserve"> </w:t>
      </w:r>
      <w:r>
        <w:rPr>
          <w:rFonts w:hint="eastAsia"/>
        </w:rPr>
        <w:t>原位热塑成型法</w:t>
      </w:r>
      <w:bookmarkEnd w:id="223"/>
    </w:p>
    <w:p>
      <w:pPr>
        <w:pStyle w:val="14"/>
      </w:pPr>
      <w:r>
        <w:t>Ⅰ 主控项目</w:t>
      </w:r>
    </w:p>
    <w:p>
      <w:pPr>
        <w:ind w:firstLine="422"/>
        <w:rPr>
          <w:rFonts w:cs="Times New Roman"/>
          <w:color w:val="auto"/>
          <w:sz w:val="21"/>
          <w:lang w:eastAsia="zh-CN"/>
        </w:rPr>
      </w:pPr>
      <w:r>
        <w:rPr>
          <w:rFonts w:hint="eastAsia" w:cs="Times New Roman"/>
          <w:b/>
          <w:bCs/>
          <w:color w:val="auto"/>
          <w:sz w:val="21"/>
          <w:lang w:eastAsia="zh-CN"/>
        </w:rPr>
        <w:t>8.5.1</w:t>
      </w:r>
      <w:r>
        <w:rPr>
          <w:rFonts w:cs="Times New Roman"/>
          <w:color w:val="auto"/>
          <w:sz w:val="21"/>
          <w:lang w:eastAsia="zh-CN"/>
        </w:rPr>
        <w:t xml:space="preserve"> 预处理后，原有管道内壁应无影响修复施工的缺陷，并应符合本规程第</w:t>
      </w:r>
      <w:r>
        <w:rPr>
          <w:rFonts w:hint="eastAsia" w:cs="Times New Roman"/>
          <w:color w:val="auto"/>
          <w:sz w:val="21"/>
          <w:lang w:eastAsia="zh-CN"/>
        </w:rPr>
        <w:t>8.2节</w:t>
      </w:r>
      <w:r>
        <w:rPr>
          <w:rFonts w:cs="Times New Roman"/>
          <w:color w:val="auto"/>
          <w:sz w:val="21"/>
          <w:lang w:eastAsia="zh-CN"/>
        </w:rPr>
        <w:t>的规定。</w:t>
      </w:r>
    </w:p>
    <w:p>
      <w:pPr>
        <w:ind w:left="420" w:firstLine="420"/>
        <w:rPr>
          <w:rFonts w:cs="Times New Roman"/>
          <w:color w:val="auto"/>
          <w:sz w:val="21"/>
          <w:lang w:eastAsia="zh-CN"/>
        </w:rPr>
      </w:pPr>
      <w:r>
        <w:rPr>
          <w:rFonts w:cs="Times New Roman"/>
          <w:color w:val="auto"/>
          <w:sz w:val="21"/>
          <w:lang w:eastAsia="zh-CN"/>
        </w:rPr>
        <w:t>检查方法：观察或CCTV检测；检查预处理施工记录、CCTV检测记录等。</w:t>
      </w:r>
    </w:p>
    <w:p>
      <w:pPr>
        <w:ind w:left="420" w:firstLine="420"/>
        <w:rPr>
          <w:rFonts w:cs="Times New Roman"/>
          <w:color w:val="auto"/>
          <w:sz w:val="21"/>
          <w:lang w:eastAsia="zh-CN"/>
        </w:rPr>
      </w:pPr>
      <w:r>
        <w:rPr>
          <w:rFonts w:cs="Times New Roman"/>
          <w:color w:val="auto"/>
          <w:sz w:val="21"/>
          <w:lang w:eastAsia="zh-CN"/>
        </w:rPr>
        <w:t>检查数量：全部检查。</w:t>
      </w:r>
    </w:p>
    <w:p>
      <w:pPr>
        <w:ind w:firstLine="422"/>
        <w:rPr>
          <w:rFonts w:cs="Times New Roman"/>
          <w:color w:val="auto"/>
          <w:sz w:val="21"/>
          <w:lang w:eastAsia="zh-CN"/>
        </w:rPr>
      </w:pPr>
      <w:r>
        <w:rPr>
          <w:rFonts w:hint="eastAsia" w:cs="Times New Roman"/>
          <w:b/>
          <w:bCs/>
          <w:color w:val="auto"/>
          <w:sz w:val="21"/>
          <w:lang w:eastAsia="zh-CN"/>
        </w:rPr>
        <w:t>8.5.2</w:t>
      </w:r>
      <w:r>
        <w:rPr>
          <w:rFonts w:cs="Times New Roman"/>
          <w:color w:val="auto"/>
          <w:sz w:val="21"/>
          <w:lang w:eastAsia="zh-CN"/>
        </w:rPr>
        <w:t xml:space="preserve"> 折叠管等主要材料和固化设备进场应符合本规程第</w:t>
      </w:r>
      <w:r>
        <w:rPr>
          <w:rFonts w:hint="eastAsia" w:cs="Times New Roman"/>
          <w:color w:val="auto"/>
          <w:sz w:val="21"/>
          <w:lang w:eastAsia="zh-CN"/>
        </w:rPr>
        <w:t>8.5</w:t>
      </w:r>
      <w:r>
        <w:rPr>
          <w:rFonts w:cs="Times New Roman"/>
          <w:color w:val="auto"/>
          <w:sz w:val="21"/>
          <w:lang w:eastAsia="zh-CN"/>
        </w:rPr>
        <w:t>节的规定，质量合格证书、性能检测报告和使用说明书应检查合格。</w:t>
      </w:r>
    </w:p>
    <w:p>
      <w:pPr>
        <w:ind w:left="420" w:firstLine="420"/>
        <w:rPr>
          <w:rFonts w:cs="Times New Roman"/>
          <w:color w:val="auto"/>
          <w:sz w:val="21"/>
          <w:lang w:eastAsia="zh-CN"/>
        </w:rPr>
      </w:pPr>
      <w:r>
        <w:rPr>
          <w:rFonts w:cs="Times New Roman"/>
          <w:color w:val="auto"/>
          <w:sz w:val="21"/>
          <w:lang w:eastAsia="zh-CN"/>
        </w:rPr>
        <w:t>检查方法：原材和设备进场检查记录表。</w:t>
      </w:r>
    </w:p>
    <w:p>
      <w:pPr>
        <w:ind w:left="420" w:firstLine="420"/>
        <w:rPr>
          <w:rFonts w:cs="Times New Roman"/>
          <w:color w:val="auto"/>
          <w:sz w:val="21"/>
          <w:lang w:eastAsia="zh-CN"/>
        </w:rPr>
      </w:pPr>
      <w:r>
        <w:rPr>
          <w:rFonts w:cs="Times New Roman"/>
          <w:color w:val="auto"/>
          <w:sz w:val="21"/>
          <w:lang w:eastAsia="zh-CN"/>
        </w:rPr>
        <w:t>检查数量：全部检查。</w:t>
      </w:r>
    </w:p>
    <w:p>
      <w:pPr>
        <w:ind w:firstLine="422"/>
        <w:rPr>
          <w:rFonts w:cs="Times New Roman"/>
          <w:color w:val="auto"/>
          <w:sz w:val="21"/>
          <w:lang w:eastAsia="zh-CN"/>
        </w:rPr>
      </w:pPr>
      <w:r>
        <w:rPr>
          <w:rFonts w:hint="eastAsia" w:cs="Times New Roman"/>
          <w:b/>
          <w:bCs/>
          <w:color w:val="auto"/>
          <w:sz w:val="21"/>
          <w:lang w:eastAsia="zh-CN"/>
        </w:rPr>
        <w:t>8.5.3</w:t>
      </w:r>
      <w:r>
        <w:rPr>
          <w:rFonts w:cs="Times New Roman"/>
          <w:color w:val="auto"/>
          <w:sz w:val="21"/>
          <w:lang w:eastAsia="zh-CN"/>
        </w:rPr>
        <w:t xml:space="preserve"> 内衬管的最小厚度不得小于设计值。壁厚检验应按现行国家标准《塑料管道系统塑料部件尺寸的测定》GB/T 8806的有关规定执行。</w:t>
      </w:r>
    </w:p>
    <w:p>
      <w:pPr>
        <w:ind w:left="420" w:firstLine="420"/>
        <w:rPr>
          <w:rFonts w:cs="Times New Roman"/>
          <w:color w:val="auto"/>
          <w:sz w:val="21"/>
          <w:lang w:eastAsia="zh-CN"/>
        </w:rPr>
      </w:pPr>
      <w:r>
        <w:rPr>
          <w:rFonts w:cs="Times New Roman"/>
          <w:color w:val="auto"/>
          <w:sz w:val="21"/>
          <w:lang w:eastAsia="zh-CN"/>
        </w:rPr>
        <w:t>检查方法：对照设计文件用在线测厚仪或卡尺测量，并检查样品管检验记录。</w:t>
      </w:r>
    </w:p>
    <w:p>
      <w:pPr>
        <w:ind w:left="420" w:firstLine="420"/>
        <w:rPr>
          <w:rFonts w:cs="Times New Roman"/>
          <w:color w:val="auto"/>
          <w:sz w:val="21"/>
          <w:lang w:eastAsia="zh-CN"/>
        </w:rPr>
      </w:pPr>
      <w:r>
        <w:rPr>
          <w:rFonts w:cs="Times New Roman"/>
          <w:color w:val="auto"/>
          <w:sz w:val="21"/>
          <w:lang w:eastAsia="zh-CN"/>
        </w:rPr>
        <w:t>检查数量：修复管段的两个端头，每个端头均布4个测点。</w:t>
      </w:r>
    </w:p>
    <w:p>
      <w:pPr>
        <w:ind w:firstLine="422"/>
        <w:rPr>
          <w:rFonts w:cs="Times New Roman"/>
          <w:color w:val="auto"/>
          <w:sz w:val="21"/>
          <w:lang w:eastAsia="zh-CN"/>
        </w:rPr>
      </w:pPr>
      <w:r>
        <w:rPr>
          <w:rFonts w:hint="eastAsia" w:cs="Times New Roman"/>
          <w:b/>
          <w:bCs/>
          <w:color w:val="auto"/>
          <w:sz w:val="21"/>
          <w:lang w:eastAsia="zh-CN"/>
        </w:rPr>
        <w:t>8.5.4</w:t>
      </w:r>
      <w:r>
        <w:rPr>
          <w:rFonts w:cs="Times New Roman"/>
          <w:color w:val="auto"/>
          <w:sz w:val="21"/>
          <w:lang w:eastAsia="zh-CN"/>
        </w:rPr>
        <w:t xml:space="preserve"> 内衬管短期力学性能、管壁的密实性、耐腐蚀性应送第三方检测机构对进行检测，应符合表4.</w:t>
      </w:r>
      <w:r>
        <w:rPr>
          <w:rFonts w:hint="eastAsia" w:cs="Times New Roman"/>
          <w:color w:val="auto"/>
          <w:sz w:val="21"/>
          <w:lang w:eastAsia="zh-CN"/>
        </w:rPr>
        <w:t>5</w:t>
      </w:r>
      <w:r>
        <w:rPr>
          <w:rFonts w:cs="Times New Roman"/>
          <w:color w:val="auto"/>
          <w:sz w:val="21"/>
          <w:lang w:eastAsia="zh-CN"/>
        </w:rPr>
        <w:t>.</w:t>
      </w:r>
      <w:r>
        <w:rPr>
          <w:rFonts w:hint="eastAsia" w:cs="Times New Roman"/>
          <w:color w:val="auto"/>
          <w:sz w:val="21"/>
          <w:lang w:eastAsia="zh-CN"/>
        </w:rPr>
        <w:t>6</w:t>
      </w:r>
      <w:r>
        <w:rPr>
          <w:rFonts w:cs="Times New Roman"/>
          <w:color w:val="auto"/>
          <w:sz w:val="21"/>
          <w:lang w:eastAsia="zh-CN"/>
        </w:rPr>
        <w:t>的规定和设计要求。管壁的密实性、耐腐蚀性测试方法应按</w:t>
      </w:r>
      <w:r>
        <w:rPr>
          <w:rFonts w:cs="Times New Roman"/>
          <w:color w:val="000000" w:themeColor="text1"/>
          <w:sz w:val="21"/>
          <w:lang w:eastAsia="zh-CN"/>
          <w14:textFill>
            <w14:solidFill>
              <w14:schemeClr w14:val="tx1"/>
            </w14:solidFill>
          </w14:textFill>
        </w:rPr>
        <w:t>《地下无压排水管网非开挖修复用塑料管道系统第3部分：紧密贴合内衬法》GB</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T</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41666.3</w:t>
      </w:r>
      <w:r>
        <w:rPr>
          <w:rFonts w:cs="Times New Roman"/>
          <w:color w:val="auto"/>
          <w:sz w:val="21"/>
          <w:lang w:eastAsia="zh-CN"/>
        </w:rPr>
        <w:t>附录H进行测试。</w:t>
      </w:r>
    </w:p>
    <w:p>
      <w:pPr>
        <w:ind w:left="420" w:firstLine="420"/>
        <w:rPr>
          <w:rFonts w:cs="Times New Roman"/>
          <w:color w:val="auto"/>
          <w:sz w:val="21"/>
          <w:lang w:eastAsia="zh-CN"/>
        </w:rPr>
      </w:pPr>
      <w:r>
        <w:rPr>
          <w:rFonts w:cs="Times New Roman"/>
          <w:color w:val="auto"/>
          <w:sz w:val="21"/>
          <w:lang w:eastAsia="zh-CN"/>
        </w:rPr>
        <w:t>检查方法：试验检测报告。</w:t>
      </w:r>
    </w:p>
    <w:p>
      <w:pPr>
        <w:ind w:left="420" w:firstLine="420"/>
        <w:rPr>
          <w:rFonts w:cs="Times New Roman"/>
          <w:color w:val="auto"/>
          <w:sz w:val="21"/>
          <w:lang w:eastAsia="zh-CN"/>
        </w:rPr>
      </w:pPr>
      <w:r>
        <w:rPr>
          <w:rFonts w:cs="Times New Roman"/>
          <w:color w:val="auto"/>
          <w:sz w:val="21"/>
          <w:lang w:eastAsia="zh-CN"/>
        </w:rPr>
        <w:t>检查数量：每个施工段的内衬管应按同一厂家、同一批次、同一管径，且不超过 200米进行现场取样，取样数量应不少于1组。</w:t>
      </w:r>
    </w:p>
    <w:p>
      <w:pPr>
        <w:ind w:firstLine="422"/>
        <w:rPr>
          <w:rFonts w:cs="Times New Roman"/>
          <w:color w:val="000000" w:themeColor="text1"/>
          <w:sz w:val="21"/>
          <w:lang w:eastAsia="zh-CN"/>
          <w14:textFill>
            <w14:solidFill>
              <w14:schemeClr w14:val="tx1"/>
            </w14:solidFill>
          </w14:textFill>
        </w:rPr>
      </w:pPr>
      <w:r>
        <w:rPr>
          <w:rFonts w:hint="eastAsia" w:cs="Times New Roman"/>
          <w:b/>
          <w:bCs/>
          <w:color w:val="auto"/>
          <w:sz w:val="21"/>
          <w:lang w:eastAsia="zh-CN"/>
        </w:rPr>
        <w:t>8.5.5</w:t>
      </w:r>
      <w:r>
        <w:rPr>
          <w:rFonts w:cs="Times New Roman"/>
          <w:color w:val="000000" w:themeColor="text1"/>
          <w:sz w:val="21"/>
          <w:lang w:eastAsia="zh-CN"/>
          <w14:textFill>
            <w14:solidFill>
              <w14:schemeClr w14:val="tx1"/>
            </w14:solidFill>
          </w14:textFill>
        </w:rPr>
        <w:t xml:space="preserve"> 修复后的</w:t>
      </w:r>
      <w:r>
        <w:rPr>
          <w:rFonts w:hint="eastAsia" w:cs="Times New Roman"/>
          <w:color w:val="000000" w:themeColor="text1"/>
          <w:sz w:val="21"/>
          <w:lang w:eastAsia="zh-CN"/>
          <w14:textFill>
            <w14:solidFill>
              <w14:schemeClr w14:val="tx1"/>
            </w14:solidFill>
          </w14:textFill>
        </w:rPr>
        <w:t>内衬</w:t>
      </w:r>
      <w:r>
        <w:rPr>
          <w:rFonts w:cs="Times New Roman"/>
          <w:color w:val="000000" w:themeColor="text1"/>
          <w:sz w:val="21"/>
          <w:lang w:eastAsia="zh-CN"/>
          <w14:textFill>
            <w14:solidFill>
              <w14:schemeClr w14:val="tx1"/>
            </w14:solidFill>
          </w14:textFill>
        </w:rPr>
        <w:t>管应与原有管道贴附紧密，管道内壁应无局部裂纹、孔洞、脱落、软弱带；因施工原因产生的环形褶皱、纵向褶皱、局部隆起应符合下列规定。</w:t>
      </w:r>
    </w:p>
    <w:p>
      <w:pPr>
        <w:ind w:left="418"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局部划伤、磨损、气泡或干斑的出现频次每10m不应大于1处。</w:t>
      </w:r>
    </w:p>
    <w:p>
      <w:pPr>
        <w:ind w:left="418"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内衬管褶皱应满足设计要求；当设计无要求时，管道直线段最大褶皱不应大于0.02D</w:t>
      </w:r>
      <w:r>
        <w:rPr>
          <w:rFonts w:cs="Times New Roman"/>
          <w:color w:val="000000" w:themeColor="text1"/>
          <w:sz w:val="21"/>
          <w:vertAlign w:val="subscript"/>
          <w:lang w:eastAsia="zh-CN"/>
          <w14:textFill>
            <w14:solidFill>
              <w14:schemeClr w14:val="tx1"/>
            </w14:solidFill>
          </w14:textFill>
        </w:rPr>
        <w:t>0</w:t>
      </w:r>
      <w:r>
        <w:rPr>
          <w:rFonts w:cs="Times New Roman"/>
          <w:color w:val="000000" w:themeColor="text1"/>
          <w:sz w:val="21"/>
          <w:lang w:eastAsia="zh-CN"/>
          <w14:textFill>
            <w14:solidFill>
              <w14:schemeClr w14:val="tx1"/>
            </w14:solidFill>
          </w14:textFill>
        </w:rPr>
        <w:t>或6mm中的较大值。</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检查方法：观察，检查CCTV检测图像。</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检查数量：全部检查。</w:t>
      </w:r>
    </w:p>
    <w:p>
      <w:pPr>
        <w:pStyle w:val="14"/>
      </w:pPr>
      <w:r>
        <w:t>Ⅱ 一般项目</w:t>
      </w:r>
    </w:p>
    <w:p>
      <w:pPr>
        <w:ind w:firstLine="422"/>
        <w:rPr>
          <w:rFonts w:cs="Times New Roman"/>
          <w:color w:val="auto"/>
          <w:sz w:val="21"/>
          <w:lang w:eastAsia="zh-CN"/>
        </w:rPr>
      </w:pPr>
      <w:r>
        <w:rPr>
          <w:rFonts w:hint="eastAsia" w:cs="Times New Roman"/>
          <w:b/>
          <w:bCs/>
          <w:color w:val="auto"/>
          <w:sz w:val="21"/>
          <w:lang w:eastAsia="zh-CN"/>
        </w:rPr>
        <w:t>8.5.6</w:t>
      </w:r>
      <w:r>
        <w:rPr>
          <w:rFonts w:cs="Times New Roman"/>
          <w:color w:val="auto"/>
          <w:sz w:val="21"/>
          <w:lang w:eastAsia="zh-CN"/>
        </w:rPr>
        <w:t xml:space="preserve"> 预处理过程中不得对原检查井、工作坑及原有管道造成损伤，且不得对周边土体造成明显扰动。</w:t>
      </w:r>
    </w:p>
    <w:p>
      <w:pPr>
        <w:ind w:left="420" w:firstLine="420"/>
        <w:rPr>
          <w:rFonts w:cs="Times New Roman"/>
          <w:color w:val="auto"/>
          <w:sz w:val="21"/>
          <w:lang w:eastAsia="zh-CN"/>
        </w:rPr>
      </w:pPr>
      <w:r>
        <w:rPr>
          <w:rFonts w:cs="Times New Roman"/>
          <w:color w:val="auto"/>
          <w:sz w:val="21"/>
          <w:lang w:eastAsia="zh-CN"/>
        </w:rPr>
        <w:t>检查方法：观察，检查施工记录。</w:t>
      </w:r>
    </w:p>
    <w:p>
      <w:pPr>
        <w:ind w:left="420" w:firstLine="420"/>
        <w:rPr>
          <w:rFonts w:cs="Times New Roman"/>
          <w:color w:val="auto"/>
          <w:sz w:val="21"/>
          <w:lang w:eastAsia="zh-CN"/>
        </w:rPr>
      </w:pPr>
      <w:r>
        <w:rPr>
          <w:rFonts w:cs="Times New Roman"/>
          <w:color w:val="auto"/>
          <w:sz w:val="21"/>
          <w:lang w:eastAsia="zh-CN"/>
        </w:rPr>
        <w:t>检查数量：全数观察。</w:t>
      </w:r>
    </w:p>
    <w:p>
      <w:pPr>
        <w:ind w:firstLine="422"/>
        <w:rPr>
          <w:rFonts w:cs="Times New Roman"/>
          <w:color w:val="auto"/>
          <w:sz w:val="21"/>
          <w:lang w:eastAsia="zh-CN"/>
        </w:rPr>
      </w:pPr>
      <w:r>
        <w:rPr>
          <w:rFonts w:hint="eastAsia" w:cs="Times New Roman"/>
          <w:b/>
          <w:bCs/>
          <w:color w:val="auto"/>
          <w:sz w:val="21"/>
          <w:lang w:eastAsia="zh-CN"/>
        </w:rPr>
        <w:t>8.5.7</w:t>
      </w:r>
      <w:r>
        <w:rPr>
          <w:rFonts w:cs="Times New Roman"/>
          <w:color w:val="auto"/>
          <w:sz w:val="21"/>
          <w:lang w:eastAsia="zh-CN"/>
        </w:rPr>
        <w:t xml:space="preserve"> 修复后内衬管内壁应光洁、平整、线性、无明显突起；接口、接缝应平顺，新旧管道过渡应平缓。</w:t>
      </w:r>
    </w:p>
    <w:p>
      <w:pPr>
        <w:ind w:left="420" w:firstLine="420"/>
        <w:rPr>
          <w:rFonts w:cs="Times New Roman"/>
          <w:color w:val="auto"/>
          <w:sz w:val="21"/>
          <w:lang w:eastAsia="zh-CN"/>
        </w:rPr>
      </w:pPr>
      <w:r>
        <w:rPr>
          <w:rFonts w:cs="Times New Roman"/>
          <w:color w:val="auto"/>
          <w:sz w:val="21"/>
          <w:lang w:eastAsia="zh-CN"/>
        </w:rPr>
        <w:t>检查方法：观察，CCTV检测。</w:t>
      </w:r>
    </w:p>
    <w:p>
      <w:pPr>
        <w:ind w:left="420" w:firstLine="420"/>
        <w:rPr>
          <w:rFonts w:cs="Times New Roman"/>
          <w:color w:val="auto"/>
          <w:sz w:val="21"/>
          <w:lang w:eastAsia="zh-CN"/>
        </w:rPr>
      </w:pPr>
      <w:r>
        <w:rPr>
          <w:rFonts w:cs="Times New Roman"/>
          <w:color w:val="auto"/>
          <w:sz w:val="21"/>
          <w:lang w:eastAsia="zh-CN"/>
        </w:rPr>
        <w:t>检查数量：全部检查。</w:t>
      </w:r>
    </w:p>
    <w:p>
      <w:pPr>
        <w:ind w:firstLine="422"/>
        <w:rPr>
          <w:rFonts w:cs="Times New Roman"/>
          <w:color w:val="auto"/>
          <w:sz w:val="21"/>
          <w:lang w:eastAsia="zh-CN"/>
        </w:rPr>
      </w:pPr>
      <w:r>
        <w:rPr>
          <w:rFonts w:hint="eastAsia" w:cs="Times New Roman"/>
          <w:b/>
          <w:bCs/>
          <w:color w:val="auto"/>
          <w:sz w:val="21"/>
          <w:lang w:eastAsia="zh-CN"/>
        </w:rPr>
        <w:t>8.5.8</w:t>
      </w:r>
      <w:r>
        <w:rPr>
          <w:rFonts w:cs="Times New Roman"/>
          <w:color w:val="auto"/>
          <w:sz w:val="21"/>
          <w:lang w:eastAsia="zh-CN"/>
        </w:rPr>
        <w:t xml:space="preserve"> 管道端部切口应平整，无松动、无明显缝隙。</w:t>
      </w:r>
    </w:p>
    <w:p>
      <w:pPr>
        <w:ind w:left="420" w:firstLine="420"/>
        <w:rPr>
          <w:rFonts w:cs="Times New Roman"/>
          <w:color w:val="auto"/>
          <w:sz w:val="21"/>
          <w:lang w:eastAsia="zh-CN"/>
        </w:rPr>
      </w:pPr>
      <w:r>
        <w:rPr>
          <w:rFonts w:cs="Times New Roman"/>
          <w:color w:val="auto"/>
          <w:sz w:val="21"/>
          <w:lang w:eastAsia="zh-CN"/>
        </w:rPr>
        <w:t>检查方法：观察，检查施工记录。</w:t>
      </w:r>
    </w:p>
    <w:p>
      <w:pPr>
        <w:ind w:left="420" w:firstLine="420"/>
        <w:rPr>
          <w:rFonts w:cs="Times New Roman"/>
          <w:color w:val="auto"/>
          <w:sz w:val="21"/>
          <w:lang w:eastAsia="zh-CN"/>
        </w:rPr>
      </w:pPr>
      <w:r>
        <w:rPr>
          <w:rFonts w:cs="Times New Roman"/>
          <w:color w:val="auto"/>
          <w:sz w:val="21"/>
          <w:lang w:eastAsia="zh-CN"/>
        </w:rPr>
        <w:t>检查数量：全部检查。</w:t>
      </w:r>
    </w:p>
    <w:p>
      <w:pPr>
        <w:pStyle w:val="3"/>
        <w:ind w:firstLine="560"/>
      </w:pPr>
      <w:bookmarkStart w:id="224" w:name="_Toc196915236"/>
      <w:bookmarkStart w:id="225" w:name="OLE_LINK69"/>
      <w:r>
        <w:t>8.</w:t>
      </w:r>
      <w:r>
        <w:rPr>
          <w:rFonts w:hint="eastAsia"/>
        </w:rPr>
        <w:t>6</w:t>
      </w:r>
      <w:r>
        <w:t xml:space="preserve"> 螺旋缠绕内衬法</w:t>
      </w:r>
      <w:bookmarkEnd w:id="224"/>
    </w:p>
    <w:bookmarkEnd w:id="225"/>
    <w:p>
      <w:pPr>
        <w:pStyle w:val="14"/>
      </w:pPr>
      <w:bookmarkStart w:id="226" w:name="OLE_LINK113"/>
      <w:r>
        <w:t xml:space="preserve">Ⅰ </w:t>
      </w:r>
      <w:bookmarkEnd w:id="226"/>
      <w:r>
        <w:t>主控项目</w:t>
      </w:r>
    </w:p>
    <w:p>
      <w:pPr>
        <w:ind w:firstLine="422"/>
        <w:rPr>
          <w:rFonts w:cs="Times New Roman"/>
          <w:color w:val="auto"/>
          <w:sz w:val="21"/>
          <w:lang w:eastAsia="zh-CN"/>
        </w:rPr>
      </w:pPr>
      <w:r>
        <w:rPr>
          <w:rFonts w:cs="Times New Roman"/>
          <w:b/>
          <w:bCs/>
          <w:color w:val="auto"/>
          <w:sz w:val="21"/>
          <w:lang w:eastAsia="zh-CN"/>
        </w:rPr>
        <w:t>8.</w:t>
      </w:r>
      <w:r>
        <w:rPr>
          <w:rFonts w:hint="eastAsia" w:cs="Times New Roman"/>
          <w:b/>
          <w:bCs/>
          <w:color w:val="auto"/>
          <w:sz w:val="21"/>
          <w:lang w:eastAsia="zh-CN"/>
        </w:rPr>
        <w:t>6</w:t>
      </w:r>
      <w:r>
        <w:rPr>
          <w:rFonts w:cs="Times New Roman"/>
          <w:b/>
          <w:bCs/>
          <w:color w:val="auto"/>
          <w:sz w:val="21"/>
          <w:lang w:eastAsia="zh-CN"/>
        </w:rPr>
        <w:t>.1</w:t>
      </w:r>
      <w:r>
        <w:rPr>
          <w:rFonts w:cs="Times New Roman"/>
          <w:color w:val="auto"/>
          <w:sz w:val="21"/>
          <w:lang w:eastAsia="zh-CN"/>
        </w:rPr>
        <w:t xml:space="preserve"> 预处理后，原有管道内壁应无影响修复施工的缺陷，并应符合本规程第</w:t>
      </w:r>
      <w:r>
        <w:rPr>
          <w:rFonts w:hint="eastAsia" w:cs="Times New Roman"/>
          <w:color w:val="auto"/>
          <w:sz w:val="21"/>
          <w:lang w:eastAsia="zh-CN"/>
        </w:rPr>
        <w:t>8.2节</w:t>
      </w:r>
      <w:r>
        <w:rPr>
          <w:rFonts w:cs="Times New Roman"/>
          <w:color w:val="auto"/>
          <w:sz w:val="21"/>
          <w:lang w:eastAsia="zh-CN"/>
        </w:rPr>
        <w:t>的规定。</w:t>
      </w:r>
    </w:p>
    <w:p>
      <w:pPr>
        <w:ind w:left="420" w:firstLine="420"/>
        <w:rPr>
          <w:rFonts w:cs="Times New Roman"/>
          <w:color w:val="auto"/>
          <w:sz w:val="21"/>
          <w:lang w:eastAsia="zh-CN"/>
        </w:rPr>
      </w:pPr>
      <w:r>
        <w:rPr>
          <w:rFonts w:cs="Times New Roman"/>
          <w:color w:val="auto"/>
          <w:sz w:val="21"/>
          <w:lang w:eastAsia="zh-CN"/>
        </w:rPr>
        <w:t>检查方法：观察或CCTV检测；检查预处理施工记录、CCTV检测记录等。</w:t>
      </w:r>
    </w:p>
    <w:p>
      <w:pPr>
        <w:ind w:left="420" w:firstLine="420"/>
        <w:rPr>
          <w:rFonts w:cs="Times New Roman"/>
          <w:color w:val="auto"/>
          <w:sz w:val="21"/>
          <w:lang w:eastAsia="zh-CN"/>
        </w:rPr>
      </w:pPr>
      <w:r>
        <w:rPr>
          <w:rFonts w:cs="Times New Roman"/>
          <w:color w:val="auto"/>
          <w:sz w:val="21"/>
          <w:lang w:eastAsia="zh-CN"/>
        </w:rPr>
        <w:t>检查数量：全部检查。</w:t>
      </w:r>
    </w:p>
    <w:p>
      <w:pPr>
        <w:ind w:firstLine="422"/>
        <w:rPr>
          <w:rFonts w:cs="Times New Roman"/>
          <w:color w:val="auto"/>
          <w:sz w:val="21"/>
          <w:lang w:eastAsia="zh-CN"/>
        </w:rPr>
      </w:pPr>
      <w:r>
        <w:rPr>
          <w:rFonts w:cs="Times New Roman"/>
          <w:b/>
          <w:bCs/>
          <w:color w:val="auto"/>
          <w:sz w:val="21"/>
          <w:lang w:eastAsia="zh-CN"/>
        </w:rPr>
        <w:t>8.</w:t>
      </w: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2</w:t>
      </w:r>
      <w:r>
        <w:rPr>
          <w:rFonts w:cs="Times New Roman"/>
          <w:color w:val="auto"/>
          <w:sz w:val="21"/>
          <w:lang w:eastAsia="zh-CN"/>
        </w:rPr>
        <w:t xml:space="preserve"> 带状型材等主要材料和施工设备进场应符合本规程第6.</w:t>
      </w:r>
      <w:r>
        <w:rPr>
          <w:rFonts w:hint="eastAsia" w:cs="Times New Roman"/>
          <w:color w:val="auto"/>
          <w:sz w:val="21"/>
          <w:lang w:eastAsia="zh-CN"/>
        </w:rPr>
        <w:t>5</w:t>
      </w:r>
      <w:r>
        <w:rPr>
          <w:rFonts w:cs="Times New Roman"/>
          <w:color w:val="auto"/>
          <w:sz w:val="21"/>
          <w:lang w:eastAsia="zh-CN"/>
        </w:rPr>
        <w:t>节的规定，质量合格证书、性能检测报告和使用说明书应检查合格。</w:t>
      </w:r>
    </w:p>
    <w:p>
      <w:pPr>
        <w:ind w:left="420" w:firstLine="420"/>
        <w:rPr>
          <w:rFonts w:cs="Times New Roman"/>
          <w:color w:val="auto"/>
          <w:sz w:val="21"/>
          <w:lang w:eastAsia="zh-CN"/>
        </w:rPr>
      </w:pPr>
      <w:r>
        <w:rPr>
          <w:rFonts w:cs="Times New Roman"/>
          <w:color w:val="auto"/>
          <w:sz w:val="21"/>
          <w:lang w:eastAsia="zh-CN"/>
        </w:rPr>
        <w:t>检查方法：原材和设备进场检查记录表。</w:t>
      </w:r>
    </w:p>
    <w:p>
      <w:pPr>
        <w:ind w:left="420" w:firstLine="420"/>
        <w:rPr>
          <w:rFonts w:cs="Times New Roman"/>
          <w:color w:val="auto"/>
          <w:sz w:val="21"/>
          <w:lang w:eastAsia="zh-CN"/>
        </w:rPr>
      </w:pPr>
      <w:r>
        <w:rPr>
          <w:rFonts w:cs="Times New Roman"/>
          <w:color w:val="auto"/>
          <w:sz w:val="21"/>
          <w:lang w:eastAsia="zh-CN"/>
        </w:rPr>
        <w:t>检查数量：全部检查。</w:t>
      </w:r>
    </w:p>
    <w:p>
      <w:pPr>
        <w:ind w:firstLine="422"/>
        <w:rPr>
          <w:rFonts w:cs="Times New Roman"/>
          <w:color w:val="auto"/>
          <w:sz w:val="21"/>
          <w:lang w:eastAsia="zh-CN"/>
        </w:rPr>
      </w:pPr>
      <w:r>
        <w:rPr>
          <w:rFonts w:cs="Times New Roman"/>
          <w:b/>
          <w:bCs/>
          <w:color w:val="auto"/>
          <w:sz w:val="21"/>
          <w:lang w:eastAsia="zh-CN"/>
        </w:rPr>
        <w:t>8.</w:t>
      </w: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3</w:t>
      </w:r>
      <w:r>
        <w:rPr>
          <w:rFonts w:cs="Times New Roman"/>
          <w:color w:val="auto"/>
          <w:sz w:val="21"/>
          <w:lang w:eastAsia="zh-CN"/>
        </w:rPr>
        <w:t xml:space="preserve"> 内衬管质量检测应符合下列规定：</w:t>
      </w:r>
    </w:p>
    <w:p>
      <w:pPr>
        <w:ind w:left="418" w:firstLine="422"/>
        <w:rPr>
          <w:rFonts w:cs="Times New Roman"/>
          <w:color w:val="auto"/>
          <w:sz w:val="21"/>
          <w:lang w:eastAsia="zh-CN"/>
        </w:rPr>
      </w:pPr>
      <w:r>
        <w:rPr>
          <w:rFonts w:cs="Times New Roman"/>
          <w:b/>
          <w:bCs/>
          <w:color w:val="auto"/>
          <w:sz w:val="21"/>
          <w:lang w:eastAsia="zh-CN"/>
        </w:rPr>
        <w:t>1</w:t>
      </w:r>
      <w:r>
        <w:rPr>
          <w:rFonts w:cs="Times New Roman"/>
          <w:color w:val="auto"/>
          <w:sz w:val="21"/>
          <w:lang w:eastAsia="zh-CN"/>
        </w:rPr>
        <w:t xml:space="preserve"> 带状型材和钢带的外观、性能应符合本规程第</w:t>
      </w:r>
      <w:r>
        <w:rPr>
          <w:rFonts w:hint="eastAsia" w:cs="Times New Roman"/>
          <w:color w:val="auto"/>
          <w:sz w:val="21"/>
          <w:lang w:eastAsia="zh-CN"/>
        </w:rPr>
        <w:t>4.6.2、4.6.5</w:t>
      </w:r>
      <w:r>
        <w:rPr>
          <w:rFonts w:cs="Times New Roman"/>
          <w:color w:val="auto"/>
          <w:sz w:val="21"/>
          <w:lang w:eastAsia="zh-CN"/>
        </w:rPr>
        <w:t>条和设计文件的规定。</w:t>
      </w:r>
    </w:p>
    <w:p>
      <w:pPr>
        <w:ind w:left="420" w:firstLine="420"/>
        <w:rPr>
          <w:rFonts w:cs="Times New Roman"/>
          <w:color w:val="auto"/>
          <w:sz w:val="21"/>
          <w:lang w:eastAsia="zh-CN"/>
        </w:rPr>
      </w:pPr>
      <w:r>
        <w:rPr>
          <w:rFonts w:cs="Times New Roman"/>
          <w:color w:val="auto"/>
          <w:sz w:val="21"/>
          <w:lang w:eastAsia="zh-CN"/>
        </w:rPr>
        <w:t>检验方法：外观：材料进场时现场抽检；性能：检查产品合格证、质量检测报告。</w:t>
      </w:r>
    </w:p>
    <w:p>
      <w:pPr>
        <w:ind w:left="420" w:firstLine="420"/>
        <w:rPr>
          <w:rFonts w:cs="Times New Roman"/>
          <w:color w:val="auto"/>
          <w:sz w:val="21"/>
          <w:lang w:eastAsia="zh-CN"/>
        </w:rPr>
      </w:pPr>
      <w:r>
        <w:rPr>
          <w:rFonts w:cs="Times New Roman"/>
          <w:color w:val="auto"/>
          <w:sz w:val="21"/>
          <w:lang w:eastAsia="zh-CN"/>
        </w:rPr>
        <w:t>检查数量：外观检查，不少于进场总量的1/3；性能：全部检查。</w:t>
      </w:r>
    </w:p>
    <w:p>
      <w:pPr>
        <w:ind w:left="418" w:firstLine="422"/>
        <w:rPr>
          <w:rFonts w:cs="Times New Roman"/>
          <w:color w:val="auto"/>
          <w:sz w:val="21"/>
          <w:lang w:eastAsia="zh-CN"/>
        </w:rPr>
      </w:pPr>
      <w:r>
        <w:rPr>
          <w:rFonts w:cs="Times New Roman"/>
          <w:b/>
          <w:bCs/>
          <w:color w:val="auto"/>
          <w:sz w:val="21"/>
          <w:lang w:eastAsia="zh-CN"/>
        </w:rPr>
        <w:t>2</w:t>
      </w:r>
      <w:r>
        <w:rPr>
          <w:rFonts w:cs="Times New Roman"/>
          <w:color w:val="auto"/>
          <w:sz w:val="21"/>
          <w:lang w:eastAsia="zh-CN"/>
        </w:rPr>
        <w:t xml:space="preserve"> 管道内不得有滴漏和线流现象。</w:t>
      </w:r>
    </w:p>
    <w:p>
      <w:pPr>
        <w:ind w:left="418" w:firstLine="420"/>
        <w:rPr>
          <w:rFonts w:cs="Times New Roman"/>
          <w:color w:val="auto"/>
          <w:sz w:val="21"/>
          <w:lang w:eastAsia="zh-CN"/>
        </w:rPr>
      </w:pPr>
      <w:r>
        <w:rPr>
          <w:rFonts w:cs="Times New Roman"/>
          <w:color w:val="auto"/>
          <w:sz w:val="21"/>
          <w:lang w:eastAsia="zh-CN"/>
        </w:rPr>
        <w:t>检验方法：修复完成后宜采用CCTV检测，修复后管径大于800mm可进入管道人工检查。</w:t>
      </w:r>
    </w:p>
    <w:p>
      <w:pPr>
        <w:ind w:left="418" w:firstLine="420"/>
        <w:rPr>
          <w:rFonts w:cs="Times New Roman"/>
          <w:color w:val="auto"/>
          <w:sz w:val="21"/>
          <w:lang w:eastAsia="zh-CN"/>
        </w:rPr>
      </w:pPr>
      <w:r>
        <w:rPr>
          <w:rFonts w:cs="Times New Roman"/>
          <w:color w:val="auto"/>
          <w:sz w:val="21"/>
          <w:lang w:eastAsia="zh-CN"/>
        </w:rPr>
        <w:t>检查数量：全部检查。</w:t>
      </w:r>
    </w:p>
    <w:p>
      <w:pPr>
        <w:ind w:firstLine="422"/>
        <w:rPr>
          <w:rFonts w:cs="Times New Roman"/>
          <w:color w:val="auto"/>
          <w:sz w:val="21"/>
          <w:lang w:eastAsia="zh-CN"/>
        </w:rPr>
      </w:pPr>
      <w:r>
        <w:rPr>
          <w:rFonts w:cs="Times New Roman"/>
          <w:b/>
          <w:bCs/>
          <w:color w:val="auto"/>
          <w:sz w:val="21"/>
          <w:lang w:eastAsia="zh-CN"/>
        </w:rPr>
        <w:t>8.</w:t>
      </w: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4</w:t>
      </w:r>
      <w:r>
        <w:rPr>
          <w:rFonts w:cs="Times New Roman"/>
          <w:color w:val="auto"/>
          <w:sz w:val="21"/>
          <w:lang w:eastAsia="zh-CN"/>
        </w:rPr>
        <w:t xml:space="preserve"> 螺旋缠绕法内衬法管道的刚度应符合设计要求。</w:t>
      </w:r>
    </w:p>
    <w:p>
      <w:pPr>
        <w:ind w:left="420" w:firstLine="420"/>
        <w:rPr>
          <w:rFonts w:cs="Times New Roman"/>
          <w:color w:val="auto"/>
          <w:sz w:val="21"/>
          <w:lang w:eastAsia="zh-CN"/>
        </w:rPr>
      </w:pPr>
      <w:r>
        <w:rPr>
          <w:rFonts w:cs="Times New Roman"/>
          <w:color w:val="auto"/>
          <w:sz w:val="21"/>
          <w:lang w:eastAsia="zh-CN"/>
        </w:rPr>
        <w:t>检查方法：检查成品的环刚度或刚度系数检测报告。</w:t>
      </w:r>
    </w:p>
    <w:p>
      <w:pPr>
        <w:ind w:left="420" w:firstLine="420"/>
        <w:rPr>
          <w:rFonts w:cs="Times New Roman"/>
          <w:color w:val="auto"/>
          <w:sz w:val="21"/>
          <w:lang w:eastAsia="zh-CN"/>
        </w:rPr>
      </w:pPr>
      <w:r>
        <w:rPr>
          <w:rFonts w:cs="Times New Roman"/>
          <w:color w:val="auto"/>
          <w:sz w:val="21"/>
          <w:lang w:eastAsia="zh-CN"/>
        </w:rPr>
        <w:t>检查数量：</w:t>
      </w:r>
      <w:r>
        <w:rPr>
          <w:rFonts w:cs="Times New Roman"/>
          <w:color w:val="000000" w:themeColor="text1"/>
          <w:sz w:val="21"/>
          <w:lang w:eastAsia="zh-CN"/>
          <w14:textFill>
            <w14:solidFill>
              <w14:schemeClr w14:val="tx1"/>
            </w14:solidFill>
          </w14:textFill>
        </w:rPr>
        <w:t xml:space="preserve">检查产品环刚度时，每种管径为一验收批，留样一组。检查刚度系数时，型材和钢带不同组合为一验收批，留样1组。 </w:t>
      </w:r>
    </w:p>
    <w:p>
      <w:pPr>
        <w:pStyle w:val="14"/>
      </w:pPr>
      <w:r>
        <w:t>Ⅱ 一般项目</w:t>
      </w:r>
    </w:p>
    <w:p>
      <w:pPr>
        <w:ind w:firstLine="422"/>
        <w:rPr>
          <w:rFonts w:cs="Times New Roman"/>
          <w:color w:val="auto"/>
          <w:sz w:val="21"/>
          <w:lang w:eastAsia="zh-CN"/>
        </w:rPr>
      </w:pPr>
      <w:r>
        <w:rPr>
          <w:rFonts w:cs="Times New Roman"/>
          <w:b/>
          <w:bCs/>
          <w:color w:val="auto"/>
          <w:sz w:val="21"/>
          <w:lang w:eastAsia="zh-CN"/>
        </w:rPr>
        <w:t>8.</w:t>
      </w:r>
      <w:r>
        <w:rPr>
          <w:rFonts w:hint="eastAsia" w:cs="Times New Roman"/>
          <w:b/>
          <w:bCs/>
          <w:color w:val="auto"/>
          <w:sz w:val="21"/>
          <w:lang w:eastAsia="zh-CN"/>
        </w:rPr>
        <w:t>6</w:t>
      </w:r>
      <w:r>
        <w:rPr>
          <w:rFonts w:cs="Times New Roman"/>
          <w:b/>
          <w:bCs/>
          <w:color w:val="auto"/>
          <w:sz w:val="21"/>
          <w:lang w:eastAsia="zh-CN"/>
        </w:rPr>
        <w:t>.</w:t>
      </w:r>
      <w:r>
        <w:rPr>
          <w:rFonts w:hint="eastAsia" w:cs="Times New Roman"/>
          <w:b/>
          <w:bCs/>
          <w:color w:val="auto"/>
          <w:sz w:val="21"/>
          <w:lang w:eastAsia="zh-CN"/>
        </w:rPr>
        <w:t>5</w:t>
      </w:r>
      <w:r>
        <w:rPr>
          <w:rFonts w:cs="Times New Roman"/>
          <w:color w:val="auto"/>
          <w:sz w:val="21"/>
          <w:lang w:eastAsia="zh-CN"/>
        </w:rPr>
        <w:t xml:space="preserve"> 修复后的管道外观质量应符合下列规定：</w:t>
      </w:r>
    </w:p>
    <w:p>
      <w:pPr>
        <w:ind w:left="418" w:firstLine="422"/>
        <w:rPr>
          <w:rFonts w:cs="Times New Roman"/>
          <w:color w:val="auto"/>
          <w:sz w:val="21"/>
          <w:lang w:eastAsia="zh-CN"/>
        </w:rPr>
      </w:pPr>
      <w:r>
        <w:rPr>
          <w:rFonts w:cs="Times New Roman"/>
          <w:b/>
          <w:bCs/>
          <w:color w:val="auto"/>
          <w:sz w:val="21"/>
          <w:lang w:eastAsia="zh-CN"/>
        </w:rPr>
        <w:t>1</w:t>
      </w:r>
      <w:r>
        <w:rPr>
          <w:rFonts w:cs="Times New Roman"/>
          <w:color w:val="auto"/>
          <w:sz w:val="21"/>
          <w:lang w:eastAsia="zh-CN"/>
        </w:rPr>
        <w:t xml:space="preserve"> 管道内应线形平顺，不得出现纵向隆起、环向扁平和其他变形情况。</w:t>
      </w:r>
    </w:p>
    <w:p>
      <w:pPr>
        <w:ind w:left="420" w:firstLine="420"/>
        <w:rPr>
          <w:rFonts w:cs="Times New Roman"/>
          <w:color w:val="auto"/>
          <w:sz w:val="21"/>
          <w:lang w:eastAsia="zh-CN"/>
        </w:rPr>
      </w:pPr>
      <w:r>
        <w:rPr>
          <w:rFonts w:cs="Times New Roman"/>
          <w:color w:val="auto"/>
          <w:sz w:val="21"/>
          <w:lang w:eastAsia="zh-CN"/>
        </w:rPr>
        <w:t>检验方法：采用 CCTV检测或人工检查。</w:t>
      </w:r>
    </w:p>
    <w:p>
      <w:pPr>
        <w:ind w:left="420" w:firstLine="420"/>
        <w:rPr>
          <w:rFonts w:cs="Times New Roman"/>
          <w:color w:val="auto"/>
          <w:sz w:val="21"/>
          <w:lang w:eastAsia="zh-CN"/>
        </w:rPr>
      </w:pPr>
      <w:r>
        <w:rPr>
          <w:rFonts w:cs="Times New Roman"/>
          <w:color w:val="auto"/>
          <w:sz w:val="21"/>
          <w:lang w:eastAsia="zh-CN"/>
        </w:rPr>
        <w:t>检查数量：全部检查。</w:t>
      </w:r>
    </w:p>
    <w:p>
      <w:pPr>
        <w:ind w:left="418" w:firstLine="422"/>
        <w:rPr>
          <w:rFonts w:cs="Times New Roman"/>
          <w:color w:val="auto"/>
          <w:sz w:val="21"/>
          <w:lang w:eastAsia="zh-CN"/>
        </w:rPr>
      </w:pPr>
      <w:r>
        <w:rPr>
          <w:rFonts w:cs="Times New Roman"/>
          <w:b/>
          <w:bCs/>
          <w:color w:val="auto"/>
          <w:sz w:val="21"/>
          <w:lang w:eastAsia="zh-CN"/>
        </w:rPr>
        <w:t>2</w:t>
      </w:r>
      <w:r>
        <w:rPr>
          <w:rFonts w:cs="Times New Roman"/>
          <w:color w:val="auto"/>
          <w:sz w:val="21"/>
          <w:lang w:eastAsia="zh-CN"/>
        </w:rPr>
        <w:t xml:space="preserve"> 管道环形间隙应封堵严密</w:t>
      </w:r>
    </w:p>
    <w:p>
      <w:pPr>
        <w:ind w:left="420" w:firstLine="420"/>
        <w:rPr>
          <w:rFonts w:cs="Times New Roman"/>
          <w:color w:val="auto"/>
          <w:sz w:val="21"/>
          <w:lang w:eastAsia="zh-CN"/>
        </w:rPr>
      </w:pPr>
      <w:r>
        <w:rPr>
          <w:rFonts w:cs="Times New Roman"/>
          <w:color w:val="auto"/>
          <w:sz w:val="21"/>
          <w:lang w:eastAsia="zh-CN"/>
        </w:rPr>
        <w:t>检验方法：进入检查井检查。</w:t>
      </w:r>
    </w:p>
    <w:p>
      <w:pPr>
        <w:ind w:left="420" w:firstLine="420"/>
        <w:rPr>
          <w:rFonts w:cs="Times New Roman"/>
          <w:color w:val="auto"/>
          <w:sz w:val="21"/>
          <w:lang w:eastAsia="zh-CN"/>
        </w:rPr>
      </w:pPr>
      <w:r>
        <w:rPr>
          <w:rFonts w:cs="Times New Roman"/>
          <w:color w:val="auto"/>
          <w:sz w:val="21"/>
          <w:lang w:eastAsia="zh-CN"/>
        </w:rPr>
        <w:t>检查数量：全部检查。</w:t>
      </w:r>
    </w:p>
    <w:p>
      <w:pPr>
        <w:ind w:left="418" w:firstLine="422"/>
        <w:rPr>
          <w:rFonts w:cs="Times New Roman"/>
          <w:color w:val="auto"/>
          <w:sz w:val="21"/>
          <w:lang w:eastAsia="zh-CN"/>
        </w:rPr>
      </w:pPr>
      <w:r>
        <w:rPr>
          <w:rFonts w:cs="Times New Roman"/>
          <w:b/>
          <w:bCs/>
          <w:color w:val="auto"/>
          <w:sz w:val="21"/>
          <w:lang w:eastAsia="zh-CN"/>
        </w:rPr>
        <w:t>3</w:t>
      </w:r>
      <w:r>
        <w:rPr>
          <w:rFonts w:cs="Times New Roman"/>
          <w:color w:val="auto"/>
          <w:sz w:val="21"/>
          <w:lang w:eastAsia="zh-CN"/>
        </w:rPr>
        <w:t xml:space="preserve"> 注浆充满度应符合设计文件的规定。</w:t>
      </w:r>
    </w:p>
    <w:p>
      <w:pPr>
        <w:ind w:left="420" w:firstLine="420"/>
        <w:rPr>
          <w:rFonts w:cs="Times New Roman"/>
          <w:color w:val="auto"/>
          <w:sz w:val="21"/>
          <w:lang w:eastAsia="zh-CN"/>
        </w:rPr>
      </w:pPr>
      <w:r>
        <w:rPr>
          <w:rFonts w:cs="Times New Roman"/>
          <w:color w:val="auto"/>
          <w:sz w:val="21"/>
          <w:lang w:eastAsia="zh-CN"/>
        </w:rPr>
        <w:t>检验方法：查阅注浆记录。</w:t>
      </w:r>
    </w:p>
    <w:p>
      <w:pPr>
        <w:ind w:left="420" w:firstLine="420"/>
        <w:rPr>
          <w:rFonts w:cs="Times New Roman"/>
          <w:color w:val="auto"/>
          <w:sz w:val="21"/>
          <w:lang w:eastAsia="zh-CN"/>
        </w:rPr>
      </w:pPr>
      <w:r>
        <w:rPr>
          <w:rFonts w:cs="Times New Roman"/>
          <w:color w:val="auto"/>
          <w:sz w:val="21"/>
          <w:lang w:eastAsia="zh-CN"/>
        </w:rPr>
        <w:t>检查数量：全部检查。</w:t>
      </w:r>
    </w:p>
    <w:p>
      <w:pPr>
        <w:pStyle w:val="3"/>
        <w:ind w:firstLine="560"/>
      </w:pPr>
      <w:bookmarkStart w:id="227" w:name="_Toc196915237"/>
      <w:r>
        <w:rPr>
          <w:rFonts w:hint="eastAsia"/>
        </w:rPr>
        <w:t>8</w:t>
      </w:r>
      <w:r>
        <w:t>.</w:t>
      </w:r>
      <w:r>
        <w:rPr>
          <w:rFonts w:hint="eastAsia"/>
        </w:rPr>
        <w:t>7</w:t>
      </w:r>
      <w:r>
        <w:t xml:space="preserve"> </w:t>
      </w:r>
      <w:r>
        <w:rPr>
          <w:rFonts w:hint="eastAsia"/>
        </w:rPr>
        <w:t>短管内衬</w:t>
      </w:r>
      <w:r>
        <w:t>法</w:t>
      </w:r>
      <w:bookmarkEnd w:id="227"/>
    </w:p>
    <w:p>
      <w:pPr>
        <w:ind w:firstLine="420"/>
        <w:jc w:val="center"/>
        <w:rPr>
          <w:rFonts w:cs="Times New Roman"/>
          <w:sz w:val="21"/>
          <w:lang w:eastAsia="zh-CN"/>
        </w:rPr>
      </w:pPr>
      <w:r>
        <w:rPr>
          <w:rFonts w:cs="Times New Roman"/>
          <w:sz w:val="21"/>
          <w:lang w:eastAsia="zh-CN"/>
        </w:rPr>
        <w:t>I</w:t>
      </w:r>
      <w:r>
        <w:rPr>
          <w:rFonts w:hint="eastAsia" w:cs="Times New Roman"/>
          <w:sz w:val="21"/>
          <w:lang w:eastAsia="zh-CN"/>
        </w:rPr>
        <w:t xml:space="preserve"> </w:t>
      </w:r>
      <w:r>
        <w:rPr>
          <w:rFonts w:cs="Times New Roman"/>
          <w:sz w:val="21"/>
          <w:lang w:eastAsia="zh-CN"/>
        </w:rPr>
        <w:t>主控项目</w:t>
      </w:r>
    </w:p>
    <w:p>
      <w:pPr>
        <w:ind w:firstLine="422"/>
        <w:rPr>
          <w:rFonts w:cs="Times New Roman"/>
          <w:sz w:val="21"/>
          <w:lang w:eastAsia="zh-CN"/>
        </w:rPr>
      </w:pPr>
      <w:r>
        <w:rPr>
          <w:rFonts w:hint="eastAsia" w:cs="Times New Roman"/>
          <w:b/>
          <w:bCs/>
          <w:sz w:val="21"/>
          <w:lang w:eastAsia="zh-CN"/>
        </w:rPr>
        <w:t xml:space="preserve">8.7.1 </w:t>
      </w:r>
      <w:r>
        <w:rPr>
          <w:rFonts w:cs="Times New Roman"/>
          <w:sz w:val="21"/>
          <w:lang w:eastAsia="zh-CN"/>
        </w:rPr>
        <w:t xml:space="preserve">验收资料应符合设计、施工工艺要求，记录应齐全。 </w:t>
      </w:r>
    </w:p>
    <w:p>
      <w:pPr>
        <w:ind w:firstLine="420"/>
        <w:rPr>
          <w:rFonts w:cs="Times New Roman"/>
          <w:sz w:val="21"/>
          <w:lang w:eastAsia="zh-CN"/>
        </w:rPr>
      </w:pPr>
      <w:r>
        <w:rPr>
          <w:rFonts w:cs="Times New Roman"/>
          <w:sz w:val="21"/>
          <w:lang w:eastAsia="zh-CN"/>
        </w:rPr>
        <w:t>检查方法</w:t>
      </w:r>
      <w:bookmarkStart w:id="228" w:name="OLE_LINK28"/>
      <w:r>
        <w:rPr>
          <w:rFonts w:hint="eastAsia" w:cs="Times New Roman"/>
          <w:sz w:val="21"/>
          <w:lang w:eastAsia="zh-CN"/>
        </w:rPr>
        <w:t>：</w:t>
      </w:r>
      <w:bookmarkEnd w:id="228"/>
      <w:r>
        <w:rPr>
          <w:rFonts w:cs="Times New Roman"/>
          <w:sz w:val="21"/>
          <w:lang w:eastAsia="zh-CN"/>
        </w:rPr>
        <w:t xml:space="preserve">检查施工记录。 </w:t>
      </w:r>
    </w:p>
    <w:p>
      <w:pPr>
        <w:ind w:firstLine="420"/>
        <w:rPr>
          <w:rFonts w:cs="Times New Roman"/>
          <w:sz w:val="21"/>
          <w:lang w:eastAsia="zh-CN"/>
        </w:rPr>
      </w:pPr>
      <w:r>
        <w:rPr>
          <w:rFonts w:cs="Times New Roman"/>
          <w:sz w:val="21"/>
          <w:lang w:eastAsia="zh-CN"/>
        </w:rPr>
        <w:t>检查数量</w:t>
      </w:r>
      <w:r>
        <w:rPr>
          <w:rFonts w:hint="eastAsia" w:cs="Times New Roman"/>
          <w:sz w:val="21"/>
          <w:lang w:eastAsia="zh-CN"/>
        </w:rPr>
        <w:t>：</w:t>
      </w:r>
      <w:r>
        <w:rPr>
          <w:rFonts w:cs="Times New Roman"/>
          <w:sz w:val="21"/>
          <w:lang w:eastAsia="zh-CN"/>
        </w:rPr>
        <w:t xml:space="preserve">全部检查。 </w:t>
      </w:r>
    </w:p>
    <w:p>
      <w:pPr>
        <w:ind w:firstLine="422"/>
        <w:rPr>
          <w:rFonts w:cs="Times New Roman"/>
          <w:sz w:val="21"/>
          <w:lang w:eastAsia="zh-CN"/>
        </w:rPr>
      </w:pPr>
      <w:r>
        <w:rPr>
          <w:rFonts w:hint="eastAsia" w:cs="Times New Roman"/>
          <w:b/>
          <w:bCs/>
          <w:sz w:val="21"/>
          <w:lang w:eastAsia="zh-CN"/>
        </w:rPr>
        <w:t>8.7.2</w:t>
      </w:r>
      <w:r>
        <w:rPr>
          <w:rFonts w:cs="Times New Roman"/>
          <w:sz w:val="21"/>
          <w:lang w:eastAsia="zh-CN"/>
        </w:rPr>
        <w:t xml:space="preserve"> 短管内衬法管节及管段接口的连接质量应检验合格。</w:t>
      </w:r>
    </w:p>
    <w:p>
      <w:pPr>
        <w:ind w:firstLine="420"/>
        <w:rPr>
          <w:rFonts w:cs="Times New Roman"/>
          <w:sz w:val="21"/>
          <w:lang w:eastAsia="zh-CN"/>
        </w:rPr>
      </w:pPr>
      <w:r>
        <w:rPr>
          <w:rFonts w:cs="Times New Roman"/>
          <w:sz w:val="21"/>
          <w:lang w:eastAsia="zh-CN"/>
        </w:rPr>
        <w:t>检查方法：按现行国家标准《给水排水管道工程施工及验收规范》GB 50268的有关规定执行。</w:t>
      </w:r>
    </w:p>
    <w:p>
      <w:pPr>
        <w:ind w:firstLine="420"/>
        <w:rPr>
          <w:rFonts w:cs="Times New Roman"/>
          <w:sz w:val="21"/>
          <w:lang w:eastAsia="zh-CN"/>
        </w:rPr>
      </w:pPr>
      <w:r>
        <w:rPr>
          <w:rFonts w:cs="Times New Roman"/>
          <w:sz w:val="21"/>
          <w:lang w:eastAsia="zh-CN"/>
        </w:rPr>
        <w:t>检查数量：全部检查。</w:t>
      </w:r>
    </w:p>
    <w:p>
      <w:pPr>
        <w:ind w:firstLine="420"/>
        <w:jc w:val="center"/>
        <w:rPr>
          <w:rFonts w:cs="Times New Roman"/>
          <w:sz w:val="21"/>
          <w:lang w:eastAsia="zh-CN"/>
        </w:rPr>
      </w:pPr>
      <w:r>
        <w:rPr>
          <w:rFonts w:cs="Times New Roman"/>
          <w:sz w:val="21"/>
          <w:lang w:eastAsia="zh-CN"/>
        </w:rPr>
        <w:t>Ⅱ</w:t>
      </w:r>
      <w:r>
        <w:rPr>
          <w:rFonts w:hint="eastAsia" w:cs="Times New Roman"/>
          <w:sz w:val="21"/>
          <w:lang w:eastAsia="zh-CN"/>
        </w:rPr>
        <w:t xml:space="preserve"> </w:t>
      </w:r>
      <w:r>
        <w:rPr>
          <w:rFonts w:cs="Times New Roman"/>
          <w:sz w:val="21"/>
          <w:lang w:eastAsia="zh-CN"/>
        </w:rPr>
        <w:t>一般项目</w:t>
      </w:r>
    </w:p>
    <w:p>
      <w:pPr>
        <w:ind w:firstLine="422"/>
        <w:rPr>
          <w:rFonts w:cs="Times New Roman"/>
          <w:sz w:val="21"/>
          <w:lang w:eastAsia="zh-CN"/>
        </w:rPr>
      </w:pPr>
      <w:r>
        <w:rPr>
          <w:rFonts w:hint="eastAsia" w:cs="Times New Roman"/>
          <w:b/>
          <w:bCs/>
          <w:sz w:val="21"/>
          <w:lang w:eastAsia="zh-CN"/>
        </w:rPr>
        <w:t>8.7.3</w:t>
      </w:r>
      <w:r>
        <w:rPr>
          <w:rFonts w:cs="Times New Roman"/>
          <w:sz w:val="21"/>
          <w:lang w:eastAsia="zh-CN"/>
        </w:rPr>
        <w:t xml:space="preserve"> 短管内衬法修复管道后，管道内壁应光洁、平整、线性，应无裂纹、明显变形、脱节。</w:t>
      </w:r>
    </w:p>
    <w:p>
      <w:pPr>
        <w:ind w:left="420" w:firstLine="420"/>
        <w:jc w:val="left"/>
        <w:rPr>
          <w:rFonts w:cs="Times New Roman"/>
          <w:sz w:val="21"/>
          <w:lang w:eastAsia="zh-CN"/>
        </w:rPr>
      </w:pPr>
      <w:r>
        <w:rPr>
          <w:rFonts w:cs="Times New Roman"/>
          <w:sz w:val="21"/>
          <w:lang w:eastAsia="zh-CN"/>
        </w:rPr>
        <w:t xml:space="preserve">检验方法：观察；CCTV检测。 </w:t>
      </w:r>
    </w:p>
    <w:p>
      <w:pPr>
        <w:ind w:left="420" w:firstLine="420"/>
        <w:rPr>
          <w:rFonts w:cs="Times New Roman"/>
          <w:sz w:val="21"/>
          <w:lang w:eastAsia="zh-CN"/>
        </w:rPr>
      </w:pPr>
      <w:r>
        <w:rPr>
          <w:rFonts w:cs="Times New Roman"/>
          <w:sz w:val="21"/>
          <w:lang w:eastAsia="zh-CN"/>
        </w:rPr>
        <w:t xml:space="preserve">检查数量:：全部检查。 </w:t>
      </w:r>
    </w:p>
    <w:p>
      <w:pPr>
        <w:ind w:firstLine="422"/>
        <w:rPr>
          <w:rFonts w:cs="Times New Roman"/>
          <w:color w:val="auto"/>
          <w:sz w:val="21"/>
          <w:lang w:eastAsia="zh-CN"/>
        </w:rPr>
      </w:pPr>
      <w:r>
        <w:rPr>
          <w:rFonts w:hint="eastAsia" w:cs="Times New Roman"/>
          <w:b/>
          <w:bCs/>
          <w:sz w:val="21"/>
          <w:lang w:eastAsia="zh-CN"/>
        </w:rPr>
        <w:t>8.7.4</w:t>
      </w:r>
      <w:r>
        <w:rPr>
          <w:rFonts w:cs="Times New Roman"/>
          <w:color w:val="auto"/>
          <w:sz w:val="21"/>
          <w:lang w:eastAsia="zh-CN"/>
        </w:rPr>
        <w:t xml:space="preserve"> 内衬管与原有管道的间隙注浆充填时，注浆固结体应充满间隙，不得有松散、空洞等现象，管段端部的间隙密封处理应符合设计文件的规定。 </w:t>
      </w:r>
    </w:p>
    <w:p>
      <w:pPr>
        <w:ind w:left="420" w:firstLine="420"/>
        <w:rPr>
          <w:rFonts w:cs="Times New Roman"/>
          <w:sz w:val="21"/>
          <w:lang w:eastAsia="zh-CN"/>
        </w:rPr>
      </w:pPr>
      <w:r>
        <w:rPr>
          <w:rFonts w:cs="Times New Roman"/>
          <w:sz w:val="21"/>
          <w:lang w:eastAsia="zh-CN"/>
        </w:rPr>
        <w:t xml:space="preserve">检查方法：观察；检查施工记录、注浆记录。 </w:t>
      </w:r>
    </w:p>
    <w:p>
      <w:pPr>
        <w:ind w:left="420" w:firstLine="420"/>
        <w:rPr>
          <w:rFonts w:cs="Times New Roman"/>
          <w:sz w:val="21"/>
          <w:lang w:eastAsia="zh-CN"/>
        </w:rPr>
      </w:pPr>
      <w:r>
        <w:rPr>
          <w:rFonts w:cs="Times New Roman"/>
          <w:sz w:val="21"/>
          <w:lang w:eastAsia="zh-CN"/>
        </w:rPr>
        <w:t xml:space="preserve">检查数量:：全部检查。 </w:t>
      </w:r>
    </w:p>
    <w:p>
      <w:pPr>
        <w:ind w:firstLine="422"/>
        <w:rPr>
          <w:rFonts w:cs="Times New Roman"/>
          <w:sz w:val="21"/>
          <w:lang w:eastAsia="zh-CN"/>
        </w:rPr>
      </w:pPr>
      <w:r>
        <w:rPr>
          <w:rFonts w:hint="eastAsia" w:cs="Times New Roman"/>
          <w:b/>
          <w:bCs/>
          <w:sz w:val="21"/>
          <w:lang w:eastAsia="zh-CN"/>
        </w:rPr>
        <w:t>8.7.5</w:t>
      </w:r>
      <w:r>
        <w:rPr>
          <w:rFonts w:cs="Times New Roman"/>
          <w:sz w:val="21"/>
          <w:lang w:eastAsia="zh-CN"/>
        </w:rPr>
        <w:t xml:space="preserve"> 管口两端密封处理应符合设计文件的规定，管口灰浆应平滑，密封应良好。 </w:t>
      </w:r>
    </w:p>
    <w:p>
      <w:pPr>
        <w:ind w:left="420" w:firstLine="420"/>
        <w:rPr>
          <w:rFonts w:cs="Times New Roman"/>
          <w:sz w:val="21"/>
          <w:lang w:eastAsia="zh-CN"/>
        </w:rPr>
      </w:pPr>
      <w:r>
        <w:rPr>
          <w:rFonts w:cs="Times New Roman"/>
          <w:sz w:val="21"/>
          <w:lang w:eastAsia="zh-CN"/>
        </w:rPr>
        <w:t>检查方法：</w:t>
      </w:r>
      <w:r>
        <w:rPr>
          <w:rFonts w:hint="eastAsia" w:cs="Times New Roman"/>
          <w:sz w:val="21"/>
          <w:lang w:eastAsia="zh-CN"/>
        </w:rPr>
        <w:t>观察；CCTV检测</w:t>
      </w:r>
      <w:r>
        <w:rPr>
          <w:rFonts w:cs="Times New Roman"/>
          <w:sz w:val="21"/>
          <w:lang w:eastAsia="zh-CN"/>
        </w:rPr>
        <w:t xml:space="preserve">。 </w:t>
      </w:r>
    </w:p>
    <w:p>
      <w:pPr>
        <w:ind w:left="420" w:firstLine="420"/>
        <w:rPr>
          <w:rFonts w:cs="Times New Roman"/>
          <w:sz w:val="21"/>
          <w:lang w:eastAsia="zh-CN"/>
        </w:rPr>
      </w:pPr>
      <w:r>
        <w:rPr>
          <w:rFonts w:cs="Times New Roman"/>
          <w:sz w:val="21"/>
          <w:lang w:eastAsia="zh-CN"/>
        </w:rPr>
        <w:t>检查数量：全部检查。</w:t>
      </w:r>
    </w:p>
    <w:p>
      <w:pPr>
        <w:pStyle w:val="3"/>
        <w:ind w:firstLine="560"/>
      </w:pPr>
      <w:bookmarkStart w:id="229" w:name="_Toc196915238"/>
      <w:r>
        <w:rPr>
          <w:rFonts w:hint="eastAsia"/>
        </w:rPr>
        <w:t>8</w:t>
      </w:r>
      <w:r>
        <w:t>.</w:t>
      </w:r>
      <w:r>
        <w:rPr>
          <w:rFonts w:hint="eastAsia"/>
        </w:rPr>
        <w:t>8</w:t>
      </w:r>
      <w:r>
        <w:t xml:space="preserve"> 喷涂法</w:t>
      </w:r>
      <w:bookmarkEnd w:id="229"/>
    </w:p>
    <w:p>
      <w:pPr>
        <w:ind w:firstLine="42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I 主控项目</w:t>
      </w:r>
    </w:p>
    <w:p>
      <w:pPr>
        <w:ind w:firstLine="481" w:firstLineChars="228"/>
        <w:rPr>
          <w:rFonts w:cs="Times New Roman"/>
          <w:color w:val="000000" w:themeColor="text1"/>
          <w:sz w:val="21"/>
          <w:lang w:eastAsia="zh-CN"/>
          <w14:textFill>
            <w14:solidFill>
              <w14:schemeClr w14:val="tx1"/>
            </w14:solidFill>
          </w14:textFill>
        </w:rPr>
      </w:pPr>
      <w:bookmarkStart w:id="230" w:name="OLE_LINK102"/>
      <w:r>
        <w:rPr>
          <w:rFonts w:hint="eastAsia" w:cs="Times New Roman"/>
          <w:b/>
          <w:bCs/>
          <w:color w:val="000000" w:themeColor="text1"/>
          <w:sz w:val="21"/>
          <w:lang w:eastAsia="zh-CN"/>
          <w14:textFill>
            <w14:solidFill>
              <w14:schemeClr w14:val="tx1"/>
            </w14:solidFill>
          </w14:textFill>
        </w:rPr>
        <w:t>8.8.1</w:t>
      </w:r>
      <w:bookmarkEnd w:id="230"/>
      <w:r>
        <w:rPr>
          <w:rFonts w:hint="eastAsia"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喷涂材料性能应符合设计要求，质量保证资料应齐全。</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检验方法：对照设计文件检查出厂产品的质量合格证书、性能检验报告、使用说明书、生产日期、保质期等。</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检查数量：每批产品检查。</w:t>
      </w:r>
    </w:p>
    <w:p>
      <w:pPr>
        <w:ind w:firstLine="481" w:firstLineChars="228"/>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8.8.2</w:t>
      </w:r>
      <w:r>
        <w:rPr>
          <w:rFonts w:hint="eastAsia" w:cs="Times New Roman"/>
          <w:color w:val="000000" w:themeColor="text1"/>
          <w:sz w:val="21"/>
          <w:lang w:eastAsia="zh-CN"/>
          <w14:textFill>
            <w14:solidFill>
              <w14:schemeClr w14:val="tx1"/>
            </w14:solidFill>
          </w14:textFill>
        </w:rPr>
        <w:t xml:space="preserve"> 基层表面处理验收应符合下列规定：</w:t>
      </w:r>
    </w:p>
    <w:p>
      <w:pPr>
        <w:ind w:left="420" w:firstLine="481" w:firstLineChars="228"/>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1 </w:t>
      </w:r>
      <w:r>
        <w:rPr>
          <w:rFonts w:hint="eastAsia" w:cs="Times New Roman"/>
          <w:color w:val="000000" w:themeColor="text1"/>
          <w:sz w:val="21"/>
          <w:lang w:eastAsia="zh-CN"/>
          <w14:textFill>
            <w14:solidFill>
              <w14:schemeClr w14:val="tx1"/>
            </w14:solidFill>
          </w14:textFill>
        </w:rPr>
        <w:t>水泥抹面与管道内壁应紧密贴合，无空鼓、无硬凸起物，阴角和阳角处的过渡宜平顺。</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检验方法：观察和敲击，检查施工记录。</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检查数量：全数检查。</w:t>
      </w:r>
    </w:p>
    <w:p>
      <w:pPr>
        <w:ind w:left="361" w:firstLine="481" w:firstLineChars="228"/>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 xml:space="preserve"> 基层喷涂前，基层表面温度不应小于5℃，并应采取强制通风措施。</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检验方法：观察，检查施工记录。</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检查数量：全数检查。</w:t>
      </w:r>
    </w:p>
    <w:p>
      <w:pPr>
        <w:ind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8.8.</w:t>
      </w:r>
      <w:r>
        <w:rPr>
          <w:rFonts w:hint="eastAsia" w:cs="Times New Roman"/>
          <w:b/>
          <w:bCs/>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 xml:space="preserve"> </w:t>
      </w:r>
      <w:bookmarkStart w:id="231" w:name="OLE_LINK101"/>
      <w:r>
        <w:rPr>
          <w:rFonts w:hint="eastAsia" w:cs="Times New Roman"/>
          <w:color w:val="000000" w:themeColor="text1"/>
          <w:sz w:val="21"/>
          <w:lang w:eastAsia="zh-CN"/>
          <w14:textFill>
            <w14:solidFill>
              <w14:schemeClr w14:val="tx1"/>
            </w14:solidFill>
          </w14:textFill>
        </w:rPr>
        <w:t>施工过程中，应对现场搅拌好的砂浆进行现场取样制作试块并送检测单位检测，取样频次应满足设计要求；设计未明确要求时，修复检查井时应按每半个台班取样1组或每5口井取样 1组；管道修复时应按每个喷涂回次取样1组。结构修复用水泥基材料现场取样检测项目应符合表8.8.3的规定。</w:t>
      </w:r>
    </w:p>
    <w:bookmarkEnd w:id="231"/>
    <w:p>
      <w:pPr>
        <w:ind w:firstLine="420" w:firstLineChars="0"/>
        <w:jc w:val="center"/>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表8.8.3 结构修复用水泥基材料现场取样检测项目</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检测项目</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单位</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龄期</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性能要求</w:t>
            </w:r>
          </w:p>
        </w:tc>
        <w:tc>
          <w:tcPr>
            <w:tcW w:w="1660"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测试方式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抗压强度</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28d</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≥65</w:t>
            </w:r>
          </w:p>
        </w:tc>
        <w:tc>
          <w:tcPr>
            <w:tcW w:w="1660" w:type="dxa"/>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现行国家标准《水泥胶砂强度检验方法（ISO法）》GB/T 17671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抗折强度</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28d</w:t>
            </w:r>
          </w:p>
        </w:tc>
        <w:tc>
          <w:tcPr>
            <w:tcW w:w="1659" w:type="dxa"/>
            <w:vAlign w:val="center"/>
          </w:tcPr>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≥9.5</w:t>
            </w:r>
          </w:p>
        </w:tc>
        <w:tc>
          <w:tcPr>
            <w:tcW w:w="1660" w:type="dxa"/>
            <w:vMerge w:val="continue"/>
            <w:vAlign w:val="center"/>
          </w:tcPr>
          <w:p>
            <w:pPr>
              <w:ind w:firstLine="0" w:firstLineChars="0"/>
              <w:jc w:val="center"/>
              <w:rPr>
                <w:rFonts w:cs="Times New Roman"/>
                <w:b/>
                <w:bCs/>
                <w:color w:val="000000" w:themeColor="text1"/>
                <w:sz w:val="21"/>
                <w:lang w:eastAsia="zh-CN"/>
                <w14:textFill>
                  <w14:solidFill>
                    <w14:schemeClr w14:val="tx1"/>
                  </w14:solidFill>
                </w14:textFill>
              </w:rPr>
            </w:pPr>
          </w:p>
        </w:tc>
      </w:tr>
    </w:tbl>
    <w:p>
      <w:pPr>
        <w:ind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8.8.</w:t>
      </w:r>
      <w:r>
        <w:rPr>
          <w:rFonts w:hint="eastAsia" w:cs="Times New Roman"/>
          <w:b/>
          <w:bCs/>
          <w:color w:val="000000" w:themeColor="text1"/>
          <w:sz w:val="21"/>
          <w:lang w:eastAsia="zh-CN"/>
          <w14:textFill>
            <w14:solidFill>
              <w14:schemeClr w14:val="tx1"/>
            </w14:solidFill>
          </w14:textFill>
        </w:rPr>
        <w:t xml:space="preserve">4 </w:t>
      </w:r>
      <w:r>
        <w:rPr>
          <w:rFonts w:hint="eastAsia" w:cs="Times New Roman"/>
          <w:color w:val="000000" w:themeColor="text1"/>
          <w:sz w:val="21"/>
          <w:lang w:eastAsia="zh-CN"/>
          <w14:textFill>
            <w14:solidFill>
              <w14:schemeClr w14:val="tx1"/>
            </w14:solidFill>
          </w14:textFill>
        </w:rPr>
        <w:t>无机防腐水泥基材料现场取样制样及检测频率应符合本规程第 8.8.3 条的规定，现场取样检测项目应符合表 8.8</w:t>
      </w: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4 的规定。</w:t>
      </w:r>
    </w:p>
    <w:p>
      <w:pPr>
        <w:ind w:left="2" w:firstLine="420" w:firstLineChars="0"/>
        <w:jc w:val="center"/>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表8.8.4 无机防腐水泥基材料现场取样检测项目</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检测项目</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单位</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龄期</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性能要求</w:t>
            </w:r>
          </w:p>
        </w:tc>
        <w:tc>
          <w:tcPr>
            <w:tcW w:w="1660"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测试方式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抗压强度</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28d</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25.0</w:t>
            </w:r>
          </w:p>
        </w:tc>
        <w:tc>
          <w:tcPr>
            <w:tcW w:w="1660" w:type="dxa"/>
            <w:vMerge w:val="restart"/>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现行国家标准《水泥胶砂强度检验方法（ISO法）》GB/T 17671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抗折强度</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MPa</w:t>
            </w:r>
          </w:p>
        </w:tc>
        <w:tc>
          <w:tcPr>
            <w:tcW w:w="1659"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28d</w:t>
            </w:r>
          </w:p>
        </w:tc>
        <w:tc>
          <w:tcPr>
            <w:tcW w:w="1659" w:type="dxa"/>
            <w:vAlign w:val="center"/>
          </w:tcPr>
          <w:p>
            <w:pPr>
              <w:ind w:firstLine="0" w:firstLineChars="0"/>
              <w:jc w:val="center"/>
              <w:rPr>
                <w:rFonts w:cs="Times New Roman"/>
                <w:b/>
                <w:bCs/>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w:t>
            </w:r>
            <w:r>
              <w:rPr>
                <w:rFonts w:hint="eastAsia" w:cs="Times New Roman"/>
                <w:color w:val="000000" w:themeColor="text1"/>
                <w:sz w:val="21"/>
                <w:lang w:eastAsia="zh-CN"/>
                <w14:textFill>
                  <w14:solidFill>
                    <w14:schemeClr w14:val="tx1"/>
                  </w14:solidFill>
                </w14:textFill>
              </w:rPr>
              <w:t>4.0</w:t>
            </w:r>
          </w:p>
        </w:tc>
        <w:tc>
          <w:tcPr>
            <w:tcW w:w="1660" w:type="dxa"/>
            <w:vMerge w:val="continue"/>
            <w:vAlign w:val="center"/>
          </w:tcPr>
          <w:p>
            <w:pPr>
              <w:ind w:firstLine="0" w:firstLineChars="0"/>
              <w:jc w:val="center"/>
              <w:rPr>
                <w:rFonts w:cs="Times New Roman"/>
                <w:b/>
                <w:bCs/>
                <w:color w:val="000000" w:themeColor="text1"/>
                <w:sz w:val="21"/>
                <w:lang w:eastAsia="zh-CN"/>
                <w14:textFill>
                  <w14:solidFill>
                    <w14:schemeClr w14:val="tx1"/>
                  </w14:solidFill>
                </w14:textFill>
              </w:rPr>
            </w:pPr>
          </w:p>
        </w:tc>
      </w:tr>
    </w:tbl>
    <w:p>
      <w:pPr>
        <w:ind w:firstLine="481" w:firstLineChars="228"/>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8.8.</w:t>
      </w:r>
      <w:r>
        <w:rPr>
          <w:rFonts w:hint="eastAsia" w:cs="Times New Roman"/>
          <w:b/>
          <w:bCs/>
          <w:color w:val="000000" w:themeColor="text1"/>
          <w:sz w:val="21"/>
          <w:lang w:eastAsia="zh-CN"/>
          <w14:textFill>
            <w14:solidFill>
              <w14:schemeClr w14:val="tx1"/>
            </w14:solidFill>
          </w14:textFill>
        </w:rPr>
        <w:t>5</w:t>
      </w:r>
      <w:r>
        <w:rPr>
          <w:rFonts w:hint="eastAsia" w:cs="Times New Roman"/>
          <w:color w:val="000000" w:themeColor="text1"/>
          <w:sz w:val="21"/>
          <w:lang w:eastAsia="zh-CN"/>
          <w14:textFill>
            <w14:solidFill>
              <w14:schemeClr w14:val="tx1"/>
            </w14:solidFill>
          </w14:textFill>
        </w:rPr>
        <w:t xml:space="preserve"> 高分子材料喷涂层质量验收应符合下列规定：</w:t>
      </w:r>
    </w:p>
    <w:p>
      <w:pPr>
        <w:ind w:left="361" w:firstLine="481" w:firstLineChars="228"/>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1 </w:t>
      </w:r>
      <w:r>
        <w:rPr>
          <w:rFonts w:hint="eastAsia" w:cs="Times New Roman"/>
          <w:color w:val="000000" w:themeColor="text1"/>
          <w:sz w:val="21"/>
          <w:lang w:eastAsia="zh-CN"/>
          <w14:textFill>
            <w14:solidFill>
              <w14:schemeClr w14:val="tx1"/>
            </w14:solidFill>
          </w14:textFill>
        </w:rPr>
        <w:t>高分子喷涂材料和底涂料、涂层修补材料、层间处理剂等配套材料应满足设计要求；</w:t>
      </w:r>
    </w:p>
    <w:p>
      <w:pPr>
        <w:ind w:left="361" w:firstLine="481" w:firstLineChars="228"/>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2</w:t>
      </w:r>
      <w:r>
        <w:rPr>
          <w:rFonts w:hint="eastAsia" w:cs="Times New Roman"/>
          <w:color w:val="000000" w:themeColor="text1"/>
          <w:sz w:val="21"/>
          <w:lang w:eastAsia="zh-CN"/>
          <w14:textFill>
            <w14:solidFill>
              <w14:schemeClr w14:val="tx1"/>
            </w14:solidFill>
          </w14:textFill>
        </w:rPr>
        <w:t xml:space="preserve"> 高分子材料喷涂固化后的质量要求应符合表8.8.5的规定；</w:t>
      </w:r>
    </w:p>
    <w:p>
      <w:pPr>
        <w:ind w:left="361" w:firstLine="481" w:firstLineChars="228"/>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3</w:t>
      </w:r>
      <w:r>
        <w:rPr>
          <w:rFonts w:hint="eastAsia" w:cs="Times New Roman"/>
          <w:color w:val="000000" w:themeColor="text1"/>
          <w:sz w:val="21"/>
          <w:lang w:eastAsia="zh-CN"/>
          <w14:textFill>
            <w14:solidFill>
              <w14:schemeClr w14:val="tx1"/>
            </w14:solidFill>
          </w14:textFill>
        </w:rPr>
        <w:t xml:space="preserve"> 高分子喷涂材料的短期力学性能和测试方法应符合本规程表4.8.8的规定；</w:t>
      </w:r>
    </w:p>
    <w:p>
      <w:pPr>
        <w:ind w:left="361" w:firstLine="481" w:firstLineChars="228"/>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4 </w:t>
      </w:r>
      <w:r>
        <w:rPr>
          <w:rFonts w:hint="eastAsia" w:cs="Times New Roman"/>
          <w:color w:val="000000" w:themeColor="text1"/>
          <w:sz w:val="21"/>
          <w:lang w:eastAsia="zh-CN"/>
          <w14:textFill>
            <w14:solidFill>
              <w14:schemeClr w14:val="tx1"/>
            </w14:solidFill>
          </w14:textFill>
        </w:rPr>
        <w:t>喷涂后表面应无孔洞、无裂缝、无划伤，细部构造处的表面处理应符合设计文件的规定</w:t>
      </w:r>
      <w:r>
        <w:rPr>
          <w:rFonts w:cs="Times New Roman"/>
          <w:color w:val="000000" w:themeColor="text1"/>
          <w:sz w:val="21"/>
          <w:lang w:eastAsia="zh-CN"/>
          <w14:textFill>
            <w14:solidFill>
              <w14:schemeClr w14:val="tx1"/>
            </w14:solidFill>
          </w14:textFill>
        </w:rPr>
        <w:t>。</w:t>
      </w:r>
    </w:p>
    <w:p>
      <w:pPr>
        <w:ind w:firstLine="420" w:firstLineChars="0"/>
        <w:jc w:val="center"/>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表8.8.5 高分子材料喷涂固化后的质量要求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检测项目</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质量要求</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检测频率</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涂层厚度</w:t>
            </w:r>
          </w:p>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（mm）</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平均厚度应符合设计要求。检测的最小厚度值不应小于设计厚度的80%，平均值不应小于100%，管道接口喷涂的厚度不小于100%。检测不得破坏已修复结构体</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圆形管道每500m</w:t>
            </w:r>
            <w:r>
              <w:rPr>
                <w:rFonts w:cs="Times New Roman"/>
                <w:color w:val="000000" w:themeColor="text1"/>
                <w:sz w:val="21"/>
                <w:vertAlign w:val="superscript"/>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检测一次，至少6个点;方沟每500m</w:t>
            </w:r>
            <w:r>
              <w:rPr>
                <w:rFonts w:cs="Times New Roman"/>
                <w:color w:val="000000" w:themeColor="text1"/>
                <w:sz w:val="21"/>
                <w:vertAlign w:val="superscript"/>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检测一次，至少检测6个点，6点分别为顶部、侧墙和底部；取样处应含接口，样块尺寸20mm×20mm 全过程记录结果作为过程报告</w:t>
            </w:r>
          </w:p>
        </w:tc>
        <w:tc>
          <w:tcPr>
            <w:tcW w:w="2074"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现行国家标准《塑料管道系统 塑料部件尺寸的测定》GB/T 8806</w:t>
            </w:r>
          </w:p>
        </w:tc>
      </w:tr>
    </w:tbl>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检验方法：观察，检查施工记录。</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检查数量：全数检查。</w:t>
      </w:r>
    </w:p>
    <w:p>
      <w:pPr>
        <w:ind w:firstLine="42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 xml:space="preserve">Ⅱ </w:t>
      </w:r>
      <w:r>
        <w:rPr>
          <w:rFonts w:hint="eastAsia" w:cs="Times New Roman"/>
          <w:color w:val="000000" w:themeColor="text1"/>
          <w:sz w:val="21"/>
          <w:lang w:eastAsia="zh-CN"/>
          <w14:textFill>
            <w14:solidFill>
              <w14:schemeClr w14:val="tx1"/>
            </w14:solidFill>
          </w14:textFill>
        </w:rPr>
        <w:t>一般</w:t>
      </w:r>
      <w:r>
        <w:rPr>
          <w:rFonts w:cs="Times New Roman"/>
          <w:color w:val="000000" w:themeColor="text1"/>
          <w:sz w:val="21"/>
          <w:lang w:eastAsia="zh-CN"/>
          <w14:textFill>
            <w14:solidFill>
              <w14:schemeClr w14:val="tx1"/>
            </w14:solidFill>
          </w14:textFill>
        </w:rPr>
        <w:t>项目</w:t>
      </w:r>
    </w:p>
    <w:p>
      <w:pPr>
        <w:ind w:firstLine="481" w:firstLineChars="228"/>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8.8.</w:t>
      </w:r>
      <w:r>
        <w:rPr>
          <w:rFonts w:hint="eastAsia" w:cs="Times New Roman"/>
          <w:b/>
          <w:bCs/>
          <w:color w:val="000000" w:themeColor="text1"/>
          <w:sz w:val="21"/>
          <w:lang w:eastAsia="zh-CN"/>
          <w14:textFill>
            <w14:solidFill>
              <w14:schemeClr w14:val="tx1"/>
            </w14:solidFill>
          </w14:textFill>
        </w:rPr>
        <w:t>6</w:t>
      </w:r>
      <w:r>
        <w:rPr>
          <w:rFonts w:hint="eastAsia" w:cs="Times New Roman"/>
          <w:color w:val="000000" w:themeColor="text1"/>
          <w:sz w:val="21"/>
          <w:lang w:eastAsia="zh-CN"/>
          <w14:textFill>
            <w14:solidFill>
              <w14:schemeClr w14:val="tx1"/>
            </w14:solidFill>
          </w14:textFill>
        </w:rPr>
        <w:t xml:space="preserve"> 管道线形应和顺，接口、接缝应平顺，内衬与原有管道过渡应平缓;管道内应无明显湿渍。</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检验方法：观察或CCTV检测;检查施工记录、CCTV检测记录等。</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检查数量：全数检查</w:t>
      </w:r>
    </w:p>
    <w:p>
      <w:pPr>
        <w:ind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8.8.</w:t>
      </w:r>
      <w:r>
        <w:rPr>
          <w:rFonts w:hint="eastAsia" w:cs="Times New Roman"/>
          <w:b/>
          <w:bCs/>
          <w:color w:val="000000" w:themeColor="text1"/>
          <w:sz w:val="21"/>
          <w:lang w:eastAsia="zh-CN"/>
          <w14:textFill>
            <w14:solidFill>
              <w14:schemeClr w14:val="tx1"/>
            </w14:solidFill>
          </w14:textFill>
        </w:rPr>
        <w:t>7</w:t>
      </w:r>
      <w:r>
        <w:rPr>
          <w:rFonts w:cs="Times New Roman"/>
          <w:b/>
          <w:bCs/>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修复后内衬表面应无明显湿、水，不得有漏、线漏等现象；流槽平顺、管口与井壁应结合严密。</w:t>
      </w:r>
    </w:p>
    <w:p>
      <w:pPr>
        <w:ind w:left="420"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检验方法：观察、</w:t>
      </w:r>
      <w:r>
        <w:rPr>
          <w:rFonts w:cs="Times New Roman"/>
          <w:color w:val="000000" w:themeColor="text1"/>
          <w:sz w:val="21"/>
          <w:lang w:eastAsia="zh-CN"/>
          <w14:textFill>
            <w14:solidFill>
              <w14:schemeClr w14:val="tx1"/>
            </w14:solidFill>
          </w14:textFill>
        </w:rPr>
        <w:t>CCTV</w:t>
      </w:r>
      <w:r>
        <w:rPr>
          <w:rFonts w:hint="eastAsia" w:cs="Times New Roman"/>
          <w:color w:val="000000" w:themeColor="text1"/>
          <w:sz w:val="21"/>
          <w:lang w:eastAsia="zh-CN"/>
          <w14:textFill>
            <w14:solidFill>
              <w14:schemeClr w14:val="tx1"/>
            </w14:solidFill>
          </w14:textFill>
        </w:rPr>
        <w:t>检测或潜望镜检查。</w:t>
      </w:r>
    </w:p>
    <w:p>
      <w:pPr>
        <w:ind w:left="420"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检查数量：全数检查。</w:t>
      </w:r>
    </w:p>
    <w:p>
      <w:pPr>
        <w:ind w:firstLine="481" w:firstLineChars="228"/>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8.8.</w:t>
      </w:r>
      <w:r>
        <w:rPr>
          <w:rFonts w:hint="eastAsia" w:cs="Times New Roman"/>
          <w:b/>
          <w:bCs/>
          <w:color w:val="000000" w:themeColor="text1"/>
          <w:sz w:val="21"/>
          <w:lang w:eastAsia="zh-CN"/>
          <w14:textFill>
            <w14:solidFill>
              <w14:schemeClr w14:val="tx1"/>
            </w14:solidFill>
          </w14:textFill>
        </w:rPr>
        <w:t>8</w:t>
      </w:r>
      <w:r>
        <w:rPr>
          <w:rFonts w:hint="eastAsia" w:cs="Times New Roman"/>
          <w:color w:val="000000" w:themeColor="text1"/>
          <w:sz w:val="21"/>
          <w:lang w:eastAsia="zh-CN"/>
          <w14:textFill>
            <w14:solidFill>
              <w14:schemeClr w14:val="tx1"/>
            </w14:solidFill>
          </w14:textFill>
        </w:rPr>
        <w:t xml:space="preserve"> 修复管道的检查井及井内施工应满足设计要求，并应无渗漏水现象。</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检验方法：观察，检查施工记录。</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检查数量：全数检查。</w:t>
      </w:r>
    </w:p>
    <w:p>
      <w:pPr>
        <w:ind w:firstLine="481" w:firstLineChars="228"/>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8.8.</w:t>
      </w:r>
      <w:r>
        <w:rPr>
          <w:rFonts w:hint="eastAsia" w:cs="Times New Roman"/>
          <w:b/>
          <w:bCs/>
          <w:color w:val="000000" w:themeColor="text1"/>
          <w:sz w:val="21"/>
          <w:lang w:eastAsia="zh-CN"/>
          <w14:textFill>
            <w14:solidFill>
              <w14:schemeClr w14:val="tx1"/>
            </w14:solidFill>
          </w14:textFill>
        </w:rPr>
        <w:t>9</w:t>
      </w:r>
      <w:r>
        <w:rPr>
          <w:rFonts w:hint="eastAsia" w:cs="Times New Roman"/>
          <w:color w:val="000000" w:themeColor="text1"/>
          <w:sz w:val="21"/>
          <w:lang w:eastAsia="zh-CN"/>
          <w14:textFill>
            <w14:solidFill>
              <w14:schemeClr w14:val="tx1"/>
            </w14:solidFill>
          </w14:textFill>
        </w:rPr>
        <w:t xml:space="preserve"> 高强度聚氨酯在阴角、阳角等细部构造的防水措施应符合设计文件的规定。</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检验方法：观察，检查隐蔽工程验收记录。</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检查数量：全数检查。</w:t>
      </w:r>
    </w:p>
    <w:p>
      <w:pPr>
        <w:ind w:firstLine="481" w:firstLineChars="228"/>
        <w:rPr>
          <w:rFonts w:cs="Times New Roman"/>
          <w:color w:val="000000" w:themeColor="text1"/>
          <w:sz w:val="21"/>
          <w:lang w:eastAsia="zh-CN"/>
          <w14:textFill>
            <w14:solidFill>
              <w14:schemeClr w14:val="tx1"/>
            </w14:solidFill>
          </w14:textFill>
        </w:rPr>
      </w:pPr>
      <w:bookmarkStart w:id="232" w:name="OLE_LINK103"/>
      <w:r>
        <w:rPr>
          <w:rFonts w:cs="Times New Roman"/>
          <w:b/>
          <w:bCs/>
          <w:color w:val="000000" w:themeColor="text1"/>
          <w:sz w:val="21"/>
          <w:lang w:eastAsia="zh-CN"/>
          <w14:textFill>
            <w14:solidFill>
              <w14:schemeClr w14:val="tx1"/>
            </w14:solidFill>
          </w14:textFill>
        </w:rPr>
        <w:t>8.8.1</w:t>
      </w:r>
      <w:bookmarkEnd w:id="232"/>
      <w:r>
        <w:rPr>
          <w:rFonts w:hint="eastAsia" w:cs="Times New Roman"/>
          <w:b/>
          <w:bCs/>
          <w:color w:val="000000" w:themeColor="text1"/>
          <w:sz w:val="21"/>
          <w:lang w:eastAsia="zh-CN"/>
          <w14:textFill>
            <w14:solidFill>
              <w14:schemeClr w14:val="tx1"/>
            </w14:solidFill>
          </w14:textFill>
        </w:rPr>
        <w:t>0</w:t>
      </w:r>
      <w:r>
        <w:rPr>
          <w:rFonts w:hint="eastAsia" w:cs="Times New Roman"/>
          <w:color w:val="000000" w:themeColor="text1"/>
          <w:sz w:val="21"/>
          <w:lang w:eastAsia="zh-CN"/>
          <w14:textFill>
            <w14:solidFill>
              <w14:schemeClr w14:val="tx1"/>
            </w14:solidFill>
          </w14:textFill>
        </w:rPr>
        <w:t xml:space="preserve"> 喷涂材料涂层应连续、无漏涂，无空鼓、无剥落、无划伤、无龟裂、无异物。气泡直径不得大于1cm，成膜材料每平方米内包含的气泡不得超过5个。</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检验方法：观察或CCTV 检测。</w:t>
      </w:r>
    </w:p>
    <w:p>
      <w:pPr>
        <w:ind w:left="361" w:firstLine="478" w:firstLineChars="228"/>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检查数量:：全数检查。</w:t>
      </w:r>
    </w:p>
    <w:p>
      <w:pPr>
        <w:ind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8.8.1</w:t>
      </w:r>
      <w:r>
        <w:rPr>
          <w:rFonts w:hint="eastAsia"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w:t>
      </w:r>
      <w:r>
        <w:rPr>
          <w:rFonts w:hint="eastAsia" w:cs="Times New Roman"/>
          <w:color w:val="000000" w:themeColor="text1"/>
          <w:sz w:val="21"/>
          <w:lang w:eastAsia="zh-CN"/>
          <w14:textFill>
            <w14:solidFill>
              <w14:schemeClr w14:val="tx1"/>
            </w14:solidFill>
          </w14:textFill>
        </w:rPr>
        <w:t>修复施工记录应齐全、正确。</w:t>
      </w:r>
    </w:p>
    <w:p>
      <w:pPr>
        <w:ind w:left="420"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检验方法：对照设计文件和施工方案的规定进行检查。</w:t>
      </w:r>
    </w:p>
    <w:p>
      <w:pPr>
        <w:ind w:left="420"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检查数量：全数检查。</w:t>
      </w:r>
    </w:p>
    <w:p>
      <w:pPr>
        <w:ind w:firstLine="478" w:firstLineChars="228"/>
        <w:rPr>
          <w:rFonts w:cs="Times New Roman"/>
          <w:color w:val="000000" w:themeColor="text1"/>
          <w:sz w:val="21"/>
          <w:lang w:eastAsia="zh-CN"/>
          <w14:textFill>
            <w14:solidFill>
              <w14:schemeClr w14:val="tx1"/>
            </w14:solidFill>
          </w14:textFill>
        </w:rPr>
      </w:pPr>
    </w:p>
    <w:p>
      <w:pPr>
        <w:pStyle w:val="3"/>
        <w:ind w:firstLine="560"/>
      </w:pPr>
      <w:bookmarkStart w:id="233" w:name="_Toc196915239"/>
      <w:r>
        <w:rPr>
          <w:rFonts w:hint="eastAsia"/>
        </w:rPr>
        <w:t>8</w:t>
      </w:r>
      <w:r>
        <w:t>.</w:t>
      </w:r>
      <w:r>
        <w:rPr>
          <w:rFonts w:hint="eastAsia"/>
        </w:rPr>
        <w:t>9</w:t>
      </w:r>
      <w:r>
        <w:t xml:space="preserve"> 碎裂管法</w:t>
      </w:r>
      <w:bookmarkEnd w:id="233"/>
    </w:p>
    <w:p>
      <w:pPr>
        <w:ind w:firstLine="42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Ⅰ 主控项目</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碎裂管法应进行管道连接接头试验，并应符合下列规定。</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检查方法：按现行国家标准</w:t>
      </w:r>
      <w:bookmarkStart w:id="234" w:name="_Hlk196920282"/>
      <w:r>
        <w:rPr>
          <w:rFonts w:cs="Times New Roman"/>
          <w:color w:val="000000" w:themeColor="text1"/>
          <w:sz w:val="21"/>
          <w:lang w:eastAsia="zh-CN"/>
          <w14:textFill>
            <w14:solidFill>
              <w14:schemeClr w14:val="tx1"/>
            </w14:solidFill>
          </w14:textFill>
        </w:rPr>
        <w:t>《给水用聚乙烯（PE）管道系统第5部分：系统适用性》GB/T 13663.5</w:t>
      </w:r>
      <w:bookmarkEnd w:id="234"/>
      <w:r>
        <w:rPr>
          <w:rFonts w:cs="Times New Roman"/>
          <w:color w:val="000000" w:themeColor="text1"/>
          <w:sz w:val="21"/>
          <w:lang w:eastAsia="zh-CN"/>
          <w14:textFill>
            <w14:solidFill>
              <w14:schemeClr w14:val="tx1"/>
            </w14:solidFill>
          </w14:textFill>
        </w:rPr>
        <w:t>的有关规定执行。</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检查数量：全部检查。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碎裂管法施工前后，应检测管节及接口有无划痕、刻槽、破损等，管壁损失不得大于10%，接口不得破碎。</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检查方法：施工前管节及接口，施工后对牵拉端取样检测。</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检查数量：全部检查。</w:t>
      </w:r>
    </w:p>
    <w:p>
      <w:pPr>
        <w:ind w:firstLine="42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Ⅱ 一般项目</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碎裂管法修复后管道接口应紧密，内壁无裂纹、磨损、孔洞、变形、错台等影响管道结构、使用功能的损伤和缺陷。</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检查方法：观察或CCTV检测；检查施工记录、CCTV检测记录等。</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检查数量：全部检查。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8</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新管道端口不得存在渗漏、土体松散现象。</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检查方法：检查注浆记录或CCTV检测。</w:t>
      </w:r>
    </w:p>
    <w:p>
      <w:pPr>
        <w:ind w:left="42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检查数量：全部检查。</w:t>
      </w:r>
    </w:p>
    <w:p>
      <w:pPr>
        <w:pStyle w:val="15"/>
        <w:ind w:firstLine="0" w:firstLineChars="0"/>
        <w:rPr>
          <w:rFonts w:ascii="Times New Roman" w:hAnsi="Times New Roman" w:eastAsia="黑体" w:cs="Times New Roman"/>
          <w:color w:val="000000" w:themeColor="text1"/>
          <w:lang w:eastAsia="zh-CN"/>
          <w14:textFill>
            <w14:solidFill>
              <w14:schemeClr w14:val="tx1"/>
            </w14:solidFill>
          </w14:textFill>
        </w:rPr>
      </w:pPr>
      <w:bookmarkStart w:id="235" w:name="_Toc196915240"/>
      <w:r>
        <w:rPr>
          <w:rFonts w:hint="eastAsia" w:ascii="Times New Roman" w:hAnsi="Times New Roman" w:eastAsia="黑体" w:cs="Times New Roman"/>
          <w:color w:val="000000" w:themeColor="text1"/>
          <w:lang w:eastAsia="zh-CN"/>
          <w14:textFill>
            <w14:solidFill>
              <w14:schemeClr w14:val="tx1"/>
            </w14:solidFill>
          </w14:textFill>
        </w:rPr>
        <w:t>9</w:t>
      </w:r>
      <w:r>
        <w:rPr>
          <w:rFonts w:ascii="Times New Roman" w:hAnsi="Times New Roman" w:eastAsia="黑体" w:cs="Times New Roman"/>
          <w:color w:val="000000" w:themeColor="text1"/>
          <w:lang w:eastAsia="zh-CN"/>
          <w14:textFill>
            <w14:solidFill>
              <w14:schemeClr w14:val="tx1"/>
            </w14:solidFill>
          </w14:textFill>
        </w:rPr>
        <w:t xml:space="preserve"> 数字化</w:t>
      </w:r>
      <w:bookmarkEnd w:id="235"/>
    </w:p>
    <w:p>
      <w:pPr>
        <w:pStyle w:val="3"/>
        <w:ind w:firstLine="560"/>
      </w:pPr>
      <w:bookmarkStart w:id="236" w:name="_Toc196915241"/>
      <w:r>
        <w:rPr>
          <w:rFonts w:hint="eastAsia"/>
        </w:rPr>
        <w:t>9</w:t>
      </w:r>
      <w:r>
        <w:t>.1 一般规定</w:t>
      </w:r>
      <w:bookmarkEnd w:id="236"/>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.1.1 </w:t>
      </w:r>
      <w:r>
        <w:rPr>
          <w:rFonts w:cs="Times New Roman"/>
          <w:color w:val="000000" w:themeColor="text1"/>
          <w:sz w:val="21"/>
          <w:lang w:eastAsia="zh-CN"/>
          <w14:textFill>
            <w14:solidFill>
              <w14:schemeClr w14:val="tx1"/>
            </w14:solidFill>
          </w14:textFill>
        </w:rPr>
        <w:t>市政排水管道</w:t>
      </w:r>
      <w:bookmarkStart w:id="237" w:name="_Hlk179790863"/>
      <w:r>
        <w:rPr>
          <w:rFonts w:cs="Times New Roman"/>
          <w:color w:val="000000" w:themeColor="text1"/>
          <w:sz w:val="21"/>
          <w:lang w:eastAsia="zh-CN"/>
          <w14:textFill>
            <w14:solidFill>
              <w14:schemeClr w14:val="tx1"/>
            </w14:solidFill>
          </w14:textFill>
        </w:rPr>
        <w:t>非开挖修复工程的设计、施工、验收等过程</w:t>
      </w:r>
      <w:bookmarkEnd w:id="237"/>
      <w:r>
        <w:rPr>
          <w:rFonts w:cs="Times New Roman"/>
          <w:color w:val="000000" w:themeColor="text1"/>
          <w:sz w:val="21"/>
          <w:lang w:eastAsia="zh-CN"/>
          <w14:textFill>
            <w14:solidFill>
              <w14:schemeClr w14:val="tx1"/>
            </w14:solidFill>
          </w14:textFill>
        </w:rPr>
        <w:t>应在统一的信息系统中完成。</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.1.2</w:t>
      </w:r>
      <w:r>
        <w:rPr>
          <w:rFonts w:cs="Times New Roman"/>
          <w:color w:val="000000" w:themeColor="text1"/>
          <w:sz w:val="21"/>
          <w:lang w:eastAsia="zh-CN"/>
          <w14:textFill>
            <w14:solidFill>
              <w14:schemeClr w14:val="tx1"/>
            </w14:solidFill>
          </w14:textFill>
        </w:rPr>
        <w:t xml:space="preserve"> 信息系统宜建立在云平台之上，可运用物联网、云计算、大数据和人工智能等技术辅助管理。</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.1.3</w:t>
      </w:r>
      <w:r>
        <w:rPr>
          <w:rFonts w:cs="Times New Roman"/>
          <w:color w:val="000000" w:themeColor="text1"/>
          <w:sz w:val="21"/>
          <w:lang w:eastAsia="zh-CN"/>
          <w14:textFill>
            <w14:solidFill>
              <w14:schemeClr w14:val="tx1"/>
            </w14:solidFill>
          </w14:textFill>
        </w:rPr>
        <w:t xml:space="preserve"> 市政排水管道原位固化修复原有数字化信息和新采集的数字化信息，均应纳入信息系统。</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.1.4</w:t>
      </w:r>
      <w:r>
        <w:rPr>
          <w:rFonts w:cs="Times New Roman"/>
          <w:color w:val="000000" w:themeColor="text1"/>
          <w:sz w:val="21"/>
          <w:lang w:eastAsia="zh-CN"/>
          <w14:textFill>
            <w14:solidFill>
              <w14:schemeClr w14:val="tx1"/>
            </w14:solidFill>
          </w14:textFill>
        </w:rPr>
        <w:t xml:space="preserve"> 施工期间应对管井内有毒有害气体含量</w:t>
      </w:r>
      <w:bookmarkStart w:id="238" w:name="_Hlk179790877"/>
      <w:r>
        <w:rPr>
          <w:rFonts w:cs="Times New Roman"/>
          <w:color w:val="000000" w:themeColor="text1"/>
          <w:sz w:val="21"/>
          <w:lang w:eastAsia="zh-CN"/>
          <w14:textFill>
            <w14:solidFill>
              <w14:schemeClr w14:val="tx1"/>
            </w14:solidFill>
          </w14:textFill>
        </w:rPr>
        <w:t>进行实时监测和预警</w:t>
      </w:r>
      <w:bookmarkEnd w:id="238"/>
      <w:r>
        <w:rPr>
          <w:rFonts w:cs="Times New Roman"/>
          <w:color w:val="000000" w:themeColor="text1"/>
          <w:sz w:val="21"/>
          <w:lang w:eastAsia="zh-CN"/>
          <w14:textFill>
            <w14:solidFill>
              <w14:schemeClr w14:val="tx1"/>
            </w14:solidFill>
          </w14:textFill>
        </w:rPr>
        <w:t>。</w:t>
      </w:r>
    </w:p>
    <w:p>
      <w:pPr>
        <w:pStyle w:val="3"/>
        <w:ind w:firstLine="560"/>
      </w:pPr>
      <w:bookmarkStart w:id="239" w:name="_Toc196915242"/>
      <w:r>
        <w:rPr>
          <w:rFonts w:hint="eastAsia"/>
        </w:rPr>
        <w:t>9</w:t>
      </w:r>
      <w:r>
        <w:t xml:space="preserve">.2 </w:t>
      </w:r>
      <w:bookmarkStart w:id="240" w:name="_Hlk179790922"/>
      <w:r>
        <w:t>信息系统构成</w:t>
      </w:r>
      <w:bookmarkEnd w:id="239"/>
      <w:bookmarkEnd w:id="240"/>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.2.1</w:t>
      </w:r>
      <w:r>
        <w:rPr>
          <w:rFonts w:cs="Times New Roman"/>
          <w:color w:val="000000" w:themeColor="text1"/>
          <w:sz w:val="21"/>
          <w:lang w:eastAsia="zh-CN"/>
          <w14:textFill>
            <w14:solidFill>
              <w14:schemeClr w14:val="tx1"/>
            </w14:solidFill>
          </w14:textFill>
        </w:rPr>
        <w:t xml:space="preserve"> 信息系统应包括数据感知层、网络层和应用层。</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.2.2</w:t>
      </w:r>
      <w:r>
        <w:rPr>
          <w:rFonts w:cs="Times New Roman"/>
          <w:color w:val="000000" w:themeColor="text1"/>
          <w:sz w:val="21"/>
          <w:lang w:eastAsia="zh-CN"/>
          <w14:textFill>
            <w14:solidFill>
              <w14:schemeClr w14:val="tx1"/>
            </w14:solidFill>
          </w14:textFill>
        </w:rPr>
        <w:t xml:space="preserve"> 信息系统应具备可拓展接口，应满足系统二次开发或系统配置的要求。</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.2.3</w:t>
      </w:r>
      <w:r>
        <w:rPr>
          <w:rFonts w:cs="Times New Roman"/>
          <w:color w:val="000000" w:themeColor="text1"/>
          <w:sz w:val="21"/>
          <w:lang w:eastAsia="zh-CN"/>
          <w14:textFill>
            <w14:solidFill>
              <w14:schemeClr w14:val="tx1"/>
            </w14:solidFill>
          </w14:textFill>
        </w:rPr>
        <w:t xml:space="preserve"> 信息系统应提供人工采集的数据接口。</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.2.4</w:t>
      </w:r>
      <w:r>
        <w:rPr>
          <w:rFonts w:cs="Times New Roman"/>
          <w:color w:val="000000" w:themeColor="text1"/>
          <w:sz w:val="21"/>
          <w:lang w:eastAsia="zh-CN"/>
          <w14:textFill>
            <w14:solidFill>
              <w14:schemeClr w14:val="tx1"/>
            </w14:solidFill>
          </w14:textFill>
        </w:rPr>
        <w:t xml:space="preserve"> 感知层应包括管道非开挖修复过程所需各类感知设备，应能采集环境数据、材料储运数据、施工数据和图纸等文件信息。</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.2.5 </w:t>
      </w:r>
      <w:r>
        <w:rPr>
          <w:rFonts w:cs="Times New Roman"/>
          <w:color w:val="000000" w:themeColor="text1"/>
          <w:sz w:val="21"/>
          <w:lang w:eastAsia="zh-CN"/>
          <w14:textFill>
            <w14:solidFill>
              <w14:schemeClr w14:val="tx1"/>
            </w14:solidFill>
          </w14:textFill>
        </w:rPr>
        <w:t>感知设备应包括设备感知、环境感知、图像感知、身份感知和位置感知等感知设备。</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.2.6 </w:t>
      </w:r>
      <w:r>
        <w:rPr>
          <w:rFonts w:cs="Times New Roman"/>
          <w:color w:val="000000" w:themeColor="text1"/>
          <w:sz w:val="21"/>
          <w:lang w:eastAsia="zh-CN"/>
          <w14:textFill>
            <w14:solidFill>
              <w14:schemeClr w14:val="tx1"/>
            </w14:solidFill>
          </w14:textFill>
        </w:rPr>
        <w:t>感知层应具有网络接入功能，将感知数据传送到网络层，感知层接入网络层的安全要求应符合现行国家标准</w:t>
      </w:r>
      <w:bookmarkStart w:id="241" w:name="_Hlk196920292"/>
      <w:r>
        <w:rPr>
          <w:rFonts w:cs="Times New Roman"/>
          <w:color w:val="000000" w:themeColor="text1"/>
          <w:sz w:val="21"/>
          <w:lang w:eastAsia="zh-CN"/>
          <w14:textFill>
            <w14:solidFill>
              <w14:schemeClr w14:val="tx1"/>
            </w14:solidFill>
          </w14:textFill>
        </w:rPr>
        <w:t>《信息安全技术 物联网感知层接入通信网的安全要求》GB/T 37093</w:t>
      </w:r>
      <w:bookmarkEnd w:id="241"/>
      <w:r>
        <w:rPr>
          <w:rFonts w:cs="Times New Roman"/>
          <w:color w:val="000000" w:themeColor="text1"/>
          <w:sz w:val="21"/>
          <w:lang w:eastAsia="zh-CN"/>
          <w14:textFill>
            <w14:solidFill>
              <w14:schemeClr w14:val="tx1"/>
            </w14:solidFill>
          </w14:textFill>
        </w:rPr>
        <w:t>的有关规定。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.2.7 </w:t>
      </w:r>
      <w:r>
        <w:rPr>
          <w:rFonts w:cs="Times New Roman"/>
          <w:color w:val="000000" w:themeColor="text1"/>
          <w:sz w:val="21"/>
          <w:lang w:eastAsia="zh-CN"/>
          <w14:textFill>
            <w14:solidFill>
              <w14:schemeClr w14:val="tx1"/>
            </w14:solidFill>
          </w14:textFill>
        </w:rPr>
        <w:t>在线监测数据应保证数据的一致性和准确性。</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.2.8</w:t>
      </w:r>
      <w:r>
        <w:rPr>
          <w:rFonts w:cs="Times New Roman"/>
          <w:color w:val="000000" w:themeColor="text1"/>
          <w:sz w:val="21"/>
          <w:lang w:eastAsia="zh-CN"/>
          <w14:textFill>
            <w14:solidFill>
              <w14:schemeClr w14:val="tx1"/>
            </w14:solidFill>
          </w14:textFill>
        </w:rPr>
        <w:t xml:space="preserve"> 数据传输宜使用TCP/IP、FTP、UDP协议，信息数据宜采用JSON数据交换格式。</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.2.9</w:t>
      </w:r>
      <w:r>
        <w:rPr>
          <w:rFonts w:cs="Times New Roman"/>
          <w:color w:val="000000" w:themeColor="text1"/>
          <w:sz w:val="21"/>
          <w:lang w:eastAsia="zh-CN"/>
          <w14:textFill>
            <w14:solidFill>
              <w14:schemeClr w14:val="tx1"/>
            </w14:solidFill>
          </w14:textFill>
        </w:rPr>
        <w:t xml:space="preserve"> 应统一在线监测数据的格式要求、处理要求和存储方式。</w:t>
      </w:r>
    </w:p>
    <w:p>
      <w:pPr>
        <w:ind w:firstLine="420" w:firstLineChars="0"/>
        <w:rPr>
          <w:rFonts w:cs="Times New Roman"/>
          <w:color w:val="000000" w:themeColor="text1"/>
          <w:sz w:val="21"/>
          <w:lang w:eastAsia="zh-CN"/>
          <w14:textFill>
            <w14:solidFill>
              <w14:schemeClr w14:val="tx1"/>
            </w14:solidFill>
          </w14:textFill>
        </w:rPr>
      </w:pPr>
      <w:bookmarkStart w:id="242" w:name="_Toc1588"/>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.2.10 </w:t>
      </w:r>
      <w:r>
        <w:rPr>
          <w:rFonts w:cs="Times New Roman"/>
          <w:color w:val="000000" w:themeColor="text1"/>
          <w:sz w:val="21"/>
          <w:lang w:eastAsia="zh-CN"/>
          <w14:textFill>
            <w14:solidFill>
              <w14:schemeClr w14:val="tx1"/>
            </w14:solidFill>
          </w14:textFill>
        </w:rPr>
        <w:t>在线监测数据库应符合下列规定：</w:t>
      </w:r>
      <w:bookmarkEnd w:id="242"/>
    </w:p>
    <w:p>
      <w:pPr>
        <w:ind w:left="420" w:firstLine="422"/>
        <w:rPr>
          <w:rFonts w:cs="Times New Roman"/>
          <w:color w:val="000000" w:themeColor="text1"/>
          <w:sz w:val="21"/>
          <w:lang w:eastAsia="zh-CN"/>
          <w14:textFill>
            <w14:solidFill>
              <w14:schemeClr w14:val="tx1"/>
            </w14:solidFill>
          </w14:textFill>
        </w:rPr>
      </w:pPr>
      <w:bookmarkStart w:id="243" w:name="_Toc8139"/>
      <w:bookmarkStart w:id="244" w:name="_Toc15904"/>
      <w:bookmarkStart w:id="245" w:name="_Toc15124"/>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存储容量应满足存储和可扩展的要求；</w:t>
      </w:r>
      <w:bookmarkEnd w:id="243"/>
      <w:bookmarkEnd w:id="244"/>
      <w:bookmarkEnd w:id="245"/>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应具有安全高效的存储和备份能力，宜建立异地容灾存储备份机制；</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3 </w:t>
      </w:r>
      <w:r>
        <w:rPr>
          <w:rFonts w:cs="Times New Roman"/>
          <w:color w:val="000000" w:themeColor="text1"/>
          <w:sz w:val="21"/>
          <w:lang w:eastAsia="zh-CN"/>
          <w14:textFill>
            <w14:solidFill>
              <w14:schemeClr w14:val="tx1"/>
            </w14:solidFill>
          </w14:textFill>
        </w:rPr>
        <w:t>应满足监测数据存储、删除、查询、展示的要求，不得擅自修改传感器传入数据；</w:t>
      </w:r>
    </w:p>
    <w:p>
      <w:pPr>
        <w:ind w:left="420" w:firstLine="422"/>
        <w:rPr>
          <w:rFonts w:cs="Times New Roman"/>
          <w:color w:val="000000" w:themeColor="text1"/>
          <w:sz w:val="21"/>
          <w:lang w:eastAsia="zh-CN"/>
          <w14:textFill>
            <w14:solidFill>
              <w14:schemeClr w14:val="tx1"/>
            </w14:solidFill>
          </w14:textFill>
        </w:rPr>
      </w:pPr>
      <w:bookmarkStart w:id="246" w:name="_Toc28064"/>
      <w:bookmarkStart w:id="247" w:name="_Toc27005"/>
      <w:bookmarkStart w:id="248" w:name="_Toc342"/>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数据修改时，应能产生对应的日志文件；</w:t>
      </w:r>
      <w:bookmarkEnd w:id="246"/>
      <w:bookmarkEnd w:id="247"/>
      <w:bookmarkEnd w:id="248"/>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应具备权限赋予功能，并应满足不同用户的需求和数据的完整性；</w:t>
      </w:r>
    </w:p>
    <w:p>
      <w:pPr>
        <w:ind w:left="420" w:firstLine="422"/>
        <w:rPr>
          <w:rFonts w:cs="Times New Roman"/>
          <w:color w:val="000000" w:themeColor="text1"/>
          <w:sz w:val="21"/>
          <w:lang w:eastAsia="zh-CN"/>
          <w14:textFill>
            <w14:solidFill>
              <w14:schemeClr w14:val="tx1"/>
            </w14:solidFill>
          </w14:textFill>
        </w:rPr>
      </w:pPr>
      <w:bookmarkStart w:id="249" w:name="_Toc9586"/>
      <w:bookmarkStart w:id="250" w:name="_Toc1894"/>
      <w:bookmarkStart w:id="251" w:name="_Toc14214"/>
      <w:r>
        <w:rPr>
          <w:rFonts w:cs="Times New Roman"/>
          <w:b/>
          <w:bCs/>
          <w:color w:val="000000" w:themeColor="text1"/>
          <w:sz w:val="21"/>
          <w:lang w:eastAsia="zh-CN"/>
          <w14:textFill>
            <w14:solidFill>
              <w14:schemeClr w14:val="tx1"/>
            </w14:solidFill>
          </w14:textFill>
        </w:rPr>
        <w:t xml:space="preserve">6 </w:t>
      </w:r>
      <w:r>
        <w:rPr>
          <w:rFonts w:cs="Times New Roman"/>
          <w:color w:val="000000" w:themeColor="text1"/>
          <w:sz w:val="21"/>
          <w:lang w:eastAsia="zh-CN"/>
          <w14:textFill>
            <w14:solidFill>
              <w14:schemeClr w14:val="tx1"/>
            </w14:solidFill>
          </w14:textFill>
        </w:rPr>
        <w:t>在线监测数据库中对于不同实体应设置对应的编码。</w:t>
      </w:r>
      <w:bookmarkEnd w:id="249"/>
      <w:bookmarkEnd w:id="250"/>
      <w:bookmarkEnd w:id="251"/>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.2.11</w:t>
      </w:r>
      <w:r>
        <w:rPr>
          <w:rFonts w:cs="Times New Roman"/>
          <w:color w:val="000000" w:themeColor="text1"/>
          <w:sz w:val="21"/>
          <w:lang w:eastAsia="zh-CN"/>
          <w14:textFill>
            <w14:solidFill>
              <w14:schemeClr w14:val="tx1"/>
            </w14:solidFill>
          </w14:textFill>
        </w:rPr>
        <w:t xml:space="preserve"> 在线监测数据库应根据数据使用权限提供信息查询接口，并应长期保存监测数据，视频数据应大于90 d，其他数据应大于10 a。</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.2.12 </w:t>
      </w:r>
      <w:r>
        <w:rPr>
          <w:rFonts w:cs="Times New Roman"/>
          <w:color w:val="000000" w:themeColor="text1"/>
          <w:sz w:val="21"/>
          <w:lang w:eastAsia="zh-CN"/>
          <w14:textFill>
            <w14:solidFill>
              <w14:schemeClr w14:val="tx1"/>
            </w14:solidFill>
          </w14:textFill>
        </w:rPr>
        <w:t>应赋予感知层设备相应编号，并应能同步显示设备的状态参数。</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.2.13 </w:t>
      </w:r>
      <w:r>
        <w:rPr>
          <w:rFonts w:cs="Times New Roman"/>
          <w:color w:val="000000" w:themeColor="text1"/>
          <w:sz w:val="21"/>
          <w:lang w:eastAsia="zh-CN"/>
          <w14:textFill>
            <w14:solidFill>
              <w14:schemeClr w14:val="tx1"/>
            </w14:solidFill>
          </w14:textFill>
        </w:rPr>
        <w:t>在数据应用前应开展数据质量分析评价，并应符合下列规定：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应建立数据质量审核机制，保障数据质量；</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数据应具有完整性、规范性、准确性、一致性、时效性； </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3 </w:t>
      </w:r>
      <w:r>
        <w:rPr>
          <w:rFonts w:cs="Times New Roman"/>
          <w:color w:val="000000" w:themeColor="text1"/>
          <w:sz w:val="21"/>
          <w:lang w:eastAsia="zh-CN"/>
          <w14:textFill>
            <w14:solidFill>
              <w14:schemeClr w14:val="tx1"/>
            </w14:solidFill>
          </w14:textFill>
        </w:rPr>
        <w:t>对存在数据质量问题的监测点位，应及时进行现场核实和整改。</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.2.14 </w:t>
      </w:r>
      <w:r>
        <w:rPr>
          <w:rFonts w:cs="Times New Roman"/>
          <w:color w:val="000000" w:themeColor="text1"/>
          <w:sz w:val="21"/>
          <w:lang w:eastAsia="zh-CN"/>
          <w14:textFill>
            <w14:solidFill>
              <w14:schemeClr w14:val="tx1"/>
            </w14:solidFill>
          </w14:textFill>
        </w:rPr>
        <w:t>应用层应包含远程监控模块、施工预警模块和用户端模块，并应结合工程数字化需求进行针对性设置。</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.2.15</w:t>
      </w:r>
      <w:r>
        <w:rPr>
          <w:rFonts w:cs="Times New Roman"/>
          <w:color w:val="000000" w:themeColor="text1"/>
          <w:sz w:val="21"/>
          <w:lang w:eastAsia="zh-CN"/>
          <w14:textFill>
            <w14:solidFill>
              <w14:schemeClr w14:val="tx1"/>
            </w14:solidFill>
          </w14:textFill>
        </w:rPr>
        <w:t xml:space="preserve"> 远程监控模块宜采用多媒体设备展现信息系统的总体布局和各系统界面，并应符合下列规定：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应支持数据接入、数据存储和数据分析的各项功能，并应具有良好的适用性和兼容性；</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应具备查询功能；</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应具备时钟自动校准功能；</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应能呈现监测点位分布图、监测设备状态图、监测数据标记图、预警报警图等；</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应具有监测设备、监测点位、预警报警的功能，应支持设备配置信息的远程同步；</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 xml:space="preserve"> 应支持不同监测设备、不同时间段监测数据的对比与统计分析，对比结果应通过曲线形式展示；</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7</w:t>
      </w:r>
      <w:r>
        <w:rPr>
          <w:rFonts w:cs="Times New Roman"/>
          <w:color w:val="000000" w:themeColor="text1"/>
          <w:sz w:val="21"/>
          <w:lang w:eastAsia="zh-CN"/>
          <w14:textFill>
            <w14:solidFill>
              <w14:schemeClr w14:val="tx1"/>
            </w14:solidFill>
          </w14:textFill>
        </w:rPr>
        <w:t xml:space="preserve"> 应采取网络信息安全防护措施；</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8 </w:t>
      </w:r>
      <w:r>
        <w:rPr>
          <w:rFonts w:cs="Times New Roman"/>
          <w:color w:val="000000" w:themeColor="text1"/>
          <w:sz w:val="21"/>
          <w:lang w:eastAsia="zh-CN"/>
          <w14:textFill>
            <w14:solidFill>
              <w14:schemeClr w14:val="tx1"/>
            </w14:solidFill>
          </w14:textFill>
        </w:rPr>
        <w:t>应通过远程终端单元（RTU）实现远程监控。</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.2.16</w:t>
      </w:r>
      <w:r>
        <w:rPr>
          <w:rFonts w:cs="Times New Roman"/>
          <w:color w:val="000000" w:themeColor="text1"/>
          <w:sz w:val="21"/>
          <w:lang w:eastAsia="zh-CN"/>
          <w14:textFill>
            <w14:solidFill>
              <w14:schemeClr w14:val="tx1"/>
            </w14:solidFill>
          </w14:textFill>
        </w:rPr>
        <w:t xml:space="preserve"> 施工预警模块应能根据用户权限通过多种方式及时给相应的用户发布预警报警信息，并应具有下列功能：</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空气、土壤、温度、湿度等环境信息预警；</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无机污染物、有机污染物、辐射、有毒气体等危险信息的预警；</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根据现场设定的危险信息预警值，具备实时预警功能；</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监测漏水、漏电、短时间内反复重启及其他非正常工作状态等故障指标；</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监测固化温度、固化时间、施工拉力和压力等运行状态基本指标。</w:t>
      </w:r>
    </w:p>
    <w:p>
      <w:pPr>
        <w:ind w:firstLine="420" w:firstLineChars="0"/>
        <w:rPr>
          <w:rFonts w:cs="Times New Roman"/>
          <w:color w:val="000000" w:themeColor="text1"/>
          <w:sz w:val="21"/>
          <w:lang w:eastAsia="zh-CN"/>
          <w14:textFill>
            <w14:solidFill>
              <w14:schemeClr w14:val="tx1"/>
            </w14:solidFill>
          </w14:textFill>
        </w:rPr>
      </w:pPr>
      <w:bookmarkStart w:id="252" w:name="_Toc3233"/>
      <w:bookmarkStart w:id="253" w:name="_Toc26908"/>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.2.17</w:t>
      </w:r>
      <w:r>
        <w:rPr>
          <w:rFonts w:cs="Times New Roman"/>
          <w:color w:val="000000" w:themeColor="text1"/>
          <w:sz w:val="21"/>
          <w:lang w:eastAsia="zh-CN"/>
          <w14:textFill>
            <w14:solidFill>
              <w14:schemeClr w14:val="tx1"/>
            </w14:solidFill>
          </w14:textFill>
        </w:rPr>
        <w:t xml:space="preserve"> 用户端模块应满足下列要求：</w:t>
      </w:r>
      <w:bookmarkEnd w:id="252"/>
      <w:bookmarkEnd w:id="253"/>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可视化操作应对导入平台的模型进行浏览、剖切、漫游、属性查看、测量及批注等基础三维可视化操作；</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数据集成应分类设置模型属性，应具备图档数据不同维度的查询与统计的功能；</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流程管理应具备定制工作流程，标准化管理的功能；应具备实时追踪流程、在线沟通和工作协同的功能；</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移动端APP应具备信息采集录入、快速流程处理、图档查询、问题追踪、协同沟通等功能。</w:t>
      </w:r>
    </w:p>
    <w:p>
      <w:pPr>
        <w:pStyle w:val="3"/>
        <w:ind w:firstLine="560"/>
      </w:pPr>
      <w:bookmarkStart w:id="254" w:name="_Toc196915243"/>
      <w:r>
        <w:rPr>
          <w:rFonts w:hint="eastAsia"/>
        </w:rPr>
        <w:t>9</w:t>
      </w:r>
      <w:r>
        <w:t>.3 在线</w:t>
      </w:r>
      <w:bookmarkStart w:id="255" w:name="_Hlk179790940"/>
      <w:r>
        <w:t>监测布点</w:t>
      </w:r>
      <w:bookmarkEnd w:id="254"/>
      <w:bookmarkEnd w:id="255"/>
    </w:p>
    <w:p>
      <w:pPr>
        <w:ind w:firstLine="420" w:firstLineChars="0"/>
        <w:rPr>
          <w:rFonts w:cs="Times New Roman"/>
          <w:color w:val="000000" w:themeColor="text1"/>
          <w:sz w:val="21"/>
          <w:lang w:eastAsia="zh-CN"/>
          <w14:textFill>
            <w14:solidFill>
              <w14:schemeClr w14:val="tx1"/>
            </w14:solidFill>
          </w14:textFill>
        </w:rPr>
      </w:pPr>
      <w:bookmarkStart w:id="256" w:name="_Toc6495"/>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.3.1</w:t>
      </w:r>
      <w:r>
        <w:rPr>
          <w:rFonts w:cs="Times New Roman"/>
          <w:color w:val="000000" w:themeColor="text1"/>
          <w:sz w:val="21"/>
          <w:lang w:eastAsia="zh-CN"/>
          <w14:textFill>
            <w14:solidFill>
              <w14:schemeClr w14:val="tx1"/>
            </w14:solidFill>
          </w14:textFill>
        </w:rPr>
        <w:t xml:space="preserve"> 监测对象应包括材料、设备和施工。</w:t>
      </w:r>
      <w:bookmarkEnd w:id="256"/>
    </w:p>
    <w:p>
      <w:pPr>
        <w:ind w:firstLine="420" w:firstLineChars="0"/>
        <w:rPr>
          <w:rStyle w:val="20"/>
          <w:rFonts w:cs="Times New Roman"/>
          <w:color w:val="000000" w:themeColor="text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.3.2</w:t>
      </w:r>
      <w:r>
        <w:rPr>
          <w:rFonts w:cs="Times New Roman"/>
          <w:color w:val="000000" w:themeColor="text1"/>
          <w:sz w:val="21"/>
          <w:lang w:eastAsia="zh-CN"/>
          <w14:textFill>
            <w14:solidFill>
              <w14:schemeClr w14:val="tx1"/>
            </w14:solidFill>
          </w14:textFill>
        </w:rPr>
        <w:t xml:space="preserve"> 在线监测布点应根据监测区域的现状和实际需求布设，做到全面、均匀、有效。</w:t>
      </w:r>
    </w:p>
    <w:p>
      <w:pPr>
        <w:ind w:firstLine="420" w:firstLineChars="0"/>
        <w:rPr>
          <w:rFonts w:cs="Times New Roman"/>
          <w:color w:val="000000" w:themeColor="text1"/>
          <w:sz w:val="21"/>
          <w:lang w:eastAsia="zh-CN"/>
          <w14:textFill>
            <w14:solidFill>
              <w14:schemeClr w14:val="tx1"/>
            </w14:solidFill>
          </w14:textFill>
        </w:rPr>
      </w:pPr>
      <w:bookmarkStart w:id="257" w:name="_Toc24119"/>
      <w:bookmarkStart w:id="258" w:name="_Toc27347"/>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.3.3</w:t>
      </w:r>
      <w:r>
        <w:rPr>
          <w:rFonts w:cs="Times New Roman"/>
          <w:color w:val="000000" w:themeColor="text1"/>
          <w:sz w:val="21"/>
          <w:lang w:eastAsia="zh-CN"/>
          <w14:textFill>
            <w14:solidFill>
              <w14:schemeClr w14:val="tx1"/>
            </w14:solidFill>
          </w14:textFill>
        </w:rPr>
        <w:t xml:space="preserve"> 各类监测指标的数据采集时间间隔应符合下列规定：</w:t>
      </w:r>
      <w:bookmarkEnd w:id="257"/>
      <w:bookmarkEnd w:id="258"/>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视频监测设备和水量监测设备的采集数据间隔宜设定为1min</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5 min；</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气体监测设备的采集数据间隔宜设定为5 min</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10 min。</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.3.4 </w:t>
      </w:r>
      <w:r>
        <w:rPr>
          <w:rFonts w:cs="Times New Roman"/>
          <w:color w:val="000000" w:themeColor="text1"/>
          <w:sz w:val="21"/>
          <w:lang w:eastAsia="zh-CN"/>
          <w14:textFill>
            <w14:solidFill>
              <w14:schemeClr w14:val="tx1"/>
            </w14:solidFill>
          </w14:textFill>
        </w:rPr>
        <w:t>最大通讯时间间隔不宜超过60 min。</w:t>
      </w:r>
    </w:p>
    <w:p>
      <w:pPr>
        <w:ind w:firstLine="420" w:firstLineChars="0"/>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.3.5 </w:t>
      </w:r>
      <w:r>
        <w:rPr>
          <w:rFonts w:cs="Times New Roman"/>
          <w:color w:val="000000" w:themeColor="text1"/>
          <w:sz w:val="21"/>
          <w:lang w:eastAsia="zh-CN"/>
          <w14:textFill>
            <w14:solidFill>
              <w14:schemeClr w14:val="tx1"/>
            </w14:solidFill>
          </w14:textFill>
        </w:rPr>
        <w:t>传感器应统一编码格式，并应具备离线存储功能。</w:t>
      </w:r>
    </w:p>
    <w:p>
      <w:pPr>
        <w:ind w:firstLine="420" w:firstLineChars="0"/>
        <w:rPr>
          <w:rFonts w:cs="Times New Roman"/>
          <w:b/>
          <w:bCs/>
          <w:color w:val="000000" w:themeColor="text1"/>
          <w:sz w:val="21"/>
          <w:lang w:eastAsia="zh-CN"/>
          <w14:textFill>
            <w14:solidFill>
              <w14:schemeClr w14:val="tx1"/>
            </w14:solidFill>
          </w14:textFill>
        </w:rPr>
      </w:pPr>
      <w:bookmarkStart w:id="259" w:name="_Toc8099"/>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.3.6 </w:t>
      </w:r>
      <w:r>
        <w:rPr>
          <w:rFonts w:cs="Times New Roman"/>
          <w:color w:val="000000" w:themeColor="text1"/>
          <w:sz w:val="21"/>
          <w:lang w:eastAsia="zh-CN"/>
          <w14:textFill>
            <w14:solidFill>
              <w14:schemeClr w14:val="tx1"/>
            </w14:solidFill>
          </w14:textFill>
        </w:rPr>
        <w:t>传感器宜采用静态和动态组合的方式。</w:t>
      </w:r>
      <w:bookmarkEnd w:id="259"/>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.3.7 </w:t>
      </w:r>
      <w:r>
        <w:rPr>
          <w:rFonts w:cs="Times New Roman"/>
          <w:color w:val="000000" w:themeColor="text1"/>
          <w:sz w:val="21"/>
          <w:lang w:eastAsia="zh-CN"/>
          <w14:textFill>
            <w14:solidFill>
              <w14:schemeClr w14:val="tx1"/>
            </w14:solidFill>
          </w14:textFill>
        </w:rPr>
        <w:t>含有多个量程的传感器，应具有自动转换量程功能，并应显示最终监测结果。</w:t>
      </w:r>
    </w:p>
    <w:p>
      <w:pPr>
        <w:ind w:firstLine="420" w:firstLineChars="0"/>
        <w:rPr>
          <w:rFonts w:cs="Times New Roman"/>
          <w:color w:val="000000" w:themeColor="text1"/>
          <w:sz w:val="21"/>
          <w:lang w:eastAsia="zh-CN"/>
          <w14:textFill>
            <w14:solidFill>
              <w14:schemeClr w14:val="tx1"/>
            </w14:solidFill>
          </w14:textFill>
        </w:rPr>
      </w:pPr>
      <w:bookmarkStart w:id="260" w:name="_Toc7048"/>
      <w:bookmarkStart w:id="261" w:name="_Toc31565"/>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.3.8 </w:t>
      </w:r>
      <w:r>
        <w:rPr>
          <w:rFonts w:cs="Times New Roman"/>
          <w:color w:val="000000" w:themeColor="text1"/>
          <w:sz w:val="21"/>
          <w:lang w:eastAsia="zh-CN"/>
          <w14:textFill>
            <w14:solidFill>
              <w14:schemeClr w14:val="tx1"/>
            </w14:solidFill>
          </w14:textFill>
        </w:rPr>
        <w:t>修复管段的监测应包括下列监测对象：</w:t>
      </w:r>
      <w:bookmarkEnd w:id="260"/>
      <w:bookmarkEnd w:id="261"/>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管道埋深及位置、水位，管道缺陷图像，管道中支管位置和图像；</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管道及检查井内的氧气、甲烷、一氧化碳、硫化氢、二氧化碳和氨气等气体浓度；</w:t>
      </w:r>
    </w:p>
    <w:p>
      <w:pPr>
        <w:ind w:left="420" w:firstLine="422"/>
        <w:rPr>
          <w:rFonts w:cs="Times New Roman"/>
          <w:color w:val="000000" w:themeColor="text1"/>
          <w:sz w:val="21"/>
          <w:lang w:eastAsia="zh-CN"/>
          <w14:textFill>
            <w14:solidFill>
              <w14:schemeClr w14:val="tx1"/>
            </w14:solidFill>
          </w14:textFill>
        </w:rPr>
      </w:pPr>
      <w:bookmarkStart w:id="262" w:name="_Toc20923"/>
      <w:bookmarkStart w:id="263" w:name="_Toc26533"/>
      <w:bookmarkStart w:id="264" w:name="_Toc2211"/>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导流和引流流量、机械通风流量。</w:t>
      </w:r>
      <w:bookmarkEnd w:id="262"/>
      <w:bookmarkEnd w:id="263"/>
      <w:bookmarkEnd w:id="264"/>
    </w:p>
    <w:p>
      <w:pPr>
        <w:ind w:firstLine="420" w:firstLineChars="0"/>
        <w:rPr>
          <w:rFonts w:cs="Times New Roman"/>
          <w:color w:val="000000" w:themeColor="text1"/>
          <w:sz w:val="21"/>
          <w:lang w:eastAsia="zh-CN"/>
          <w14:textFill>
            <w14:solidFill>
              <w14:schemeClr w14:val="tx1"/>
            </w14:solidFill>
          </w14:textFill>
        </w:rPr>
      </w:pPr>
      <w:bookmarkStart w:id="265" w:name="_Toc28576"/>
      <w:bookmarkStart w:id="266" w:name="_Toc2203"/>
      <w:bookmarkStart w:id="267" w:name="_Hlk119165711"/>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.3.9 </w:t>
      </w:r>
      <w:r>
        <w:rPr>
          <w:rFonts w:cs="Times New Roman"/>
          <w:color w:val="000000" w:themeColor="text1"/>
          <w:sz w:val="21"/>
          <w:lang w:eastAsia="zh-CN"/>
          <w14:textFill>
            <w14:solidFill>
              <w14:schemeClr w14:val="tx1"/>
            </w14:solidFill>
          </w14:textFill>
        </w:rPr>
        <w:t>修复管段传感器布设应符合下列规定：</w:t>
      </w:r>
      <w:bookmarkEnd w:id="265"/>
      <w:bookmarkEnd w:id="266"/>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在修复管段的上游点位应设置液位和流量传感器，水量监测应符合现行行业标准《城镇排水水质水量在线监测系统技术要求》CJ/T 252</w:t>
      </w:r>
      <w:r>
        <w:rPr>
          <w:rFonts w:hint="eastAsia" w:cs="Times New Roman"/>
          <w:color w:val="000000" w:themeColor="text1"/>
          <w:sz w:val="21"/>
          <w:lang w:eastAsia="zh-CN"/>
          <w14:textFill>
            <w14:solidFill>
              <w14:schemeClr w14:val="tx1"/>
            </w14:solidFill>
          </w14:textFill>
        </w:rPr>
        <w:t>-2011</w:t>
      </w:r>
      <w:r>
        <w:rPr>
          <w:rFonts w:cs="Times New Roman"/>
          <w:color w:val="000000" w:themeColor="text1"/>
          <w:sz w:val="21"/>
          <w:lang w:eastAsia="zh-CN"/>
          <w14:textFill>
            <w14:solidFill>
              <w14:schemeClr w14:val="tx1"/>
            </w14:solidFill>
          </w14:textFill>
        </w:rPr>
        <w:t>的有关规定；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在修复管段上下游堵水气囊上应设置压力传感器，并应能持续记录气囊压力；</w:t>
      </w:r>
    </w:p>
    <w:p>
      <w:pPr>
        <w:ind w:left="420" w:firstLine="422"/>
        <w:rPr>
          <w:rFonts w:cs="Times New Roman"/>
          <w:color w:val="000000" w:themeColor="text1"/>
          <w:sz w:val="21"/>
          <w:lang w:eastAsia="zh-CN"/>
          <w14:textFill>
            <w14:solidFill>
              <w14:schemeClr w14:val="tx1"/>
            </w14:solidFill>
          </w14:textFill>
        </w:rPr>
      </w:pPr>
      <w:bookmarkStart w:id="268" w:name="_Toc16909"/>
      <w:bookmarkStart w:id="269" w:name="_Toc29607"/>
      <w:bookmarkStart w:id="270" w:name="_Toc22146"/>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施工检查井应布设有害气体传感器。</w:t>
      </w:r>
      <w:bookmarkEnd w:id="268"/>
      <w:bookmarkEnd w:id="269"/>
      <w:bookmarkEnd w:id="270"/>
    </w:p>
    <w:bookmarkEnd w:id="267"/>
    <w:p>
      <w:pPr>
        <w:pStyle w:val="3"/>
        <w:ind w:firstLine="560"/>
      </w:pPr>
      <w:bookmarkStart w:id="271" w:name="_Toc196915244"/>
      <w:r>
        <w:rPr>
          <w:rFonts w:hint="eastAsia"/>
        </w:rPr>
        <w:t>9</w:t>
      </w:r>
      <w:r>
        <w:t>.4 在线</w:t>
      </w:r>
      <w:bookmarkStart w:id="272" w:name="_Hlk179790950"/>
      <w:r>
        <w:t>监测设备</w:t>
      </w:r>
      <w:bookmarkEnd w:id="271"/>
      <w:bookmarkEnd w:id="272"/>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.4.1</w:t>
      </w:r>
      <w:r>
        <w:rPr>
          <w:rFonts w:cs="Times New Roman"/>
          <w:color w:val="000000" w:themeColor="text1"/>
          <w:sz w:val="21"/>
          <w:lang w:eastAsia="zh-CN"/>
          <w14:textFill>
            <w14:solidFill>
              <w14:schemeClr w14:val="tx1"/>
            </w14:solidFill>
          </w14:textFill>
        </w:rPr>
        <w:t xml:space="preserve"> 在线监测设备应包括视频监测、气体监测、流量监测、温湿度监测、位置监测等设备。</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在线监测设备应满足材料储运和现场施工的要求，同时应满足易安装维护、可靠性高、兼容性好等要求，并应具备远传功能。</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.4.3</w:t>
      </w:r>
      <w:r>
        <w:rPr>
          <w:rFonts w:cs="Times New Roman"/>
          <w:color w:val="000000" w:themeColor="text1"/>
          <w:sz w:val="21"/>
          <w:lang w:eastAsia="zh-CN"/>
          <w14:textFill>
            <w14:solidFill>
              <w14:schemeClr w14:val="tx1"/>
            </w14:solidFill>
          </w14:textFill>
        </w:rPr>
        <w:t xml:space="preserve"> 在线监测设备的防护等级应符合现行国家标准</w:t>
      </w:r>
      <w:bookmarkStart w:id="273" w:name="_Hlk196920342"/>
      <w:r>
        <w:rPr>
          <w:rFonts w:cs="Times New Roman"/>
          <w:color w:val="000000" w:themeColor="text1"/>
          <w:sz w:val="21"/>
          <w:lang w:eastAsia="zh-CN"/>
          <w14:textFill>
            <w14:solidFill>
              <w14:schemeClr w14:val="tx1"/>
            </w14:solidFill>
          </w14:textFill>
        </w:rPr>
        <w:t>《外壳防护等级（IP代码）》GB/T 4208</w:t>
      </w:r>
      <w:bookmarkEnd w:id="273"/>
      <w:r>
        <w:rPr>
          <w:rFonts w:cs="Times New Roman"/>
          <w:color w:val="000000" w:themeColor="text1"/>
          <w:sz w:val="21"/>
          <w:lang w:eastAsia="zh-CN"/>
          <w14:textFill>
            <w14:solidFill>
              <w14:schemeClr w14:val="tx1"/>
            </w14:solidFill>
          </w14:textFill>
        </w:rPr>
        <w:t>的有关规定，涉水设备防护等级应为IP68，室外安装设备的防护等级不应低于IP65。</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.4.4 </w:t>
      </w:r>
      <w:r>
        <w:rPr>
          <w:rFonts w:cs="Times New Roman"/>
          <w:color w:val="000000" w:themeColor="text1"/>
          <w:sz w:val="21"/>
          <w:lang w:eastAsia="zh-CN"/>
          <w14:textFill>
            <w14:solidFill>
              <w14:schemeClr w14:val="tx1"/>
            </w14:solidFill>
          </w14:textFill>
        </w:rPr>
        <w:t>在管道等密闭空间内，应安装防爆型在线监测设备，防爆等级应为本质安全型。</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.4.5</w:t>
      </w:r>
      <w:r>
        <w:rPr>
          <w:rFonts w:cs="Times New Roman"/>
          <w:color w:val="000000" w:themeColor="text1"/>
          <w:sz w:val="21"/>
          <w:lang w:eastAsia="zh-CN"/>
          <w14:textFill>
            <w14:solidFill>
              <w14:schemeClr w14:val="tx1"/>
            </w14:solidFill>
          </w14:textFill>
        </w:rPr>
        <w:t xml:space="preserve"> 在线监测设备供电系统应安全可靠。当无法采用外部电源供电时，密闭空间内安装的在线监测设备应采用防爆型电池供电。</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.4.6</w:t>
      </w:r>
      <w:r>
        <w:rPr>
          <w:rFonts w:cs="Times New Roman"/>
          <w:color w:val="000000" w:themeColor="text1"/>
          <w:sz w:val="21"/>
          <w:lang w:eastAsia="zh-CN"/>
          <w14:textFill>
            <w14:solidFill>
              <w14:schemeClr w14:val="tx1"/>
            </w14:solidFill>
          </w14:textFill>
        </w:rPr>
        <w:t xml:space="preserve"> 在线监测设备应具备掉电保护功能，当外部电源突然中断时，应能保证已有监测数据不丢失。</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.4.7 </w:t>
      </w:r>
      <w:r>
        <w:rPr>
          <w:rFonts w:cs="Times New Roman"/>
          <w:color w:val="000000" w:themeColor="text1"/>
          <w:sz w:val="21"/>
          <w:lang w:eastAsia="zh-CN"/>
          <w14:textFill>
            <w14:solidFill>
              <w14:schemeClr w14:val="tx1"/>
            </w14:solidFill>
          </w14:textFill>
        </w:rPr>
        <w:t>在线监测设备应保证传输通信的稳定性和可靠性，宜采用无线网络通讯方式，在易于接入有线网络的区域，可采用有线网络方式。</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.4.8</w:t>
      </w:r>
      <w:r>
        <w:rPr>
          <w:rFonts w:cs="Times New Roman"/>
          <w:color w:val="000000" w:themeColor="text1"/>
          <w:sz w:val="21"/>
          <w:lang w:eastAsia="zh-CN"/>
          <w14:textFill>
            <w14:solidFill>
              <w14:schemeClr w14:val="tx1"/>
            </w14:solidFill>
          </w14:textFill>
        </w:rPr>
        <w:t xml:space="preserve"> 在线监测设备的采集时间间隔和通讯时间间隔应满足本文件第5.1.3~5.1.4条的要求。</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.4.9 </w:t>
      </w:r>
      <w:r>
        <w:rPr>
          <w:rFonts w:cs="Times New Roman"/>
          <w:color w:val="000000" w:themeColor="text1"/>
          <w:sz w:val="21"/>
          <w:lang w:eastAsia="zh-CN"/>
          <w14:textFill>
            <w14:solidFill>
              <w14:schemeClr w14:val="tx1"/>
            </w14:solidFill>
          </w14:textFill>
        </w:rPr>
        <w:t>在线监测设备应具备自动时间校对功能和低电量报警功能。</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.4.10 </w:t>
      </w:r>
      <w:r>
        <w:rPr>
          <w:rFonts w:cs="Times New Roman"/>
          <w:color w:val="000000" w:themeColor="text1"/>
          <w:sz w:val="21"/>
          <w:lang w:eastAsia="zh-CN"/>
          <w14:textFill>
            <w14:solidFill>
              <w14:schemeClr w14:val="tx1"/>
            </w14:solidFill>
          </w14:textFill>
        </w:rPr>
        <w:t>在线监测设备应具备数据自动采集的功能。</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.4.11 </w:t>
      </w:r>
      <w:r>
        <w:rPr>
          <w:rFonts w:cs="Times New Roman"/>
          <w:color w:val="000000" w:themeColor="text1"/>
          <w:sz w:val="21"/>
          <w:lang w:eastAsia="zh-CN" w:bidi="ar"/>
          <w14:textFill>
            <w14:solidFill>
              <w14:schemeClr w14:val="tx1"/>
            </w14:solidFill>
          </w14:textFill>
        </w:rPr>
        <w:t xml:space="preserve">在线采集设备应至少具备下列通信方式之一： </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bidi="ar"/>
          <w14:textFill>
            <w14:solidFill>
              <w14:schemeClr w14:val="tx1"/>
            </w14:solidFill>
          </w14:textFill>
        </w:rPr>
        <w:t xml:space="preserve">1 </w:t>
      </w:r>
      <w:r>
        <w:rPr>
          <w:rFonts w:cs="Times New Roman"/>
          <w:color w:val="000000" w:themeColor="text1"/>
          <w:sz w:val="21"/>
          <w:lang w:eastAsia="zh-CN" w:bidi="ar"/>
          <w14:textFill>
            <w14:solidFill>
              <w14:schemeClr w14:val="tx1"/>
            </w14:solidFill>
          </w14:textFill>
        </w:rPr>
        <w:t>无线传输方式，在线采集设备应通过NB-IoT、蓝牙、4G/5G等无线方式与上位机或管理平台通信；</w:t>
      </w:r>
    </w:p>
    <w:p>
      <w:pPr>
        <w:ind w:left="420" w:firstLine="422"/>
        <w:rPr>
          <w:rFonts w:cs="Times New Roman"/>
          <w:color w:val="000000" w:themeColor="text1"/>
          <w:sz w:val="21"/>
          <w:lang w:eastAsia="zh-CN" w:bidi="ar"/>
          <w14:textFill>
            <w14:solidFill>
              <w14:schemeClr w14:val="tx1"/>
            </w14:solidFill>
          </w14:textFill>
        </w:rPr>
      </w:pPr>
      <w:r>
        <w:rPr>
          <w:rFonts w:cs="Times New Roman"/>
          <w:b/>
          <w:bCs/>
          <w:color w:val="000000" w:themeColor="text1"/>
          <w:sz w:val="21"/>
          <w:lang w:eastAsia="zh-CN" w:bidi="ar"/>
          <w14:textFill>
            <w14:solidFill>
              <w14:schemeClr w14:val="tx1"/>
            </w14:solidFill>
          </w14:textFill>
        </w:rPr>
        <w:t xml:space="preserve">2 </w:t>
      </w:r>
      <w:r>
        <w:rPr>
          <w:rFonts w:cs="Times New Roman"/>
          <w:color w:val="000000" w:themeColor="text1"/>
          <w:sz w:val="21"/>
          <w:lang w:eastAsia="zh-CN" w:bidi="ar"/>
          <w14:textFill>
            <w14:solidFill>
              <w14:schemeClr w14:val="tx1"/>
            </w14:solidFill>
          </w14:textFill>
        </w:rPr>
        <w:t>以太网方式，在线采集设备应直接通过局域网或互联网与上位机通信；</w:t>
      </w:r>
    </w:p>
    <w:p>
      <w:pPr>
        <w:ind w:left="420" w:firstLine="422"/>
        <w:rPr>
          <w:rFonts w:cs="Times New Roman"/>
          <w:color w:val="000000" w:themeColor="text1"/>
          <w:sz w:val="21"/>
          <w:lang w:eastAsia="zh-CN" w:bidi="ar"/>
          <w14:textFill>
            <w14:solidFill>
              <w14:schemeClr w14:val="tx1"/>
            </w14:solidFill>
          </w14:textFill>
        </w:rPr>
      </w:pPr>
      <w:bookmarkStart w:id="274" w:name="_Toc13819"/>
      <w:bookmarkStart w:id="275" w:name="_Toc14261"/>
      <w:bookmarkStart w:id="276" w:name="_Toc21041"/>
      <w:r>
        <w:rPr>
          <w:rFonts w:cs="Times New Roman"/>
          <w:b/>
          <w:bCs/>
          <w:color w:val="000000" w:themeColor="text1"/>
          <w:sz w:val="21"/>
          <w:lang w:eastAsia="zh-CN" w:bidi="ar"/>
          <w14:textFill>
            <w14:solidFill>
              <w14:schemeClr w14:val="tx1"/>
            </w14:solidFill>
          </w14:textFill>
        </w:rPr>
        <w:t>3</w:t>
      </w:r>
      <w:r>
        <w:rPr>
          <w:rFonts w:cs="Times New Roman"/>
          <w:color w:val="000000" w:themeColor="text1"/>
          <w:sz w:val="21"/>
          <w:lang w:eastAsia="zh-CN" w:bidi="ar"/>
          <w14:textFill>
            <w14:solidFill>
              <w14:schemeClr w14:val="tx1"/>
            </w14:solidFill>
          </w14:textFill>
        </w:rPr>
        <w:t xml:space="preserve"> 有线方式，在线采集设备应通过现场总线方式与上位机通信。</w:t>
      </w:r>
      <w:bookmarkEnd w:id="274"/>
      <w:bookmarkEnd w:id="275"/>
      <w:bookmarkEnd w:id="276"/>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bidi="ar"/>
          <w14:textFill>
            <w14:solidFill>
              <w14:schemeClr w14:val="tx1"/>
            </w14:solidFill>
          </w14:textFill>
        </w:rPr>
        <w:t>9</w:t>
      </w:r>
      <w:r>
        <w:rPr>
          <w:rFonts w:cs="Times New Roman"/>
          <w:b/>
          <w:bCs/>
          <w:color w:val="000000" w:themeColor="text1"/>
          <w:sz w:val="21"/>
          <w:lang w:eastAsia="zh-CN" w:bidi="ar"/>
          <w14:textFill>
            <w14:solidFill>
              <w14:schemeClr w14:val="tx1"/>
            </w14:solidFill>
          </w14:textFill>
        </w:rPr>
        <w:t>.4.12</w:t>
      </w:r>
      <w:r>
        <w:rPr>
          <w:rFonts w:cs="Times New Roman"/>
          <w:color w:val="000000" w:themeColor="text1"/>
          <w:sz w:val="21"/>
          <w:lang w:eastAsia="zh-CN" w:bidi="ar"/>
          <w14:textFill>
            <w14:solidFill>
              <w14:schemeClr w14:val="tx1"/>
            </w14:solidFill>
          </w14:textFill>
        </w:rPr>
        <w:t xml:space="preserve"> 在线采集数据应进行有效性审核，并应符合下列规定：</w:t>
      </w:r>
    </w:p>
    <w:p>
      <w:pPr>
        <w:ind w:left="420" w:firstLine="422"/>
        <w:rPr>
          <w:rFonts w:cs="Times New Roman"/>
          <w:color w:val="000000" w:themeColor="text1"/>
          <w:sz w:val="21"/>
          <w:lang w:eastAsia="zh-CN" w:bidi="ar"/>
          <w14:textFill>
            <w14:solidFill>
              <w14:schemeClr w14:val="tx1"/>
            </w14:solidFill>
          </w14:textFill>
        </w:rPr>
      </w:pPr>
      <w:r>
        <w:rPr>
          <w:rFonts w:cs="Times New Roman"/>
          <w:b/>
          <w:bCs/>
          <w:color w:val="000000" w:themeColor="text1"/>
          <w:sz w:val="21"/>
          <w:lang w:eastAsia="zh-CN" w:bidi="ar"/>
          <w14:textFill>
            <w14:solidFill>
              <w14:schemeClr w14:val="tx1"/>
            </w14:solidFill>
          </w14:textFill>
        </w:rPr>
        <w:t>1</w:t>
      </w:r>
      <w:r>
        <w:rPr>
          <w:rFonts w:cs="Times New Roman"/>
          <w:color w:val="000000" w:themeColor="text1"/>
          <w:sz w:val="21"/>
          <w:lang w:eastAsia="zh-CN" w:bidi="ar"/>
          <w14:textFill>
            <w14:solidFill>
              <w14:schemeClr w14:val="tx1"/>
            </w14:solidFill>
          </w14:textFill>
        </w:rPr>
        <w:t xml:space="preserve"> 在线采集设备在故障状态下、校准和维护期间采集的数据及超量程的数据应视为无效数据，并应做出标记；</w:t>
      </w:r>
    </w:p>
    <w:p>
      <w:pPr>
        <w:ind w:left="420" w:firstLine="422"/>
        <w:rPr>
          <w:rFonts w:cs="Times New Roman"/>
          <w:color w:val="000000" w:themeColor="text1"/>
          <w:sz w:val="21"/>
          <w:lang w:eastAsia="zh-CN" w:bidi="ar"/>
          <w14:textFill>
            <w14:solidFill>
              <w14:schemeClr w14:val="tx1"/>
            </w14:solidFill>
          </w14:textFill>
        </w:rPr>
      </w:pPr>
      <w:r>
        <w:rPr>
          <w:rFonts w:cs="Times New Roman"/>
          <w:b/>
          <w:bCs/>
          <w:color w:val="000000" w:themeColor="text1"/>
          <w:sz w:val="21"/>
          <w:lang w:eastAsia="zh-CN" w:bidi="ar"/>
          <w14:textFill>
            <w14:solidFill>
              <w14:schemeClr w14:val="tx1"/>
            </w14:solidFill>
          </w14:textFill>
        </w:rPr>
        <w:t xml:space="preserve">2 </w:t>
      </w:r>
      <w:r>
        <w:rPr>
          <w:rFonts w:cs="Times New Roman"/>
          <w:color w:val="000000" w:themeColor="text1"/>
          <w:sz w:val="21"/>
          <w:lang w:eastAsia="zh-CN" w:bidi="ar"/>
          <w14:textFill>
            <w14:solidFill>
              <w14:schemeClr w14:val="tx1"/>
            </w14:solidFill>
          </w14:textFill>
        </w:rPr>
        <w:t xml:space="preserve">当在线采集数据短时间内急剧上升或下降或长时间保持不变等异常情况时，应确认数据异常的原因，并应采取处置措施； </w:t>
      </w:r>
    </w:p>
    <w:p>
      <w:pPr>
        <w:ind w:left="420" w:firstLine="422"/>
        <w:rPr>
          <w:rFonts w:cs="Times New Roman"/>
          <w:color w:val="000000" w:themeColor="text1"/>
          <w:sz w:val="21"/>
          <w:lang w:eastAsia="zh-CN" w:bidi="ar"/>
          <w14:textFill>
            <w14:solidFill>
              <w14:schemeClr w14:val="tx1"/>
            </w14:solidFill>
          </w14:textFill>
        </w:rPr>
      </w:pPr>
      <w:bookmarkStart w:id="277" w:name="_Toc29826"/>
      <w:bookmarkStart w:id="278" w:name="_Toc29495"/>
      <w:bookmarkStart w:id="279" w:name="_Toc26187"/>
      <w:r>
        <w:rPr>
          <w:rFonts w:cs="Times New Roman"/>
          <w:b/>
          <w:bCs/>
          <w:color w:val="000000" w:themeColor="text1"/>
          <w:sz w:val="21"/>
          <w:lang w:eastAsia="zh-CN" w:bidi="ar"/>
          <w14:textFill>
            <w14:solidFill>
              <w14:schemeClr w14:val="tx1"/>
            </w14:solidFill>
          </w14:textFill>
        </w:rPr>
        <w:t>3</w:t>
      </w:r>
      <w:r>
        <w:rPr>
          <w:rFonts w:cs="Times New Roman"/>
          <w:color w:val="000000" w:themeColor="text1"/>
          <w:sz w:val="21"/>
          <w:lang w:eastAsia="zh-CN" w:bidi="ar"/>
          <w14:textFill>
            <w14:solidFill>
              <w14:schemeClr w14:val="tx1"/>
            </w14:solidFill>
          </w14:textFill>
        </w:rPr>
        <w:t xml:space="preserve"> 超出仪器仪表校准周期的数据应评估其数据有效性；</w:t>
      </w:r>
      <w:bookmarkEnd w:id="277"/>
      <w:bookmarkEnd w:id="278"/>
      <w:bookmarkEnd w:id="279"/>
    </w:p>
    <w:p>
      <w:pPr>
        <w:ind w:left="420" w:firstLine="422"/>
        <w:rPr>
          <w:rFonts w:cs="Times New Roman"/>
          <w:color w:val="000000" w:themeColor="text1"/>
          <w:sz w:val="21"/>
          <w:lang w:eastAsia="zh-CN" w:bidi="ar"/>
          <w14:textFill>
            <w14:solidFill>
              <w14:schemeClr w14:val="tx1"/>
            </w14:solidFill>
          </w14:textFill>
        </w:rPr>
      </w:pPr>
      <w:r>
        <w:rPr>
          <w:rFonts w:cs="Times New Roman"/>
          <w:b/>
          <w:bCs/>
          <w:color w:val="000000" w:themeColor="text1"/>
          <w:sz w:val="21"/>
          <w:lang w:eastAsia="zh-CN" w:bidi="ar"/>
          <w14:textFill>
            <w14:solidFill>
              <w14:schemeClr w14:val="tx1"/>
            </w14:solidFill>
          </w14:textFill>
        </w:rPr>
        <w:t xml:space="preserve">4 </w:t>
      </w:r>
      <w:r>
        <w:rPr>
          <w:rFonts w:cs="Times New Roman"/>
          <w:color w:val="000000" w:themeColor="text1"/>
          <w:sz w:val="21"/>
          <w:lang w:eastAsia="zh-CN" w:bidi="ar"/>
          <w14:textFill>
            <w14:solidFill>
              <w14:schemeClr w14:val="tx1"/>
            </w14:solidFill>
          </w14:textFill>
        </w:rPr>
        <w:t>当零点漂移或量程漂移超过规定范围时，应对从上次校验合格到本次校验不合格期间的采集数据进行确认，并应剔除无效数据。</w:t>
      </w:r>
    </w:p>
    <w:p>
      <w:pPr>
        <w:ind w:firstLine="420" w:firstLineChars="0"/>
        <w:rPr>
          <w:rFonts w:cs="Times New Roman"/>
          <w:color w:val="000000" w:themeColor="text1"/>
          <w:sz w:val="21"/>
          <w:lang w:eastAsia="zh-CN" w:bidi="ar"/>
          <w14:textFill>
            <w14:solidFill>
              <w14:schemeClr w14:val="tx1"/>
            </w14:solidFill>
          </w14:textFill>
        </w:rPr>
      </w:pPr>
      <w:r>
        <w:rPr>
          <w:rFonts w:hint="eastAsia" w:cs="Times New Roman"/>
          <w:b/>
          <w:bCs/>
          <w:color w:val="000000" w:themeColor="text1"/>
          <w:sz w:val="21"/>
          <w:lang w:eastAsia="zh-CN" w:bidi="ar"/>
          <w14:textFill>
            <w14:solidFill>
              <w14:schemeClr w14:val="tx1"/>
            </w14:solidFill>
          </w14:textFill>
        </w:rPr>
        <w:t>9</w:t>
      </w:r>
      <w:r>
        <w:rPr>
          <w:rFonts w:cs="Times New Roman"/>
          <w:b/>
          <w:bCs/>
          <w:color w:val="000000" w:themeColor="text1"/>
          <w:sz w:val="21"/>
          <w:lang w:eastAsia="zh-CN" w:bidi="ar"/>
          <w14:textFill>
            <w14:solidFill>
              <w14:schemeClr w14:val="tx1"/>
            </w14:solidFill>
          </w14:textFill>
        </w:rPr>
        <w:t>.4.13</w:t>
      </w:r>
      <w:r>
        <w:rPr>
          <w:rFonts w:cs="Times New Roman"/>
          <w:color w:val="000000" w:themeColor="text1"/>
          <w:sz w:val="21"/>
          <w:lang w:eastAsia="zh-CN" w:bidi="ar"/>
          <w14:textFill>
            <w14:solidFill>
              <w14:schemeClr w14:val="tx1"/>
            </w14:solidFill>
          </w14:textFill>
        </w:rPr>
        <w:t xml:space="preserve"> 在线采集设备的安装应符合现行国家标准</w:t>
      </w:r>
      <w:bookmarkStart w:id="280" w:name="_Hlk196920606"/>
      <w:r>
        <w:rPr>
          <w:rFonts w:cs="Times New Roman"/>
          <w:color w:val="000000" w:themeColor="text1"/>
          <w:sz w:val="21"/>
          <w:lang w:eastAsia="zh-CN" w:bidi="ar"/>
          <w14:textFill>
            <w14:solidFill>
              <w14:schemeClr w14:val="tx1"/>
            </w14:solidFill>
          </w14:textFill>
        </w:rPr>
        <w:t>《自动化仪表工程施工及验收规范》GB 50093</w:t>
      </w:r>
      <w:bookmarkEnd w:id="280"/>
      <w:r>
        <w:rPr>
          <w:rFonts w:cs="Times New Roman"/>
          <w:color w:val="000000" w:themeColor="text1"/>
          <w:sz w:val="21"/>
          <w:lang w:eastAsia="zh-CN" w:bidi="ar"/>
          <w14:textFill>
            <w14:solidFill>
              <w14:schemeClr w14:val="tx1"/>
            </w14:solidFill>
          </w14:textFill>
        </w:rPr>
        <w:t>的规定，并应符合下列要求：</w:t>
      </w:r>
    </w:p>
    <w:p>
      <w:pPr>
        <w:ind w:left="420" w:firstLine="422"/>
        <w:rPr>
          <w:rFonts w:cs="Times New Roman"/>
          <w:color w:val="000000" w:themeColor="text1"/>
          <w:sz w:val="21"/>
          <w:lang w:eastAsia="zh-CN" w:bidi="ar"/>
          <w14:textFill>
            <w14:solidFill>
              <w14:schemeClr w14:val="tx1"/>
            </w14:solidFill>
          </w14:textFill>
        </w:rPr>
      </w:pPr>
      <w:bookmarkStart w:id="281" w:name="_Toc17123"/>
      <w:bookmarkStart w:id="282" w:name="_Toc17955"/>
      <w:bookmarkStart w:id="283" w:name="_Toc29860"/>
      <w:r>
        <w:rPr>
          <w:rFonts w:cs="Times New Roman"/>
          <w:b/>
          <w:bCs/>
          <w:color w:val="000000" w:themeColor="text1"/>
          <w:sz w:val="21"/>
          <w:lang w:eastAsia="zh-CN" w:bidi="ar"/>
          <w14:textFill>
            <w14:solidFill>
              <w14:schemeClr w14:val="tx1"/>
            </w14:solidFill>
          </w14:textFill>
        </w:rPr>
        <w:t>1</w:t>
      </w:r>
      <w:r>
        <w:rPr>
          <w:rFonts w:cs="Times New Roman"/>
          <w:color w:val="000000" w:themeColor="text1"/>
          <w:sz w:val="21"/>
          <w:lang w:eastAsia="zh-CN" w:bidi="ar"/>
          <w14:textFill>
            <w14:solidFill>
              <w14:schemeClr w14:val="tx1"/>
            </w14:solidFill>
          </w14:textFill>
        </w:rPr>
        <w:t xml:space="preserve"> 安装环境应符合额定工作条件的要求；</w:t>
      </w:r>
      <w:bookmarkEnd w:id="281"/>
      <w:bookmarkEnd w:id="282"/>
      <w:bookmarkEnd w:id="283"/>
    </w:p>
    <w:p>
      <w:pPr>
        <w:ind w:left="420" w:firstLine="422"/>
        <w:rPr>
          <w:rFonts w:cs="Times New Roman"/>
          <w:color w:val="000000" w:themeColor="text1"/>
          <w:sz w:val="21"/>
          <w:lang w:eastAsia="zh-CN" w:bidi="ar"/>
          <w14:textFill>
            <w14:solidFill>
              <w14:schemeClr w14:val="tx1"/>
            </w14:solidFill>
          </w14:textFill>
        </w:rPr>
      </w:pPr>
      <w:r>
        <w:rPr>
          <w:rFonts w:cs="Times New Roman"/>
          <w:b/>
          <w:bCs/>
          <w:color w:val="000000" w:themeColor="text1"/>
          <w:sz w:val="21"/>
          <w:lang w:eastAsia="zh-CN" w:bidi="ar"/>
          <w14:textFill>
            <w14:solidFill>
              <w14:schemeClr w14:val="tx1"/>
            </w14:solidFill>
          </w14:textFill>
        </w:rPr>
        <w:t>2</w:t>
      </w:r>
      <w:r>
        <w:rPr>
          <w:rFonts w:cs="Times New Roman"/>
          <w:color w:val="000000" w:themeColor="text1"/>
          <w:sz w:val="21"/>
          <w:lang w:eastAsia="zh-CN" w:bidi="ar"/>
          <w14:textFill>
            <w14:solidFill>
              <w14:schemeClr w14:val="tx1"/>
            </w14:solidFill>
          </w14:textFill>
        </w:rPr>
        <w:t xml:space="preserve"> 安装位置应避开温度高、磁场干扰强、腐蚀性强的环境，应选择易于安装、校验、巡检与维护的位置，室外安装时宜使用不锈钢防水盒并配备防雨棚；</w:t>
      </w:r>
    </w:p>
    <w:p>
      <w:pPr>
        <w:ind w:left="420" w:firstLine="422"/>
        <w:rPr>
          <w:rFonts w:cs="Times New Roman"/>
          <w:color w:val="000000" w:themeColor="text1"/>
          <w:sz w:val="21"/>
          <w:lang w:eastAsia="zh-CN" w:bidi="ar"/>
          <w14:textFill>
            <w14:solidFill>
              <w14:schemeClr w14:val="tx1"/>
            </w14:solidFill>
          </w14:textFill>
        </w:rPr>
      </w:pPr>
      <w:r>
        <w:rPr>
          <w:rFonts w:cs="Times New Roman"/>
          <w:b/>
          <w:bCs/>
          <w:color w:val="000000" w:themeColor="text1"/>
          <w:sz w:val="21"/>
          <w:lang w:eastAsia="zh-CN" w:bidi="ar"/>
          <w14:textFill>
            <w14:solidFill>
              <w14:schemeClr w14:val="tx1"/>
            </w14:solidFill>
          </w14:textFill>
        </w:rPr>
        <w:t>3</w:t>
      </w:r>
      <w:r>
        <w:rPr>
          <w:rFonts w:cs="Times New Roman"/>
          <w:color w:val="000000" w:themeColor="text1"/>
          <w:sz w:val="21"/>
          <w:lang w:eastAsia="zh-CN" w:bidi="ar"/>
          <w14:textFill>
            <w14:solidFill>
              <w14:schemeClr w14:val="tx1"/>
            </w14:solidFill>
          </w14:textFill>
        </w:rPr>
        <w:t xml:space="preserve"> 网络环境应符合国家相关通信标准的要求；</w:t>
      </w:r>
    </w:p>
    <w:p>
      <w:pPr>
        <w:ind w:left="420" w:firstLine="422"/>
        <w:rPr>
          <w:rFonts w:cs="Times New Roman"/>
          <w:color w:val="000000" w:themeColor="text1"/>
          <w:sz w:val="21"/>
          <w:lang w:eastAsia="zh-CN" w:bidi="ar"/>
          <w14:textFill>
            <w14:solidFill>
              <w14:schemeClr w14:val="tx1"/>
            </w14:solidFill>
          </w14:textFill>
        </w:rPr>
      </w:pPr>
      <w:r>
        <w:rPr>
          <w:rFonts w:cs="Times New Roman"/>
          <w:b/>
          <w:bCs/>
          <w:color w:val="000000" w:themeColor="text1"/>
          <w:sz w:val="21"/>
          <w:lang w:eastAsia="zh-CN" w:bidi="ar"/>
          <w14:textFill>
            <w14:solidFill>
              <w14:schemeClr w14:val="tx1"/>
            </w14:solidFill>
          </w14:textFill>
        </w:rPr>
        <w:t>4</w:t>
      </w:r>
      <w:r>
        <w:rPr>
          <w:rFonts w:cs="Times New Roman"/>
          <w:color w:val="000000" w:themeColor="text1"/>
          <w:sz w:val="21"/>
          <w:lang w:eastAsia="zh-CN" w:bidi="ar"/>
          <w14:textFill>
            <w14:solidFill>
              <w14:schemeClr w14:val="tx1"/>
            </w14:solidFill>
          </w14:textFill>
        </w:rPr>
        <w:t xml:space="preserve"> 安装过程应符合产品使用说明书的要求。</w:t>
      </w:r>
    </w:p>
    <w:p>
      <w:pPr>
        <w:ind w:firstLine="420" w:firstLineChars="0"/>
        <w:rPr>
          <w:rFonts w:cs="Times New Roman"/>
          <w:color w:val="000000" w:themeColor="text1"/>
          <w:sz w:val="21"/>
          <w:lang w:eastAsia="zh-CN" w:bidi="ar"/>
          <w14:textFill>
            <w14:solidFill>
              <w14:schemeClr w14:val="tx1"/>
            </w14:solidFill>
          </w14:textFill>
        </w:rPr>
      </w:pPr>
      <w:r>
        <w:rPr>
          <w:rFonts w:hint="eastAsia" w:cs="Times New Roman"/>
          <w:b/>
          <w:bCs/>
          <w:color w:val="000000" w:themeColor="text1"/>
          <w:sz w:val="21"/>
          <w:lang w:eastAsia="zh-CN" w:bidi="ar"/>
          <w14:textFill>
            <w14:solidFill>
              <w14:schemeClr w14:val="tx1"/>
            </w14:solidFill>
          </w14:textFill>
        </w:rPr>
        <w:t>9</w:t>
      </w:r>
      <w:r>
        <w:rPr>
          <w:rFonts w:cs="Times New Roman"/>
          <w:b/>
          <w:bCs/>
          <w:color w:val="000000" w:themeColor="text1"/>
          <w:sz w:val="21"/>
          <w:lang w:eastAsia="zh-CN" w:bidi="ar"/>
          <w14:textFill>
            <w14:solidFill>
              <w14:schemeClr w14:val="tx1"/>
            </w14:solidFill>
          </w14:textFill>
        </w:rPr>
        <w:t xml:space="preserve">.4.14 </w:t>
      </w:r>
      <w:r>
        <w:rPr>
          <w:rFonts w:cs="Times New Roman"/>
          <w:color w:val="000000" w:themeColor="text1"/>
          <w:sz w:val="21"/>
          <w:lang w:eastAsia="zh-CN" w:bidi="ar"/>
          <w14:textFill>
            <w14:solidFill>
              <w14:schemeClr w14:val="tx1"/>
            </w14:solidFill>
          </w14:textFill>
        </w:rPr>
        <w:t>在线监测设备和电源应设置防雷设施，防雷等级不应低于3级。</w:t>
      </w:r>
    </w:p>
    <w:p>
      <w:pPr>
        <w:ind w:firstLine="420" w:firstLineChars="0"/>
        <w:rPr>
          <w:rFonts w:cs="Times New Roman"/>
          <w:color w:val="000000" w:themeColor="text1"/>
          <w:sz w:val="21"/>
          <w:lang w:eastAsia="zh-CN" w:bidi="ar"/>
          <w14:textFill>
            <w14:solidFill>
              <w14:schemeClr w14:val="tx1"/>
            </w14:solidFill>
          </w14:textFill>
        </w:rPr>
      </w:pPr>
      <w:r>
        <w:rPr>
          <w:rFonts w:hint="eastAsia" w:cs="Times New Roman"/>
          <w:b/>
          <w:bCs/>
          <w:color w:val="000000" w:themeColor="text1"/>
          <w:sz w:val="21"/>
          <w:lang w:eastAsia="zh-CN" w:bidi="ar"/>
          <w14:textFill>
            <w14:solidFill>
              <w14:schemeClr w14:val="tx1"/>
            </w14:solidFill>
          </w14:textFill>
        </w:rPr>
        <w:t>9</w:t>
      </w:r>
      <w:r>
        <w:rPr>
          <w:rFonts w:cs="Times New Roman"/>
          <w:b/>
          <w:bCs/>
          <w:color w:val="000000" w:themeColor="text1"/>
          <w:sz w:val="21"/>
          <w:lang w:eastAsia="zh-CN" w:bidi="ar"/>
          <w14:textFill>
            <w14:solidFill>
              <w14:schemeClr w14:val="tx1"/>
            </w14:solidFill>
          </w14:textFill>
        </w:rPr>
        <w:t>.4.15</w:t>
      </w:r>
      <w:r>
        <w:rPr>
          <w:rFonts w:cs="Times New Roman"/>
          <w:color w:val="000000" w:themeColor="text1"/>
          <w:sz w:val="21"/>
          <w:lang w:eastAsia="zh-CN" w:bidi="ar"/>
          <w14:textFill>
            <w14:solidFill>
              <w14:schemeClr w14:val="tx1"/>
            </w14:solidFill>
          </w14:textFill>
        </w:rPr>
        <w:t xml:space="preserve"> 在线采集设备及配套设施安装后应进行现场验收，验收要求应符合国家相关标准规定。</w:t>
      </w:r>
    </w:p>
    <w:p>
      <w:pPr>
        <w:ind w:firstLine="420" w:firstLineChars="0"/>
        <w:rPr>
          <w:rFonts w:cs="Times New Roman"/>
          <w:color w:val="000000" w:themeColor="text1"/>
          <w:sz w:val="21"/>
          <w:lang w:eastAsia="zh-CN" w:bidi="ar"/>
          <w14:textFill>
            <w14:solidFill>
              <w14:schemeClr w14:val="tx1"/>
            </w14:solidFill>
          </w14:textFill>
        </w:rPr>
      </w:pPr>
      <w:r>
        <w:rPr>
          <w:rFonts w:hint="eastAsia" w:cs="Times New Roman"/>
          <w:b/>
          <w:bCs/>
          <w:color w:val="000000" w:themeColor="text1"/>
          <w:sz w:val="21"/>
          <w:lang w:eastAsia="zh-CN" w:bidi="ar"/>
          <w14:textFill>
            <w14:solidFill>
              <w14:schemeClr w14:val="tx1"/>
            </w14:solidFill>
          </w14:textFill>
        </w:rPr>
        <w:t>9</w:t>
      </w:r>
      <w:r>
        <w:rPr>
          <w:rFonts w:cs="Times New Roman"/>
          <w:b/>
          <w:bCs/>
          <w:color w:val="000000" w:themeColor="text1"/>
          <w:sz w:val="21"/>
          <w:lang w:eastAsia="zh-CN" w:bidi="ar"/>
          <w14:textFill>
            <w14:solidFill>
              <w14:schemeClr w14:val="tx1"/>
            </w14:solidFill>
          </w14:textFill>
        </w:rPr>
        <w:t>.4.16</w:t>
      </w:r>
      <w:r>
        <w:rPr>
          <w:rFonts w:cs="Times New Roman"/>
          <w:color w:val="000000" w:themeColor="text1"/>
          <w:sz w:val="21"/>
          <w:lang w:eastAsia="zh-CN" w:bidi="ar"/>
          <w14:textFill>
            <w14:solidFill>
              <w14:schemeClr w14:val="tx1"/>
            </w14:solidFill>
          </w14:textFill>
        </w:rPr>
        <w:t xml:space="preserve"> 应定期对在线监测设备进行维护和校验，确保测量准确，测量精度、灵敏度符合要求。属国家强检范围的仪表应按规定进行标定。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bidi="ar"/>
          <w14:textFill>
            <w14:solidFill>
              <w14:schemeClr w14:val="tx1"/>
            </w14:solidFill>
          </w14:textFill>
        </w:rPr>
        <w:t>9</w:t>
      </w:r>
      <w:r>
        <w:rPr>
          <w:rFonts w:cs="Times New Roman"/>
          <w:b/>
          <w:bCs/>
          <w:color w:val="000000" w:themeColor="text1"/>
          <w:sz w:val="21"/>
          <w:lang w:eastAsia="zh-CN" w:bidi="ar"/>
          <w14:textFill>
            <w14:solidFill>
              <w14:schemeClr w14:val="tx1"/>
            </w14:solidFill>
          </w14:textFill>
        </w:rPr>
        <w:t xml:space="preserve">.4.17 </w:t>
      </w:r>
      <w:r>
        <w:rPr>
          <w:rFonts w:cs="Times New Roman"/>
          <w:color w:val="000000" w:themeColor="text1"/>
          <w:sz w:val="21"/>
          <w:lang w:eastAsia="zh-CN" w:bidi="ar"/>
          <w14:textFill>
            <w14:solidFill>
              <w14:schemeClr w14:val="tx1"/>
            </w14:solidFill>
          </w14:textFill>
        </w:rPr>
        <w:t>应定期排查在线监测设备的电源情况，确保电源正常供电。</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.4.18</w:t>
      </w:r>
      <w:r>
        <w:rPr>
          <w:rFonts w:cs="Times New Roman"/>
          <w:color w:val="000000" w:themeColor="text1"/>
          <w:sz w:val="21"/>
          <w:lang w:eastAsia="zh-CN"/>
          <w14:textFill>
            <w14:solidFill>
              <w14:schemeClr w14:val="tx1"/>
            </w14:solidFill>
          </w14:textFill>
        </w:rPr>
        <w:t xml:space="preserve"> 视频监测设备应能远程采集高清图像，宜增加声音信息采集功能。CCTV检测设备主要技术指标应符合表</w:t>
      </w:r>
      <w:r>
        <w:rPr>
          <w:rFonts w:hint="eastAsia" w:cs="Times New Roman"/>
          <w:color w:val="000000" w:themeColor="text1"/>
          <w:sz w:val="21"/>
          <w:lang w:eastAsia="zh-CN"/>
          <w14:textFill>
            <w14:solidFill>
              <w14:schemeClr w14:val="tx1"/>
            </w14:solidFill>
          </w14:textFill>
        </w:rPr>
        <w:t>9</w:t>
      </w:r>
      <w:r>
        <w:rPr>
          <w:rFonts w:cs="Times New Roman"/>
          <w:color w:val="000000" w:themeColor="text1"/>
          <w:sz w:val="21"/>
          <w:lang w:eastAsia="zh-CN"/>
          <w14:textFill>
            <w14:solidFill>
              <w14:schemeClr w14:val="tx1"/>
            </w14:solidFill>
          </w14:textFill>
        </w:rPr>
        <w:t>.4.18规定。</w:t>
      </w:r>
    </w:p>
    <w:p>
      <w:pPr>
        <w:ind w:firstLine="422"/>
        <w:jc w:val="center"/>
        <w:rPr>
          <w:rFonts w:cs="Times New Roman"/>
          <w:b/>
          <w:bCs/>
          <w:snapToGrid/>
          <w:color w:val="000000" w:themeColor="text1"/>
          <w:sz w:val="21"/>
          <w:lang w:eastAsia="zh-CN"/>
          <w14:textFill>
            <w14:solidFill>
              <w14:schemeClr w14:val="tx1"/>
            </w14:solidFill>
          </w14:textFill>
        </w:rPr>
      </w:pPr>
      <w:r>
        <w:rPr>
          <w:rFonts w:cs="Times New Roman"/>
          <w:b/>
          <w:bCs/>
          <w:snapToGrid/>
          <w:color w:val="000000" w:themeColor="text1"/>
          <w:sz w:val="21"/>
          <w:lang w:eastAsia="zh-CN"/>
          <w14:textFill>
            <w14:solidFill>
              <w14:schemeClr w14:val="tx1"/>
            </w14:solidFill>
          </w14:textFill>
        </w:rPr>
        <w:t>表</w:t>
      </w:r>
      <w:r>
        <w:rPr>
          <w:rFonts w:hint="eastAsia" w:cs="Times New Roman"/>
          <w:b/>
          <w:bCs/>
          <w:snapToGrid/>
          <w:color w:val="000000" w:themeColor="text1"/>
          <w:sz w:val="21"/>
          <w:lang w:eastAsia="zh-CN"/>
          <w14:textFill>
            <w14:solidFill>
              <w14:schemeClr w14:val="tx1"/>
            </w14:solidFill>
          </w14:textFill>
        </w:rPr>
        <w:t>9</w:t>
      </w:r>
      <w:r>
        <w:rPr>
          <w:rFonts w:cs="Times New Roman"/>
          <w:b/>
          <w:bCs/>
          <w:snapToGrid/>
          <w:color w:val="000000" w:themeColor="text1"/>
          <w:sz w:val="21"/>
          <w:lang w:eastAsia="zh-CN"/>
          <w14:textFill>
            <w14:solidFill>
              <w14:schemeClr w14:val="tx1"/>
            </w14:solidFill>
          </w14:textFill>
        </w:rPr>
        <w:t>.4.18 CCTV检测设备主要技术指标</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3129"/>
        <w:gridCol w:w="3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序号</w:t>
            </w:r>
          </w:p>
        </w:tc>
        <w:tc>
          <w:tcPr>
            <w:tcW w:w="1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项目</w:t>
            </w:r>
          </w:p>
        </w:tc>
        <w:tc>
          <w:tcPr>
            <w:tcW w:w="2328"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1</w:t>
            </w:r>
          </w:p>
        </w:tc>
        <w:tc>
          <w:tcPr>
            <w:tcW w:w="1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图像传感器</w:t>
            </w:r>
          </w:p>
        </w:tc>
        <w:tc>
          <w:tcPr>
            <w:tcW w:w="2328"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≥1/4"CCD，彩色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2</w:t>
            </w:r>
          </w:p>
        </w:tc>
        <w:tc>
          <w:tcPr>
            <w:tcW w:w="1836" w:type="pct"/>
          </w:tcPr>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灵敏度（最低感光度的）</w:t>
            </w:r>
          </w:p>
        </w:tc>
        <w:tc>
          <w:tcPr>
            <w:tcW w:w="2328"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≤3lx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3</w:t>
            </w:r>
          </w:p>
        </w:tc>
        <w:tc>
          <w:tcPr>
            <w:tcW w:w="1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视角</w:t>
            </w:r>
          </w:p>
        </w:tc>
        <w:tc>
          <w:tcPr>
            <w:tcW w:w="2328"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4</w:t>
            </w:r>
          </w:p>
        </w:tc>
        <w:tc>
          <w:tcPr>
            <w:tcW w:w="1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分辨率</w:t>
            </w:r>
          </w:p>
        </w:tc>
        <w:tc>
          <w:tcPr>
            <w:tcW w:w="2328"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≥1280×720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ind w:firstLine="420"/>
              <w:rPr>
                <w:rFonts w:cs="Times New Roman"/>
                <w:color w:val="000000" w:themeColor="text1"/>
                <w:sz w:val="21"/>
                <w14:textFill>
                  <w14:solidFill>
                    <w14:schemeClr w14:val="tx1"/>
                  </w14:solidFill>
                </w14:textFill>
              </w:rPr>
            </w:pPr>
            <w:bookmarkStart w:id="284" w:name="_Toc28618"/>
            <w:r>
              <w:rPr>
                <w:rFonts w:cs="Times New Roman"/>
                <w:color w:val="000000" w:themeColor="text1"/>
                <w:sz w:val="21"/>
                <w14:textFill>
                  <w14:solidFill>
                    <w14:schemeClr w14:val="tx1"/>
                  </w14:solidFill>
                </w14:textFill>
              </w:rPr>
              <w:t>5</w:t>
            </w:r>
          </w:p>
        </w:tc>
        <w:tc>
          <w:tcPr>
            <w:tcW w:w="1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照明</w:t>
            </w:r>
          </w:p>
        </w:tc>
        <w:tc>
          <w:tcPr>
            <w:tcW w:w="2328"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≥1000lx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6</w:t>
            </w:r>
          </w:p>
        </w:tc>
        <w:tc>
          <w:tcPr>
            <w:tcW w:w="1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图像变形</w:t>
            </w:r>
          </w:p>
        </w:tc>
        <w:tc>
          <w:tcPr>
            <w:tcW w:w="2328"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7</w:t>
            </w:r>
          </w:p>
        </w:tc>
        <w:tc>
          <w:tcPr>
            <w:tcW w:w="1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爬行器</w:t>
            </w:r>
          </w:p>
        </w:tc>
        <w:tc>
          <w:tcPr>
            <w:tcW w:w="2328" w:type="pct"/>
          </w:tcPr>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电缆长度为120m时，爬坡能力≥5°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8</w:t>
            </w:r>
          </w:p>
        </w:tc>
        <w:tc>
          <w:tcPr>
            <w:tcW w:w="1836"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电缆抗拉力</w:t>
            </w:r>
          </w:p>
        </w:tc>
        <w:tc>
          <w:tcPr>
            <w:tcW w:w="2328"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≥2kN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Align w:val="center"/>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9</w:t>
            </w:r>
          </w:p>
        </w:tc>
        <w:tc>
          <w:tcPr>
            <w:tcW w:w="1836" w:type="pct"/>
            <w:vAlign w:val="center"/>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存储</w:t>
            </w:r>
          </w:p>
        </w:tc>
        <w:tc>
          <w:tcPr>
            <w:tcW w:w="2328" w:type="pct"/>
          </w:tcPr>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录像格式：MPEG4、AVI等</w:t>
            </w:r>
          </w:p>
          <w:p>
            <w:pPr>
              <w:ind w:firstLine="420"/>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照片格式：JPEG、PNG等</w:t>
            </w:r>
          </w:p>
        </w:tc>
      </w:tr>
    </w:tbl>
    <w:p>
      <w:pPr>
        <w:ind w:firstLine="420" w:firstLineChars="0"/>
        <w:rPr>
          <w:rFonts w:cs="Times New Roman"/>
          <w:color w:val="000000" w:themeColor="text1"/>
          <w:sz w:val="21"/>
          <w:lang w:eastAsia="zh-CN"/>
          <w14:textFill>
            <w14:solidFill>
              <w14:schemeClr w14:val="tx1"/>
            </w14:solidFill>
          </w14:textFill>
        </w:rPr>
      </w:pPr>
      <w:bookmarkStart w:id="285" w:name="_Toc4395"/>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.4.19 </w:t>
      </w:r>
      <w:r>
        <w:rPr>
          <w:rFonts w:cs="Times New Roman"/>
          <w:color w:val="000000" w:themeColor="text1"/>
          <w:sz w:val="21"/>
          <w:lang w:eastAsia="zh-CN"/>
          <w14:textFill>
            <w14:solidFill>
              <w14:schemeClr w14:val="tx1"/>
            </w14:solidFill>
          </w14:textFill>
        </w:rPr>
        <w:t>视频监测设备应具有可自动控制的红外摄像功能。</w:t>
      </w:r>
      <w:bookmarkEnd w:id="284"/>
      <w:bookmarkEnd w:id="285"/>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 xml:space="preserve">0 </w:t>
      </w:r>
      <w:r>
        <w:rPr>
          <w:rFonts w:cs="Times New Roman"/>
          <w:color w:val="000000" w:themeColor="text1"/>
          <w:sz w:val="21"/>
          <w:lang w:eastAsia="zh-CN"/>
          <w14:textFill>
            <w14:solidFill>
              <w14:schemeClr w14:val="tx1"/>
            </w14:solidFill>
          </w14:textFill>
        </w:rPr>
        <w:t>视频监测设备所配的摄像机视角应能全方位覆盖观察区域。</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bidi="ar"/>
          <w14:textFill>
            <w14:solidFill>
              <w14:schemeClr w14:val="tx1"/>
            </w14:solidFill>
          </w14:textFill>
        </w:rPr>
        <w:t>视频图像存储编码应满足H.265或最新编码标准，</w:t>
      </w:r>
      <w:r>
        <w:rPr>
          <w:rFonts w:cs="Times New Roman"/>
          <w:color w:val="000000" w:themeColor="text1"/>
          <w:sz w:val="21"/>
          <w:lang w:eastAsia="zh-CN"/>
          <w14:textFill>
            <w14:solidFill>
              <w14:schemeClr w14:val="tx1"/>
            </w14:solidFill>
          </w14:textFill>
        </w:rPr>
        <w:t>本地存储期限不应少于30 d。</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视频监测应采用网络摄像机，并应采用全数字视频传输方式。</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9.4.2</w:t>
      </w: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视频监测设备应结合区域条件和设备性能，采用可靠的供电方式。</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气体监测设备监测指标应包括排水管网中的氧气、硫化氢、甲烷、一氧化碳、二氧化碳和氨气等气体浓度，固化过程中产生的臭氧、苯乙烯和甲醛等气体浓度。气体浓度应符合现行国家标准</w:t>
      </w:r>
      <w:bookmarkStart w:id="286" w:name="_Hlk196920727"/>
      <w:r>
        <w:rPr>
          <w:rFonts w:cs="Times New Roman"/>
          <w:color w:val="000000" w:themeColor="text1"/>
          <w:sz w:val="21"/>
          <w:lang w:eastAsia="zh-CN"/>
          <w14:textFill>
            <w14:solidFill>
              <w14:schemeClr w14:val="tx1"/>
            </w14:solidFill>
          </w14:textFill>
        </w:rPr>
        <w:t>《</w:t>
      </w:r>
      <w:bookmarkStart w:id="287" w:name="OLE_LINK117"/>
      <w:r>
        <w:rPr>
          <w:rFonts w:cs="Times New Roman"/>
          <w:color w:val="000000" w:themeColor="text1"/>
          <w:sz w:val="21"/>
          <w:lang w:eastAsia="zh-CN"/>
          <w14:textFill>
            <w14:solidFill>
              <w14:schemeClr w14:val="tx1"/>
            </w14:solidFill>
          </w14:textFill>
        </w:rPr>
        <w:t>工作场所有害因素职业接触限值 化学有害因素</w:t>
      </w:r>
      <w:bookmarkEnd w:id="287"/>
      <w:r>
        <w:rPr>
          <w:rFonts w:cs="Times New Roman"/>
          <w:color w:val="000000" w:themeColor="text1"/>
          <w:sz w:val="21"/>
          <w:lang w:eastAsia="zh-CN"/>
          <w14:textFill>
            <w14:solidFill>
              <w14:schemeClr w14:val="tx1"/>
            </w14:solidFill>
          </w14:textFill>
        </w:rPr>
        <w:t>》GBZ 2.1</w:t>
      </w:r>
      <w:bookmarkEnd w:id="286"/>
      <w:r>
        <w:rPr>
          <w:rFonts w:cs="Times New Roman"/>
          <w:color w:val="000000" w:themeColor="text1"/>
          <w:sz w:val="21"/>
          <w:lang w:eastAsia="zh-CN"/>
          <w14:textFill>
            <w14:solidFill>
              <w14:schemeClr w14:val="tx1"/>
            </w14:solidFill>
          </w14:textFill>
        </w:rPr>
        <w:t>的有关规定，监测频率不应低于1次/min。</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 xml:space="preserve">5 </w:t>
      </w:r>
      <w:r>
        <w:rPr>
          <w:rFonts w:cs="Times New Roman"/>
          <w:color w:val="000000" w:themeColor="text1"/>
          <w:sz w:val="21"/>
          <w:lang w:eastAsia="zh-CN"/>
          <w14:textFill>
            <w14:solidFill>
              <w14:schemeClr w14:val="tx1"/>
            </w14:solidFill>
          </w14:textFill>
        </w:rPr>
        <w:t>气体监测设备应具备根据分析结果和危害程度做出预警和报警的功能，应及时推送预警和报警的目标、位置和时间等信息。</w:t>
      </w:r>
    </w:p>
    <w:p>
      <w:pPr>
        <w:ind w:firstLine="420" w:firstLineChars="0"/>
        <w:rPr>
          <w:rFonts w:cs="Times New Roman"/>
          <w:color w:val="000000" w:themeColor="text1"/>
          <w:sz w:val="21"/>
          <w:lang w:eastAsia="zh-CN"/>
          <w14:textFill>
            <w14:solidFill>
              <w14:schemeClr w14:val="tx1"/>
            </w14:solidFill>
          </w14:textFill>
        </w:rPr>
      </w:pPr>
      <w:bookmarkStart w:id="288" w:name="_Toc13461"/>
      <w:bookmarkStart w:id="289" w:name="_Toc10079"/>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 xml:space="preserve">6 </w:t>
      </w:r>
      <w:r>
        <w:rPr>
          <w:rFonts w:cs="Times New Roman"/>
          <w:color w:val="000000" w:themeColor="text1"/>
          <w:sz w:val="21"/>
          <w:lang w:eastAsia="zh-CN"/>
          <w14:textFill>
            <w14:solidFill>
              <w14:schemeClr w14:val="tx1"/>
            </w14:solidFill>
          </w14:textFill>
        </w:rPr>
        <w:t>气体监测设备应符合下列规定：</w:t>
      </w:r>
      <w:bookmarkEnd w:id="288"/>
      <w:bookmarkEnd w:id="289"/>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应适用于多种气体的浓度监测；</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应具备本质安全防爆等级；</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3 </w:t>
      </w:r>
      <w:r>
        <w:rPr>
          <w:rFonts w:cs="Times New Roman"/>
          <w:color w:val="000000" w:themeColor="text1"/>
          <w:sz w:val="21"/>
          <w:lang w:eastAsia="zh-CN"/>
          <w14:textFill>
            <w14:solidFill>
              <w14:schemeClr w14:val="tx1"/>
            </w14:solidFill>
          </w14:textFill>
        </w:rPr>
        <w:t>应满足排水系统防潮防腐工况的要求。</w:t>
      </w:r>
    </w:p>
    <w:p>
      <w:pPr>
        <w:ind w:firstLine="420" w:firstLineChars="0"/>
        <w:rPr>
          <w:rFonts w:cs="Times New Roman"/>
          <w:color w:val="000000" w:themeColor="text1"/>
          <w:sz w:val="21"/>
          <w:lang w:eastAsia="zh-CN"/>
          <w14:textFill>
            <w14:solidFill>
              <w14:schemeClr w14:val="tx1"/>
            </w14:solidFill>
          </w14:textFill>
        </w:rPr>
      </w:pPr>
      <w:bookmarkStart w:id="290" w:name="_Toc12359"/>
      <w:bookmarkStart w:id="291" w:name="_Toc5801"/>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 xml:space="preserve">7 </w:t>
      </w:r>
      <w:r>
        <w:rPr>
          <w:rFonts w:cs="Times New Roman"/>
          <w:color w:val="000000" w:themeColor="text1"/>
          <w:sz w:val="21"/>
          <w:lang w:eastAsia="zh-CN"/>
          <w14:textFill>
            <w14:solidFill>
              <w14:schemeClr w14:val="tx1"/>
            </w14:solidFill>
          </w14:textFill>
        </w:rPr>
        <w:t>气体监测设备的技术指标应符合下列规定：</w:t>
      </w:r>
      <w:bookmarkEnd w:id="290"/>
      <w:bookmarkEnd w:id="291"/>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主机量程可根据现场具体要求调整；</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测量误差不应大于全量程的5%；</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应具备整分钟整点进行间隔采样监测的能力，可根据需求调整监测的间隔时间。</w:t>
      </w:r>
    </w:p>
    <w:p>
      <w:pPr>
        <w:ind w:firstLine="420" w:firstLineChars="0"/>
        <w:rPr>
          <w:rFonts w:cs="Times New Roman"/>
          <w:color w:val="000000" w:themeColor="text1"/>
          <w:sz w:val="21"/>
          <w:lang w:eastAsia="zh-CN"/>
          <w14:textFill>
            <w14:solidFill>
              <w14:schemeClr w14:val="tx1"/>
            </w14:solidFill>
          </w14:textFill>
        </w:rPr>
      </w:pPr>
      <w:bookmarkStart w:id="292" w:name="_Toc18527"/>
      <w:bookmarkStart w:id="293" w:name="_Toc22671"/>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8</w:t>
      </w:r>
      <w:r>
        <w:rPr>
          <w:rFonts w:cs="Times New Roman"/>
          <w:color w:val="000000" w:themeColor="text1"/>
          <w:sz w:val="21"/>
          <w:lang w:eastAsia="zh-CN"/>
          <w14:textFill>
            <w14:solidFill>
              <w14:schemeClr w14:val="tx1"/>
            </w14:solidFill>
          </w14:textFill>
        </w:rPr>
        <w:t xml:space="preserve"> 流量监测设备应包括水量和通风量监测设备。</w:t>
      </w:r>
      <w:bookmarkEnd w:id="292"/>
      <w:bookmarkEnd w:id="293"/>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w:t>
      </w:r>
      <w:r>
        <w:rPr>
          <w:rFonts w:hint="eastAsia" w:cs="Times New Roman"/>
          <w:b/>
          <w:bCs/>
          <w:color w:val="000000" w:themeColor="text1"/>
          <w:sz w:val="21"/>
          <w:lang w:eastAsia="zh-CN"/>
          <w14:textFill>
            <w14:solidFill>
              <w14:schemeClr w14:val="tx1"/>
            </w14:solidFill>
          </w14:textFill>
        </w:rPr>
        <w:t>4.2</w:t>
      </w:r>
      <w:r>
        <w:rPr>
          <w:rFonts w:cs="Times New Roman"/>
          <w:b/>
          <w:bCs/>
          <w:color w:val="000000" w:themeColor="text1"/>
          <w:sz w:val="21"/>
          <w:lang w:eastAsia="zh-CN"/>
          <w14:textFill>
            <w14:solidFill>
              <w14:schemeClr w14:val="tx1"/>
            </w14:solidFill>
          </w14:textFill>
        </w:rPr>
        <w:t>9</w:t>
      </w:r>
      <w:r>
        <w:rPr>
          <w:rFonts w:cs="Times New Roman"/>
          <w:color w:val="000000" w:themeColor="text1"/>
          <w:sz w:val="21"/>
          <w:lang w:eastAsia="zh-CN"/>
          <w14:textFill>
            <w14:solidFill>
              <w14:schemeClr w14:val="tx1"/>
            </w14:solidFill>
          </w14:textFill>
        </w:rPr>
        <w:t xml:space="preserve"> 水量监测设备应包括液位计、流量计等，应适合浅流、非满流、满流、管道过载、低流速和逆流等工况的测量。</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.4.30</w:t>
      </w:r>
      <w:r>
        <w:rPr>
          <w:rFonts w:cs="Times New Roman"/>
          <w:color w:val="000000" w:themeColor="text1"/>
          <w:sz w:val="21"/>
          <w:lang w:eastAsia="zh-CN"/>
          <w14:textFill>
            <w14:solidFill>
              <w14:schemeClr w14:val="tx1"/>
            </w14:solidFill>
          </w14:textFill>
        </w:rPr>
        <w:t xml:space="preserve"> 通风量监测设备应包括通风检测仪、风机等，应能防火、防潮、耐腐蚀。</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.4.31</w:t>
      </w:r>
      <w:r>
        <w:rPr>
          <w:rFonts w:cs="Times New Roman"/>
          <w:color w:val="000000" w:themeColor="text1"/>
          <w:sz w:val="21"/>
          <w:lang w:eastAsia="zh-CN"/>
          <w14:textFill>
            <w14:solidFill>
              <w14:schemeClr w14:val="tx1"/>
            </w14:solidFill>
          </w14:textFill>
        </w:rPr>
        <w:t xml:space="preserve"> 修复管段液位监测应根据现场工况选择传感器，可通过组合传感器避免测量盲区。</w:t>
      </w:r>
    </w:p>
    <w:p>
      <w:pPr>
        <w:ind w:firstLine="420" w:firstLineChars="0"/>
        <w:rPr>
          <w:rFonts w:cs="Times New Roman"/>
          <w:color w:val="000000" w:themeColor="text1"/>
          <w:sz w:val="21"/>
          <w:lang w:eastAsia="zh-CN"/>
          <w14:textFill>
            <w14:solidFill>
              <w14:schemeClr w14:val="tx1"/>
            </w14:solidFill>
          </w14:textFill>
        </w:rPr>
      </w:pPr>
      <w:bookmarkStart w:id="294" w:name="_Toc32265"/>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.4.32</w:t>
      </w:r>
      <w:r>
        <w:rPr>
          <w:rFonts w:cs="Times New Roman"/>
          <w:color w:val="000000" w:themeColor="text1"/>
          <w:sz w:val="21"/>
          <w:lang w:eastAsia="zh-CN"/>
          <w14:textFill>
            <w14:solidFill>
              <w14:schemeClr w14:val="tx1"/>
            </w14:solidFill>
          </w14:textFill>
        </w:rPr>
        <w:t xml:space="preserve"> 水量、通风量监测设备的测量误差，应符合下列规定：</w:t>
      </w:r>
      <w:bookmarkEnd w:id="294"/>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液位测量误差不应大于全量程的1%，测量分辨率应为1 mm；</w:t>
      </w:r>
    </w:p>
    <w:p>
      <w:pPr>
        <w:ind w:left="420" w:firstLine="422"/>
        <w:rPr>
          <w:rFonts w:cs="Times New Roman"/>
          <w:color w:val="000000" w:themeColor="text1"/>
          <w:sz w:val="21"/>
          <w:lang w:eastAsia="zh-CN"/>
          <w14:textFill>
            <w14:solidFill>
              <w14:schemeClr w14:val="tx1"/>
            </w14:solidFill>
          </w14:textFill>
        </w:rPr>
      </w:pPr>
      <w:bookmarkStart w:id="295" w:name="_Toc26132"/>
      <w:bookmarkStart w:id="296" w:name="_Toc7404"/>
      <w:bookmarkStart w:id="297" w:name="_Toc6003"/>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流量测量误差不应大于全量程的5%。</w:t>
      </w:r>
      <w:bookmarkEnd w:id="295"/>
      <w:bookmarkEnd w:id="296"/>
      <w:bookmarkEnd w:id="297"/>
    </w:p>
    <w:p>
      <w:pPr>
        <w:ind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.4.33</w:t>
      </w:r>
      <w:r>
        <w:rPr>
          <w:rFonts w:cs="Times New Roman"/>
          <w:color w:val="000000" w:themeColor="text1"/>
          <w:sz w:val="21"/>
          <w:lang w:eastAsia="zh-CN"/>
          <w14:textFill>
            <w14:solidFill>
              <w14:schemeClr w14:val="tx1"/>
            </w14:solidFill>
          </w14:textFill>
        </w:rPr>
        <w:t xml:space="preserve"> 水量、通风量监测设备应具备间隔采样的能力，最小采集时间间隔应为1min，宜支持整分钟整点监测，受现场条件或设备限制，可降低监测频次，旱季管道液位的监测时间间隔不应大于15min，雨季管道液位的监测的时间间隔不应大于5min。</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.4.34</w:t>
      </w:r>
      <w:r>
        <w:rPr>
          <w:rFonts w:cs="Times New Roman"/>
          <w:color w:val="000000" w:themeColor="text1"/>
          <w:sz w:val="21"/>
          <w:lang w:eastAsia="zh-CN"/>
          <w14:textFill>
            <w14:solidFill>
              <w14:schemeClr w14:val="tx1"/>
            </w14:solidFill>
          </w14:textFill>
        </w:rPr>
        <w:t xml:space="preserve"> 水量、通风量监测设备应支持远程设置预警值与报警值，应支持数据预警或报警的及时通知，宜通过通信网络进行数值设置和推送通知。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.4.35 </w:t>
      </w:r>
      <w:r>
        <w:rPr>
          <w:rFonts w:cs="Times New Roman"/>
          <w:color w:val="000000" w:themeColor="text1"/>
          <w:sz w:val="21"/>
          <w:lang w:eastAsia="zh-CN"/>
          <w14:textFill>
            <w14:solidFill>
              <w14:schemeClr w14:val="tx1"/>
            </w14:solidFill>
          </w14:textFill>
        </w:rPr>
        <w:t>环境温湿度监测设备应能在温度-15℃~50℃、相对湿度30%~100%环境下正常工作。</w:t>
      </w:r>
    </w:p>
    <w:p>
      <w:pPr>
        <w:ind w:firstLine="420" w:firstLineChars="0"/>
        <w:rPr>
          <w:rFonts w:cs="Times New Roman"/>
          <w:color w:val="000000" w:themeColor="text1"/>
          <w:sz w:val="21"/>
          <w:lang w:eastAsia="zh-CN"/>
          <w14:textFill>
            <w14:solidFill>
              <w14:schemeClr w14:val="tx1"/>
            </w14:solidFill>
          </w14:textFill>
        </w:rPr>
      </w:pPr>
      <w:bookmarkStart w:id="298" w:name="_Toc12545"/>
      <w:bookmarkStart w:id="299" w:name="_Toc24859"/>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.4.36 </w:t>
      </w:r>
      <w:r>
        <w:rPr>
          <w:rFonts w:cs="Times New Roman"/>
          <w:color w:val="000000" w:themeColor="text1"/>
          <w:sz w:val="21"/>
          <w:lang w:eastAsia="zh-CN"/>
          <w14:textFill>
            <w14:solidFill>
              <w14:schemeClr w14:val="tx1"/>
            </w14:solidFill>
          </w14:textFill>
        </w:rPr>
        <w:t>温湿度监测设备的测量误差，应符合下列规定：</w:t>
      </w:r>
      <w:bookmarkEnd w:id="298"/>
      <w:bookmarkEnd w:id="299"/>
    </w:p>
    <w:p>
      <w:pPr>
        <w:ind w:left="420" w:firstLine="422"/>
        <w:rPr>
          <w:rFonts w:cs="Times New Roman"/>
          <w:color w:val="000000" w:themeColor="text1"/>
          <w:sz w:val="21"/>
          <w:lang w:eastAsia="zh-CN"/>
          <w14:textFill>
            <w14:solidFill>
              <w14:schemeClr w14:val="tx1"/>
            </w14:solidFill>
          </w14:textFill>
        </w:rPr>
      </w:pPr>
      <w:bookmarkStart w:id="300" w:name="_Toc31640"/>
      <w:bookmarkStart w:id="301" w:name="_Toc8499"/>
      <w:bookmarkStart w:id="302" w:name="_Toc6715"/>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正常工作时，温度测量误差不应超过1℃；</w:t>
      </w:r>
      <w:bookmarkEnd w:id="300"/>
      <w:bookmarkEnd w:id="301"/>
      <w:bookmarkEnd w:id="302"/>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当相对湿度由30%上升至100%，或由100%下降至30%时，湿度示值的变量与实际变量之差应为实际变量的±5%。</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.4.37 </w:t>
      </w:r>
      <w:r>
        <w:rPr>
          <w:rFonts w:cs="Times New Roman"/>
          <w:color w:val="000000" w:themeColor="text1"/>
          <w:sz w:val="21"/>
          <w:lang w:eastAsia="zh-CN"/>
          <w14:textFill>
            <w14:solidFill>
              <w14:schemeClr w14:val="tx1"/>
            </w14:solidFill>
          </w14:textFill>
        </w:rPr>
        <w:t>内衬管固化在线温度计量程应能在-20℃~200℃环境下正常工作。</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.4.38</w:t>
      </w:r>
      <w:r>
        <w:rPr>
          <w:rFonts w:cs="Times New Roman"/>
          <w:color w:val="000000" w:themeColor="text1"/>
          <w:sz w:val="21"/>
          <w:lang w:eastAsia="zh-CN"/>
          <w14:textFill>
            <w14:solidFill>
              <w14:schemeClr w14:val="tx1"/>
            </w14:solidFill>
          </w14:textFill>
        </w:rPr>
        <w:t xml:space="preserve"> 位置监测设备应对作业人员和设备进行定位。</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.4.39 </w:t>
      </w:r>
      <w:r>
        <w:rPr>
          <w:rFonts w:cs="Times New Roman"/>
          <w:color w:val="000000" w:themeColor="text1"/>
          <w:sz w:val="21"/>
          <w:lang w:eastAsia="zh-CN"/>
          <w14:textFill>
            <w14:solidFill>
              <w14:schemeClr w14:val="tx1"/>
            </w14:solidFill>
          </w14:textFill>
        </w:rPr>
        <w:t>位置监测设备的定位功能应符合下列规定：</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应能提供实时定位状态信息，可储存在内部，同时通过无线通信方式上传至数字化信息管理系统；</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应能在信号中断时以先进先出方式存储不少于10000条定位信息，在恢复通信后将存储的定位信息补报上传；</w:t>
      </w:r>
    </w:p>
    <w:p>
      <w:pPr>
        <w:ind w:left="420" w:firstLine="422"/>
        <w:rPr>
          <w:rFonts w:cs="Times New Roman"/>
          <w:color w:val="000000" w:themeColor="text1"/>
          <w:sz w:val="21"/>
          <w:lang w:eastAsia="zh-CN"/>
          <w14:textFill>
            <w14:solidFill>
              <w14:schemeClr w14:val="tx1"/>
            </w14:solidFill>
          </w14:textFill>
        </w:rPr>
      </w:pPr>
      <w:bookmarkStart w:id="303" w:name="_Toc27191"/>
      <w:bookmarkStart w:id="304" w:name="_Toc14738"/>
      <w:bookmarkStart w:id="305" w:name="_Toc1755"/>
      <w:r>
        <w:rPr>
          <w:rFonts w:cs="Times New Roman"/>
          <w:b/>
          <w:bCs/>
          <w:color w:val="000000" w:themeColor="text1"/>
          <w:sz w:val="21"/>
          <w:lang w:eastAsia="zh-CN"/>
          <w14:textFill>
            <w14:solidFill>
              <w14:schemeClr w14:val="tx1"/>
            </w14:solidFill>
          </w14:textFill>
        </w:rPr>
        <w:t xml:space="preserve">3 </w:t>
      </w:r>
      <w:r>
        <w:rPr>
          <w:rFonts w:cs="Times New Roman"/>
          <w:color w:val="000000" w:themeColor="text1"/>
          <w:sz w:val="21"/>
          <w:lang w:eastAsia="zh-CN"/>
          <w14:textFill>
            <w14:solidFill>
              <w14:schemeClr w14:val="tx1"/>
            </w14:solidFill>
          </w14:textFill>
        </w:rPr>
        <w:t>应支持时间间隔、距离间隔或外部事件触发方式上传定位信息；</w:t>
      </w:r>
      <w:bookmarkEnd w:id="303"/>
      <w:bookmarkEnd w:id="304"/>
      <w:bookmarkEnd w:id="305"/>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4 </w:t>
      </w:r>
      <w:r>
        <w:rPr>
          <w:rFonts w:cs="Times New Roman"/>
          <w:color w:val="000000" w:themeColor="text1"/>
          <w:sz w:val="21"/>
          <w:lang w:eastAsia="zh-CN"/>
          <w14:textFill>
            <w14:solidFill>
              <w14:schemeClr w14:val="tx1"/>
            </w14:solidFill>
          </w14:textFill>
        </w:rPr>
        <w:t>在收到监控中心下发的实时定位请求时，应答时间不应大于10s。</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.4.40 </w:t>
      </w:r>
      <w:r>
        <w:rPr>
          <w:rFonts w:cs="Times New Roman"/>
          <w:color w:val="000000" w:themeColor="text1"/>
          <w:sz w:val="21"/>
          <w:lang w:eastAsia="zh-CN"/>
          <w14:textFill>
            <w14:solidFill>
              <w14:schemeClr w14:val="tx1"/>
            </w14:solidFill>
          </w14:textFill>
        </w:rPr>
        <w:t>安装区域应远离碰撞、过热和涉水等环境，宜隐蔽安装，不得影响正常的施工操作。</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.4.41</w:t>
      </w:r>
      <w:r>
        <w:rPr>
          <w:rFonts w:cs="Times New Roman"/>
          <w:color w:val="000000" w:themeColor="text1"/>
          <w:sz w:val="21"/>
          <w:lang w:eastAsia="zh-CN"/>
          <w14:textFill>
            <w14:solidFill>
              <w14:schemeClr w14:val="tx1"/>
            </w14:solidFill>
          </w14:textFill>
        </w:rPr>
        <w:t xml:space="preserve"> 安装就绪，应由技术人员进行检查。完成安装工作后应按产品的使用说明书进行远程测试，各项功能应正常。</w:t>
      </w:r>
    </w:p>
    <w:p>
      <w:pPr>
        <w:pStyle w:val="3"/>
        <w:ind w:firstLine="560"/>
      </w:pPr>
      <w:bookmarkStart w:id="306" w:name="_Toc196915245"/>
      <w:r>
        <w:rPr>
          <w:rFonts w:hint="eastAsia"/>
        </w:rPr>
        <w:t>9</w:t>
      </w:r>
      <w:r>
        <w:t xml:space="preserve">.5 </w:t>
      </w:r>
      <w:bookmarkStart w:id="307" w:name="_Hlk179790971"/>
      <w:r>
        <w:t>数据采集与管理</w:t>
      </w:r>
      <w:bookmarkEnd w:id="306"/>
      <w:bookmarkEnd w:id="307"/>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.5.1</w:t>
      </w:r>
      <w:r>
        <w:rPr>
          <w:rFonts w:cs="Times New Roman"/>
          <w:color w:val="000000" w:themeColor="text1"/>
          <w:sz w:val="21"/>
          <w:lang w:eastAsia="zh-CN"/>
          <w14:textFill>
            <w14:solidFill>
              <w14:schemeClr w14:val="tx1"/>
            </w14:solidFill>
          </w14:textFill>
        </w:rPr>
        <w:t xml:space="preserve"> 数据采集与管理应包括原有管道信息、修复材料信息、施工数据和验收信息。</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.5.2</w:t>
      </w:r>
      <w:r>
        <w:rPr>
          <w:rFonts w:cs="Times New Roman"/>
          <w:color w:val="000000" w:themeColor="text1"/>
          <w:sz w:val="21"/>
          <w:lang w:eastAsia="zh-CN"/>
          <w14:textFill>
            <w14:solidFill>
              <w14:schemeClr w14:val="tx1"/>
            </w14:solidFill>
          </w14:textFill>
        </w:rPr>
        <w:t xml:space="preserve"> 数据采集应包括自动采集和人工采集；自动采集过程应包括获取、审核、传输、处理和存储；人工采集过程应包括收集、整理、审核、录入和存储。</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.5.3 </w:t>
      </w:r>
      <w:r>
        <w:rPr>
          <w:rFonts w:cs="Times New Roman"/>
          <w:color w:val="000000" w:themeColor="text1"/>
          <w:sz w:val="21"/>
          <w:lang w:eastAsia="zh-CN"/>
          <w14:textFill>
            <w14:solidFill>
              <w14:schemeClr w14:val="tx1"/>
            </w14:solidFill>
          </w14:textFill>
        </w:rPr>
        <w:t>自动采集数据和人工采集数据应存储至信息系统，并应向用户动态呈现。</w:t>
      </w:r>
    </w:p>
    <w:p>
      <w:pPr>
        <w:ind w:firstLine="420" w:firstLineChars="0"/>
        <w:rPr>
          <w:rFonts w:cs="Times New Roman"/>
          <w:color w:val="000000" w:themeColor="text1"/>
          <w:sz w:val="21"/>
          <w:lang w:eastAsia="zh-CN"/>
          <w14:textFill>
            <w14:solidFill>
              <w14:schemeClr w14:val="tx1"/>
            </w14:solidFill>
          </w14:textFill>
        </w:rPr>
      </w:pPr>
      <w:bookmarkStart w:id="308" w:name="_Toc31840"/>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.5.4 </w:t>
      </w:r>
      <w:r>
        <w:rPr>
          <w:rFonts w:cs="Times New Roman"/>
          <w:color w:val="000000" w:themeColor="text1"/>
          <w:sz w:val="21"/>
          <w:lang w:eastAsia="zh-CN"/>
          <w14:textFill>
            <w14:solidFill>
              <w14:schemeClr w14:val="tx1"/>
            </w14:solidFill>
          </w14:textFill>
        </w:rPr>
        <w:t>采集的数据应通过信息系统生成电子报告。</w:t>
      </w:r>
      <w:bookmarkEnd w:id="308"/>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.5.5</w:t>
      </w:r>
      <w:r>
        <w:rPr>
          <w:rFonts w:cs="Times New Roman"/>
          <w:color w:val="000000" w:themeColor="text1"/>
          <w:sz w:val="21"/>
          <w:lang w:eastAsia="zh-CN"/>
          <w14:textFill>
            <w14:solidFill>
              <w14:schemeClr w14:val="tx1"/>
            </w14:solidFill>
          </w14:textFill>
        </w:rPr>
        <w:t xml:space="preserve"> 数据管理应符合现行国家标准</w:t>
      </w:r>
      <w:bookmarkStart w:id="309" w:name="_Hlk196920361"/>
      <w:r>
        <w:rPr>
          <w:rFonts w:cs="Times New Roman"/>
          <w:color w:val="000000" w:themeColor="text1"/>
          <w:sz w:val="21"/>
          <w:lang w:eastAsia="zh-CN"/>
          <w14:textFill>
            <w14:solidFill>
              <w14:schemeClr w14:val="tx1"/>
            </w14:solidFill>
          </w14:textFill>
        </w:rPr>
        <w:t>《基础地理信息城市数据库建设规范》 GB/T 21740的有关规定</w:t>
      </w:r>
      <w:bookmarkEnd w:id="309"/>
      <w:r>
        <w:rPr>
          <w:rFonts w:cs="Times New Roman"/>
          <w:color w:val="000000" w:themeColor="text1"/>
          <w:sz w:val="21"/>
          <w:lang w:eastAsia="zh-CN"/>
          <w14:textFill>
            <w14:solidFill>
              <w14:schemeClr w14:val="tx1"/>
            </w14:solidFill>
          </w14:textFill>
        </w:rPr>
        <w:t>。</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.5.6</w:t>
      </w:r>
      <w:r>
        <w:rPr>
          <w:rFonts w:cs="Times New Roman"/>
          <w:color w:val="000000" w:themeColor="text1"/>
          <w:sz w:val="21"/>
          <w:lang w:eastAsia="zh-CN"/>
          <w14:textFill>
            <w14:solidFill>
              <w14:schemeClr w14:val="tx1"/>
            </w14:solidFill>
          </w14:textFill>
        </w:rPr>
        <w:t xml:space="preserve"> 应收集原有管道区域内的相关资料，包括原有管道检测信息、原有管道设计图纸等。</w:t>
      </w:r>
    </w:p>
    <w:p>
      <w:pPr>
        <w:ind w:firstLine="420" w:firstLineChars="0"/>
        <w:rPr>
          <w:rFonts w:cs="Times New Roman"/>
          <w:color w:val="000000" w:themeColor="text1"/>
          <w:sz w:val="21"/>
          <w:lang w:eastAsia="zh-CN"/>
          <w14:textFill>
            <w14:solidFill>
              <w14:schemeClr w14:val="tx1"/>
            </w14:solidFill>
          </w14:textFill>
        </w:rPr>
      </w:pPr>
      <w:bookmarkStart w:id="310" w:name="_Toc8048"/>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.5.7 </w:t>
      </w:r>
      <w:r>
        <w:rPr>
          <w:rFonts w:cs="Times New Roman"/>
          <w:color w:val="000000" w:themeColor="text1"/>
          <w:sz w:val="21"/>
          <w:lang w:eastAsia="zh-CN"/>
          <w14:textFill>
            <w14:solidFill>
              <w14:schemeClr w14:val="tx1"/>
            </w14:solidFill>
          </w14:textFill>
        </w:rPr>
        <w:t>原有管道检测信息应包括下列内容：</w:t>
      </w:r>
      <w:bookmarkEnd w:id="310"/>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管道位置、线形及渗漏水情况；</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管道附属构筑物位置、外形、尺寸及渗漏水情况；</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相关排水管道的接入、流出及临时排水后处理等情况；</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4 </w:t>
      </w:r>
      <w:r>
        <w:rPr>
          <w:rFonts w:cs="Times New Roman"/>
          <w:color w:val="000000" w:themeColor="text1"/>
          <w:sz w:val="21"/>
          <w:lang w:eastAsia="zh-CN"/>
          <w14:textFill>
            <w14:solidFill>
              <w14:schemeClr w14:val="tx1"/>
            </w14:solidFill>
          </w14:textFill>
        </w:rPr>
        <w:t>沿线地面、周边环境情况；</w:t>
      </w:r>
    </w:p>
    <w:p>
      <w:pPr>
        <w:ind w:left="420" w:firstLine="422"/>
        <w:rPr>
          <w:rFonts w:cs="Times New Roman"/>
          <w:color w:val="000000" w:themeColor="text1"/>
          <w:sz w:val="21"/>
          <w:lang w:eastAsia="zh-CN"/>
          <w14:textFill>
            <w14:solidFill>
              <w14:schemeClr w14:val="tx1"/>
            </w14:solidFill>
          </w14:textFill>
        </w:rPr>
      </w:pPr>
      <w:bookmarkStart w:id="311" w:name="_Toc21454"/>
      <w:bookmarkStart w:id="312" w:name="_Toc6076"/>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原有管道视频信息</w:t>
      </w:r>
      <w:bookmarkEnd w:id="311"/>
      <w:r>
        <w:rPr>
          <w:rFonts w:cs="Times New Roman"/>
          <w:color w:val="000000" w:themeColor="text1"/>
          <w:sz w:val="21"/>
          <w:lang w:eastAsia="zh-CN"/>
          <w14:textFill>
            <w14:solidFill>
              <w14:schemeClr w14:val="tx1"/>
            </w14:solidFill>
          </w14:textFill>
        </w:rPr>
        <w:t>，视频格式宜包括MP4，AVI；</w:t>
      </w:r>
      <w:bookmarkEnd w:id="312"/>
    </w:p>
    <w:p>
      <w:pPr>
        <w:ind w:left="420" w:firstLine="422"/>
        <w:rPr>
          <w:rFonts w:cs="Times New Roman"/>
          <w:color w:val="000000" w:themeColor="text1"/>
          <w:sz w:val="21"/>
          <w:lang w:eastAsia="zh-CN"/>
          <w14:textFill>
            <w14:solidFill>
              <w14:schemeClr w14:val="tx1"/>
            </w14:solidFill>
          </w14:textFill>
        </w:rPr>
      </w:pPr>
      <w:bookmarkStart w:id="313" w:name="_Toc27527"/>
      <w:r>
        <w:rPr>
          <w:rFonts w:cs="Times New Roman"/>
          <w:b/>
          <w:bCs/>
          <w:color w:val="000000" w:themeColor="text1"/>
          <w:sz w:val="21"/>
          <w:lang w:eastAsia="zh-CN"/>
          <w14:textFill>
            <w14:solidFill>
              <w14:schemeClr w14:val="tx1"/>
            </w14:solidFill>
          </w14:textFill>
        </w:rPr>
        <w:t xml:space="preserve">6 </w:t>
      </w:r>
      <w:r>
        <w:rPr>
          <w:rFonts w:cs="Times New Roman"/>
          <w:color w:val="000000" w:themeColor="text1"/>
          <w:sz w:val="21"/>
          <w:lang w:eastAsia="zh-CN"/>
          <w14:textFill>
            <w14:solidFill>
              <w14:schemeClr w14:val="tx1"/>
            </w14:solidFill>
          </w14:textFill>
        </w:rPr>
        <w:t>原有管道缺陷图片，图片格式宜包括JPEG，PNG。</w:t>
      </w:r>
      <w:bookmarkEnd w:id="313"/>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.5.8</w:t>
      </w:r>
      <w:r>
        <w:rPr>
          <w:rFonts w:cs="Times New Roman"/>
          <w:color w:val="000000" w:themeColor="text1"/>
          <w:sz w:val="21"/>
          <w:lang w:eastAsia="zh-CN"/>
          <w14:textFill>
            <w14:solidFill>
              <w14:schemeClr w14:val="tx1"/>
            </w14:solidFill>
          </w14:textFill>
        </w:rPr>
        <w:t xml:space="preserve"> 原有管道设计图纸应采集原有管道缺陷报告、缺陷点位图和内衬管设计图，图纸信息宜采用DWG、PDF、PNG、Gbxml和IFC的格式。</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.5.9</w:t>
      </w:r>
      <w:r>
        <w:rPr>
          <w:rFonts w:cs="Times New Roman"/>
          <w:color w:val="000000" w:themeColor="text1"/>
          <w:sz w:val="21"/>
          <w:lang w:eastAsia="zh-CN"/>
          <w14:textFill>
            <w14:solidFill>
              <w14:schemeClr w14:val="tx1"/>
            </w14:solidFill>
          </w14:textFill>
        </w:rPr>
        <w:t xml:space="preserve"> 原有管道检测信息应按视频、图片、工程图以及文本信息等类型分类显示。</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.5.10 </w:t>
      </w:r>
      <w:r>
        <w:rPr>
          <w:rFonts w:cs="Times New Roman"/>
          <w:color w:val="000000" w:themeColor="text1"/>
          <w:sz w:val="21"/>
          <w:lang w:eastAsia="zh-CN"/>
          <w14:textFill>
            <w14:solidFill>
              <w14:schemeClr w14:val="tx1"/>
            </w14:solidFill>
          </w14:textFill>
        </w:rPr>
        <w:t>修复材料信息应包括质检信息和合格证书，以及运输信息，湿软管进场时间和出场时间；应采集湿软管存放场地平整度、温度和湿度信息。</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.5.11 </w:t>
      </w:r>
      <w:r>
        <w:rPr>
          <w:rFonts w:cs="Times New Roman"/>
          <w:color w:val="000000" w:themeColor="text1"/>
          <w:sz w:val="21"/>
          <w:lang w:eastAsia="zh-CN"/>
          <w14:textFill>
            <w14:solidFill>
              <w14:schemeClr w14:val="tx1"/>
            </w14:solidFill>
          </w14:textFill>
        </w:rPr>
        <w:t>修复材料包装上应附带二维码，二维码信息应包含材料生产日期、质检信息、批次、种类、管径、长度、适用场景和修复管段等。</w:t>
      </w:r>
    </w:p>
    <w:p>
      <w:pPr>
        <w:ind w:firstLine="420" w:firstLineChars="0"/>
        <w:rPr>
          <w:rFonts w:cs="Times New Roman"/>
          <w:color w:val="000000" w:themeColor="text1"/>
          <w:sz w:val="21"/>
          <w:lang w:eastAsia="zh-CN"/>
          <w14:textFill>
            <w14:solidFill>
              <w14:schemeClr w14:val="tx1"/>
            </w14:solidFill>
          </w14:textFill>
        </w:rPr>
      </w:pPr>
      <w:bookmarkStart w:id="314" w:name="_Toc18954"/>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.5.12</w:t>
      </w:r>
      <w:r>
        <w:rPr>
          <w:rFonts w:cs="Times New Roman"/>
          <w:color w:val="000000" w:themeColor="text1"/>
          <w:sz w:val="21"/>
          <w:lang w:eastAsia="zh-CN"/>
          <w14:textFill>
            <w14:solidFill>
              <w14:schemeClr w14:val="tx1"/>
            </w14:solidFill>
          </w14:textFill>
        </w:rPr>
        <w:t xml:space="preserve"> 应实时采集运输和存放过程中修复材料的温度数据。</w:t>
      </w:r>
      <w:bookmarkEnd w:id="314"/>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.5.13 </w:t>
      </w:r>
      <w:r>
        <w:rPr>
          <w:rFonts w:cs="Times New Roman"/>
          <w:color w:val="000000" w:themeColor="text1"/>
          <w:sz w:val="21"/>
          <w:lang w:eastAsia="zh-CN"/>
          <w14:textFill>
            <w14:solidFill>
              <w14:schemeClr w14:val="tx1"/>
            </w14:solidFill>
          </w14:textFill>
        </w:rPr>
        <w:t>修复材料信息应能通过移动端显示，并应根据二维码实时反馈现场修复材料信息。</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.5.14</w:t>
      </w:r>
      <w:r>
        <w:rPr>
          <w:rFonts w:cs="Times New Roman"/>
          <w:color w:val="000000" w:themeColor="text1"/>
          <w:sz w:val="21"/>
          <w:lang w:eastAsia="zh-CN"/>
          <w14:textFill>
            <w14:solidFill>
              <w14:schemeClr w14:val="tx1"/>
            </w14:solidFill>
          </w14:textFill>
        </w:rPr>
        <w:t xml:space="preserve"> 施工数据应包括施工组织设计及专项施工方案信息和地理位置信息，临时排水数据应包括流量、视频和液位。应实时监测原有管道内有毒气体的浓度和通风风量。</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.5.15</w:t>
      </w:r>
      <w:r>
        <w:rPr>
          <w:rFonts w:cs="Times New Roman"/>
          <w:color w:val="000000" w:themeColor="text1"/>
          <w:sz w:val="21"/>
          <w:lang w:eastAsia="zh-CN"/>
          <w14:textFill>
            <w14:solidFill>
              <w14:schemeClr w14:val="tx1"/>
            </w14:solidFill>
          </w14:textFill>
        </w:rPr>
        <w:t xml:space="preserve"> 应采集所用施工设备和机具的合格检验证书，应实时采集施工过程动力设备的用电数据。</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.5.16 </w:t>
      </w:r>
      <w:r>
        <w:rPr>
          <w:rFonts w:cs="Times New Roman"/>
          <w:color w:val="000000" w:themeColor="text1"/>
          <w:sz w:val="21"/>
          <w:lang w:eastAsia="zh-CN"/>
          <w14:textFill>
            <w14:solidFill>
              <w14:schemeClr w14:val="tx1"/>
            </w14:solidFill>
          </w14:textFill>
        </w:rPr>
        <w:t>管道封堵和调水应采集封堵气囊的压力值、调水流量和液位信息。</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.5.17 </w:t>
      </w:r>
      <w:r>
        <w:rPr>
          <w:rFonts w:cs="Times New Roman"/>
          <w:color w:val="000000" w:themeColor="text1"/>
          <w:sz w:val="21"/>
          <w:lang w:eastAsia="zh-CN"/>
          <w14:textFill>
            <w14:solidFill>
              <w14:schemeClr w14:val="tx1"/>
            </w14:solidFill>
          </w14:textFill>
        </w:rPr>
        <w:t>管道预处理应采集高压清洗设备的清洗压力和流量，并应采集管道预处理后的视频信息。</w:t>
      </w:r>
    </w:p>
    <w:p>
      <w:pPr>
        <w:ind w:firstLine="420" w:firstLineChars="0"/>
        <w:rPr>
          <w:rFonts w:cs="Times New Roman"/>
          <w:color w:val="000000" w:themeColor="text1"/>
          <w:sz w:val="21"/>
          <w:lang w:eastAsia="zh-CN"/>
          <w14:textFill>
            <w14:solidFill>
              <w14:schemeClr w14:val="tx1"/>
            </w14:solidFill>
          </w14:textFill>
        </w:rPr>
      </w:pPr>
      <w:bookmarkStart w:id="315" w:name="_Toc29550"/>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.5.18 </w:t>
      </w:r>
      <w:r>
        <w:rPr>
          <w:rFonts w:cs="Times New Roman"/>
          <w:color w:val="000000" w:themeColor="text1"/>
          <w:sz w:val="21"/>
          <w:lang w:eastAsia="zh-CN"/>
          <w14:textFill>
            <w14:solidFill>
              <w14:schemeClr w14:val="tx1"/>
            </w14:solidFill>
          </w14:textFill>
        </w:rPr>
        <w:t>施工档案数据采集应包括下列信息：</w:t>
      </w:r>
      <w:bookmarkEnd w:id="315"/>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管道检测报告；</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2 </w:t>
      </w:r>
      <w:r>
        <w:rPr>
          <w:rFonts w:cs="Times New Roman"/>
          <w:color w:val="000000" w:themeColor="text1"/>
          <w:sz w:val="21"/>
          <w:lang w:eastAsia="zh-CN"/>
          <w14:textFill>
            <w14:solidFill>
              <w14:schemeClr w14:val="tx1"/>
            </w14:solidFill>
          </w14:textFill>
        </w:rPr>
        <w:t>有限空间作业票；</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有限空间气体检测表；</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现场草签单；</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5 </w:t>
      </w:r>
      <w:r>
        <w:rPr>
          <w:rFonts w:cs="Times New Roman"/>
          <w:color w:val="000000" w:themeColor="text1"/>
          <w:sz w:val="21"/>
          <w:lang w:eastAsia="zh-CN"/>
          <w14:textFill>
            <w14:solidFill>
              <w14:schemeClr w14:val="tx1"/>
            </w14:solidFill>
          </w14:textFill>
        </w:rPr>
        <w:t>检验批；</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6 </w:t>
      </w:r>
      <w:r>
        <w:rPr>
          <w:rFonts w:cs="Times New Roman"/>
          <w:color w:val="000000" w:themeColor="text1"/>
          <w:sz w:val="21"/>
          <w:lang w:eastAsia="zh-CN"/>
          <w14:textFill>
            <w14:solidFill>
              <w14:schemeClr w14:val="tx1"/>
            </w14:solidFill>
          </w14:textFill>
        </w:rPr>
        <w:t>现场收方单；</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7 </w:t>
      </w:r>
      <w:r>
        <w:rPr>
          <w:rFonts w:cs="Times New Roman"/>
          <w:color w:val="000000" w:themeColor="text1"/>
          <w:sz w:val="21"/>
          <w:lang w:eastAsia="zh-CN"/>
          <w14:textFill>
            <w14:solidFill>
              <w14:schemeClr w14:val="tx1"/>
            </w14:solidFill>
          </w14:textFill>
        </w:rPr>
        <w:t>修复施工记录表。</w:t>
      </w:r>
    </w:p>
    <w:p>
      <w:pPr>
        <w:ind w:firstLine="420" w:firstLineChars="0"/>
        <w:rPr>
          <w:rFonts w:cs="Times New Roman"/>
          <w:color w:val="000000" w:themeColor="text1"/>
          <w:sz w:val="21"/>
          <w:lang w:eastAsia="zh-CN"/>
          <w14:textFill>
            <w14:solidFill>
              <w14:schemeClr w14:val="tx1"/>
            </w14:solidFill>
          </w14:textFill>
        </w:rPr>
      </w:pPr>
      <w:bookmarkStart w:id="316" w:name="_Toc5048"/>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.5.19</w:t>
      </w:r>
      <w:r>
        <w:rPr>
          <w:rFonts w:cs="Times New Roman"/>
          <w:color w:val="000000" w:themeColor="text1"/>
          <w:sz w:val="21"/>
          <w:lang w:eastAsia="zh-CN"/>
          <w14:textFill>
            <w14:solidFill>
              <w14:schemeClr w14:val="tx1"/>
            </w14:solidFill>
          </w14:textFill>
        </w:rPr>
        <w:t xml:space="preserve"> 内衬管样品送检，应采集下列信息：</w:t>
      </w:r>
      <w:bookmarkEnd w:id="316"/>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管材、树脂类型、尺寸和数量；</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施工日期和采样日期；</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采样位置、采样方法和影像资料。</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.5.20</w:t>
      </w:r>
      <w:r>
        <w:rPr>
          <w:rFonts w:cs="Times New Roman"/>
          <w:color w:val="000000" w:themeColor="text1"/>
          <w:sz w:val="21"/>
          <w:lang w:eastAsia="zh-CN"/>
          <w14:textFill>
            <w14:solidFill>
              <w14:schemeClr w14:val="tx1"/>
            </w14:solidFill>
          </w14:textFill>
        </w:rPr>
        <w:t xml:space="preserve"> 应采集修复后内衬管的CCTV检测数据。</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.5.21 </w:t>
      </w:r>
      <w:r>
        <w:rPr>
          <w:rFonts w:cs="Times New Roman"/>
          <w:color w:val="000000" w:themeColor="text1"/>
          <w:sz w:val="21"/>
          <w:lang w:eastAsia="zh-CN"/>
          <w14:textFill>
            <w14:solidFill>
              <w14:schemeClr w14:val="tx1"/>
            </w14:solidFill>
          </w14:textFill>
        </w:rPr>
        <w:t>应采集内衬管管壁密实性试验数据。</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.5.22 </w:t>
      </w:r>
      <w:r>
        <w:rPr>
          <w:rFonts w:cs="Times New Roman"/>
          <w:color w:val="000000" w:themeColor="text1"/>
          <w:sz w:val="21"/>
          <w:lang w:eastAsia="zh-CN"/>
          <w14:textFill>
            <w14:solidFill>
              <w14:schemeClr w14:val="tx1"/>
            </w14:solidFill>
          </w14:textFill>
        </w:rPr>
        <w:t>应采集管道功能性试验数据，并应符合下列规定：</w:t>
      </w:r>
    </w:p>
    <w:p>
      <w:pPr>
        <w:ind w:left="420" w:firstLine="422"/>
        <w:rPr>
          <w:rFonts w:cs="Times New Roman"/>
          <w:color w:val="000000" w:themeColor="text1"/>
          <w:sz w:val="21"/>
          <w:lang w:eastAsia="zh-CN"/>
          <w14:textFill>
            <w14:solidFill>
              <w14:schemeClr w14:val="tx1"/>
            </w14:solidFill>
          </w14:textFill>
        </w:rPr>
      </w:pPr>
      <w:bookmarkStart w:id="317" w:name="_Toc25124"/>
      <w:bookmarkStart w:id="318" w:name="_Toc2777"/>
      <w:bookmarkStart w:id="319" w:name="_Toc26227"/>
      <w:r>
        <w:rPr>
          <w:rFonts w:cs="Times New Roman"/>
          <w:b/>
          <w:bCs/>
          <w:color w:val="000000" w:themeColor="text1"/>
          <w:sz w:val="21"/>
          <w:lang w:eastAsia="zh-CN"/>
          <w14:textFill>
            <w14:solidFill>
              <w14:schemeClr w14:val="tx1"/>
            </w14:solidFill>
          </w14:textFill>
        </w:rPr>
        <w:t xml:space="preserve">1 </w:t>
      </w:r>
      <w:r>
        <w:rPr>
          <w:rFonts w:cs="Times New Roman"/>
          <w:color w:val="000000" w:themeColor="text1"/>
          <w:sz w:val="21"/>
          <w:lang w:eastAsia="zh-CN"/>
          <w14:textFill>
            <w14:solidFill>
              <w14:schemeClr w14:val="tx1"/>
            </w14:solidFill>
          </w14:textFill>
        </w:rPr>
        <w:t>采用闭水试验时，应采集渗水量；</w:t>
      </w:r>
      <w:bookmarkEnd w:id="317"/>
      <w:bookmarkEnd w:id="318"/>
      <w:bookmarkEnd w:id="319"/>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采用闭气试验时，应采集环境温度、管内压力、管内温度和闭气时间；</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3 </w:t>
      </w:r>
      <w:r>
        <w:rPr>
          <w:rFonts w:cs="Times New Roman"/>
          <w:color w:val="000000" w:themeColor="text1"/>
          <w:sz w:val="21"/>
          <w:lang w:eastAsia="zh-CN"/>
          <w14:textFill>
            <w14:solidFill>
              <w14:schemeClr w14:val="tx1"/>
            </w14:solidFill>
          </w14:textFill>
        </w:rPr>
        <w:t>闭水试验和闭气试验应按现行国家标准《给水排水管道工程施工及验收规范》GB 50268的有关规定进行。</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 xml:space="preserve">.5.23 </w:t>
      </w:r>
      <w:r>
        <w:rPr>
          <w:rFonts w:cs="Times New Roman"/>
          <w:color w:val="000000" w:themeColor="text1"/>
          <w:sz w:val="21"/>
          <w:lang w:eastAsia="zh-CN"/>
          <w14:textFill>
            <w14:solidFill>
              <w14:schemeClr w14:val="tx1"/>
            </w14:solidFill>
          </w14:textFill>
        </w:rPr>
        <w:t>应采集工程竣工图和竣工报告，图片格式宜包括JPEG和PNG，图纸格式宜包括DWG、PDF和PNG。</w:t>
      </w:r>
    </w:p>
    <w:p>
      <w:pPr>
        <w:ind w:firstLine="420" w:firstLineChars="0"/>
        <w:rPr>
          <w:rFonts w:cs="Times New Roman"/>
          <w:color w:val="000000" w:themeColor="text1"/>
          <w:sz w:val="21"/>
          <w:lang w:eastAsia="zh-CN"/>
          <w14:textFill>
            <w14:solidFill>
              <w14:schemeClr w14:val="tx1"/>
            </w14:solidFill>
          </w14:textFill>
        </w:rPr>
      </w:pPr>
      <w:bookmarkStart w:id="320" w:name="_Toc20654"/>
      <w:bookmarkStart w:id="321" w:name="_Toc19605"/>
      <w:r>
        <w:rPr>
          <w:rFonts w:hint="eastAsia" w:cs="Times New Roman"/>
          <w:b/>
          <w:bCs/>
          <w:color w:val="000000" w:themeColor="text1"/>
          <w:sz w:val="21"/>
          <w:lang w:eastAsia="zh-CN"/>
          <w14:textFill>
            <w14:solidFill>
              <w14:schemeClr w14:val="tx1"/>
            </w14:solidFill>
          </w14:textFill>
        </w:rPr>
        <w:t>9</w:t>
      </w:r>
      <w:r>
        <w:rPr>
          <w:rFonts w:cs="Times New Roman"/>
          <w:b/>
          <w:bCs/>
          <w:color w:val="000000" w:themeColor="text1"/>
          <w:sz w:val="21"/>
          <w:lang w:eastAsia="zh-CN"/>
          <w14:textFill>
            <w14:solidFill>
              <w14:schemeClr w14:val="tx1"/>
            </w14:solidFill>
          </w14:textFill>
        </w:rPr>
        <w:t>.5.24</w:t>
      </w:r>
      <w:r>
        <w:rPr>
          <w:rFonts w:cs="Times New Roman"/>
          <w:color w:val="000000" w:themeColor="text1"/>
          <w:sz w:val="21"/>
          <w:lang w:eastAsia="zh-CN"/>
          <w14:textFill>
            <w14:solidFill>
              <w14:schemeClr w14:val="tx1"/>
            </w14:solidFill>
          </w14:textFill>
        </w:rPr>
        <w:t xml:space="preserve"> 应能通过信息系统生成工程竣工验收报告。</w:t>
      </w:r>
      <w:r>
        <w:rPr>
          <w:rFonts w:eastAsia="黑体" w:cs="Times New Roman"/>
          <w:color w:val="000000" w:themeColor="text1"/>
          <w:sz w:val="21"/>
          <w:lang w:eastAsia="zh-CN"/>
          <w14:textFill>
            <w14:solidFill>
              <w14:schemeClr w14:val="tx1"/>
            </w14:solidFill>
          </w14:textFill>
        </w:rPr>
        <w:br w:type="page"/>
      </w:r>
      <w:bookmarkEnd w:id="320"/>
      <w:bookmarkEnd w:id="321"/>
    </w:p>
    <w:p>
      <w:pPr>
        <w:pStyle w:val="15"/>
        <w:ind w:firstLine="643"/>
        <w:rPr>
          <w:rFonts w:ascii="Times New Roman" w:hAnsi="Times New Roman" w:eastAsia="黑体" w:cs="Times New Roman"/>
          <w:color w:val="000000" w:themeColor="text1"/>
          <w:lang w:eastAsia="zh-CN"/>
          <w14:textFill>
            <w14:solidFill>
              <w14:schemeClr w14:val="tx1"/>
            </w14:solidFill>
          </w14:textFill>
        </w:rPr>
      </w:pPr>
      <w:bookmarkStart w:id="322" w:name="_Toc196915246"/>
      <w:r>
        <w:rPr>
          <w:rFonts w:hint="eastAsia" w:ascii="Times New Roman" w:hAnsi="Times New Roman" w:eastAsia="黑体" w:cs="Times New Roman"/>
          <w:color w:val="000000" w:themeColor="text1"/>
          <w:lang w:eastAsia="zh-CN"/>
          <w14:textFill>
            <w14:solidFill>
              <w14:schemeClr w14:val="tx1"/>
            </w14:solidFill>
          </w14:textFill>
        </w:rPr>
        <w:t>10</w:t>
      </w:r>
      <w:r>
        <w:rPr>
          <w:rFonts w:ascii="Times New Roman" w:hAnsi="Times New Roman" w:eastAsia="黑体" w:cs="Times New Roman"/>
          <w:color w:val="000000" w:themeColor="text1"/>
          <w:lang w:eastAsia="zh-CN"/>
          <w14:textFill>
            <w14:solidFill>
              <w14:schemeClr w14:val="tx1"/>
            </w14:solidFill>
          </w14:textFill>
        </w:rPr>
        <w:t xml:space="preserve"> 安全与环境保护</w:t>
      </w:r>
      <w:bookmarkEnd w:id="322"/>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0.1</w:t>
      </w:r>
      <w:r>
        <w:rPr>
          <w:rFonts w:cs="Times New Roman"/>
          <w:color w:val="000000" w:themeColor="text1"/>
          <w:sz w:val="21"/>
          <w:lang w:eastAsia="zh-CN"/>
          <w14:textFill>
            <w14:solidFill>
              <w14:schemeClr w14:val="tx1"/>
            </w14:solidFill>
          </w14:textFill>
        </w:rPr>
        <w:t xml:space="preserve"> 管道非开挖修复工程施工应采取安全防护措施，施工现场安全管理与环境保护应符合现行行业标准</w:t>
      </w:r>
      <w:bookmarkStart w:id="323" w:name="OLE_LINK118"/>
      <w:r>
        <w:rPr>
          <w:rFonts w:cs="Times New Roman"/>
          <w:color w:val="000000" w:themeColor="text1"/>
          <w:sz w:val="21"/>
          <w:lang w:eastAsia="zh-CN"/>
          <w14:textFill>
            <w14:solidFill>
              <w14:schemeClr w14:val="tx1"/>
            </w14:solidFill>
          </w14:textFill>
        </w:rPr>
        <w:t>《城镇排水管道维护安全技术规程》CJJ</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6</w:t>
      </w:r>
      <w:bookmarkEnd w:id="323"/>
      <w:r>
        <w:rPr>
          <w:rFonts w:cs="Times New Roman"/>
          <w:color w:val="000000" w:themeColor="text1"/>
          <w:sz w:val="21"/>
          <w:lang w:eastAsia="zh-CN"/>
          <w14:textFill>
            <w14:solidFill>
              <w14:schemeClr w14:val="tx1"/>
            </w14:solidFill>
          </w14:textFill>
        </w:rPr>
        <w:t>、</w:t>
      </w:r>
      <w:bookmarkStart w:id="324" w:name="_Hlk196920788"/>
      <w:r>
        <w:rPr>
          <w:rFonts w:cs="Times New Roman"/>
          <w:color w:val="000000" w:themeColor="text1"/>
          <w:sz w:val="21"/>
          <w:lang w:eastAsia="zh-CN"/>
          <w14:textFill>
            <w14:solidFill>
              <w14:schemeClr w14:val="tx1"/>
            </w14:solidFill>
          </w14:textFill>
        </w:rPr>
        <w:t>《城镇排水管渠与泵站运行、维护及安全技术规程》CJJ</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68</w:t>
      </w:r>
      <w:bookmarkEnd w:id="324"/>
      <w:r>
        <w:rPr>
          <w:rFonts w:cs="Times New Roman"/>
          <w:color w:val="000000" w:themeColor="text1"/>
          <w:sz w:val="21"/>
          <w:lang w:eastAsia="zh-CN"/>
          <w14:textFill>
            <w14:solidFill>
              <w14:schemeClr w14:val="tx1"/>
            </w14:solidFill>
          </w14:textFill>
        </w:rPr>
        <w:t>、</w:t>
      </w:r>
      <w:bookmarkStart w:id="325" w:name="_Hlk196920800"/>
      <w:r>
        <w:rPr>
          <w:rFonts w:cs="Times New Roman"/>
          <w:color w:val="000000" w:themeColor="text1"/>
          <w:sz w:val="21"/>
          <w:lang w:eastAsia="zh-CN"/>
          <w14:textFill>
            <w14:solidFill>
              <w14:schemeClr w14:val="tx1"/>
            </w14:solidFill>
          </w14:textFill>
        </w:rPr>
        <w:t>《文明施工标准》DG/TJ08—2102</w:t>
      </w:r>
      <w:bookmarkEnd w:id="325"/>
      <w:r>
        <w:rPr>
          <w:rFonts w:cs="Times New Roman"/>
          <w:color w:val="000000" w:themeColor="text1"/>
          <w:sz w:val="21"/>
          <w:lang w:eastAsia="zh-CN"/>
          <w14:textFill>
            <w14:solidFill>
              <w14:schemeClr w14:val="tx1"/>
            </w14:solidFill>
          </w14:textFill>
        </w:rPr>
        <w:t>等的有关规定。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.0.2</w:t>
      </w:r>
      <w:r>
        <w:rPr>
          <w:rFonts w:cs="Times New Roman"/>
          <w:color w:val="000000" w:themeColor="text1"/>
          <w:sz w:val="21"/>
          <w:lang w:eastAsia="zh-CN"/>
          <w14:textFill>
            <w14:solidFill>
              <w14:schemeClr w14:val="tx1"/>
            </w14:solidFill>
          </w14:textFill>
        </w:rPr>
        <w:t xml:space="preserve"> 管道非开挖修复工程所产生的废气、噪声与振动应符合国家有关环境保护的排放标准要求；产生的污染废弃物处置应符合国家有关环境保护的法规规定。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.0.3</w:t>
      </w:r>
      <w:r>
        <w:rPr>
          <w:rFonts w:cs="Times New Roman"/>
          <w:color w:val="000000" w:themeColor="text1"/>
          <w:sz w:val="21"/>
          <w:lang w:eastAsia="zh-CN"/>
          <w14:textFill>
            <w14:solidFill>
              <w14:schemeClr w14:val="tx1"/>
            </w14:solidFill>
          </w14:textFill>
        </w:rPr>
        <w:t xml:space="preserve"> 施工单位应在施工现场建立健全安全管理体系和安全生产责任制，并遵守有关施工安全、劳动保护等法律法规，制定相应措施，确保施工安全。</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 xml:space="preserve">.0.4 </w:t>
      </w:r>
      <w:r>
        <w:rPr>
          <w:rFonts w:cs="Times New Roman"/>
          <w:color w:val="000000" w:themeColor="text1"/>
          <w:sz w:val="21"/>
          <w:lang w:eastAsia="zh-CN"/>
          <w14:textFill>
            <w14:solidFill>
              <w14:schemeClr w14:val="tx1"/>
            </w14:solidFill>
          </w14:textFill>
        </w:rPr>
        <w:t>井下和管道内作业、拆封排水管道头子作业、水下作业、闭气试验、施工用电等风险性较高的施工作业，应制定相应的安全技术专项施工作业方案，安全生产条件符合规定后方可施工。</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 xml:space="preserve">0.5 </w:t>
      </w:r>
      <w:r>
        <w:rPr>
          <w:rFonts w:cs="Times New Roman"/>
          <w:color w:val="000000" w:themeColor="text1"/>
          <w:sz w:val="21"/>
          <w:lang w:eastAsia="zh-CN"/>
          <w14:textFill>
            <w14:solidFill>
              <w14:schemeClr w14:val="tx1"/>
            </w14:solidFill>
          </w14:textFill>
        </w:rPr>
        <w:t>在进行路面作业时，作业人员应穿戴配有反光标志的安全警示服并正确佩戴和使用劳动防护用品；未按规定穿戴警示服及佩戴和使用劳动防护用品的人员，不得上岗作业。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.0.6</w:t>
      </w:r>
      <w:r>
        <w:rPr>
          <w:rFonts w:cs="Times New Roman"/>
          <w:color w:val="000000" w:themeColor="text1"/>
          <w:sz w:val="21"/>
          <w:lang w:eastAsia="zh-CN"/>
          <w14:textFill>
            <w14:solidFill>
              <w14:schemeClr w14:val="tx1"/>
            </w14:solidFill>
          </w14:textFill>
        </w:rPr>
        <w:t xml:space="preserve"> 作业区域内应采取设置安全警示标志等防护措施；夜间作业时，应在区域周边明显处设置警示灯；作业完毕，应及时清除障碍物。</w:t>
      </w:r>
    </w:p>
    <w:p>
      <w:pPr>
        <w:ind w:firstLine="420" w:firstLineChars="0"/>
        <w:rPr>
          <w:rFonts w:cs="Times New Roman"/>
          <w:color w:val="000000" w:themeColor="text1"/>
          <w:sz w:val="21"/>
          <w:lang w:eastAsia="zh-CN"/>
          <w14:textFill>
            <w14:solidFill>
              <w14:schemeClr w14:val="tx1"/>
            </w14:solidFill>
          </w14:textFill>
        </w:rPr>
      </w:pPr>
      <w:bookmarkStart w:id="326" w:name="_Toc30709"/>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.0.7</w:t>
      </w:r>
      <w:r>
        <w:rPr>
          <w:rFonts w:cs="Times New Roman"/>
          <w:color w:val="000000" w:themeColor="text1"/>
          <w:sz w:val="21"/>
          <w:lang w:eastAsia="zh-CN"/>
          <w14:textFill>
            <w14:solidFill>
              <w14:schemeClr w14:val="tx1"/>
            </w14:solidFill>
          </w14:textFill>
        </w:rPr>
        <w:t xml:space="preserve"> 作业现场严禁吸烟，未经许可严禁动用明火。</w:t>
      </w:r>
      <w:bookmarkEnd w:id="326"/>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 xml:space="preserve">.0.8 </w:t>
      </w:r>
      <w:r>
        <w:rPr>
          <w:rFonts w:cs="Times New Roman"/>
          <w:color w:val="000000" w:themeColor="text1"/>
          <w:sz w:val="21"/>
          <w:lang w:eastAsia="zh-CN"/>
          <w14:textFill>
            <w14:solidFill>
              <w14:schemeClr w14:val="tx1"/>
            </w14:solidFill>
          </w14:textFill>
        </w:rPr>
        <w:t>下井作业人员必须经过专业安全技术培训、考核，具备下井作业资格，并应掌握人工急救技能和防护用具、照明、通信设备的使用方法；施工单位应为下井作业人员建立个人培训档案。</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.0.9</w:t>
      </w:r>
      <w:r>
        <w:rPr>
          <w:rFonts w:cs="Times New Roman"/>
          <w:color w:val="000000" w:themeColor="text1"/>
          <w:sz w:val="21"/>
          <w:lang w:eastAsia="zh-CN"/>
          <w14:textFill>
            <w14:solidFill>
              <w14:schemeClr w14:val="tx1"/>
            </w14:solidFill>
          </w14:textFill>
        </w:rPr>
        <w:t xml:space="preserve"> 井下作业前，施工单位必须检测管道内有害气体。井下有害气体浓度必须符合现行行业标准《城镇排水管道维护安全技术规程》CJJ 6的规定。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 xml:space="preserve">.0.10 </w:t>
      </w:r>
      <w:r>
        <w:rPr>
          <w:rFonts w:cs="Times New Roman"/>
          <w:color w:val="000000" w:themeColor="text1"/>
          <w:sz w:val="21"/>
          <w:lang w:eastAsia="zh-CN"/>
          <w14:textFill>
            <w14:solidFill>
              <w14:schemeClr w14:val="tx1"/>
            </w14:solidFill>
          </w14:textFill>
        </w:rPr>
        <w:t>井下作业前，应开启作业井及其上、下游井盖进行自然通风，且通风时间不应小于30 min。当管道经过自然通风，井下气体浓度仍不符合要求时，应进行机械通风。</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.0.11</w:t>
      </w:r>
      <w:r>
        <w:rPr>
          <w:rFonts w:cs="Times New Roman"/>
          <w:color w:val="000000" w:themeColor="text1"/>
          <w:sz w:val="21"/>
          <w:lang w:eastAsia="zh-CN"/>
          <w14:textFill>
            <w14:solidFill>
              <w14:schemeClr w14:val="tx1"/>
            </w14:solidFill>
          </w14:textFill>
        </w:rPr>
        <w:t xml:space="preserve"> 施工现场产生的垃圾应由专人管理，管道施工废料按环保规定处理，不得擅自倾倒或排放。</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.0.12</w:t>
      </w:r>
      <w:r>
        <w:rPr>
          <w:rFonts w:cs="Times New Roman"/>
          <w:color w:val="000000" w:themeColor="text1"/>
          <w:sz w:val="21"/>
          <w:lang w:eastAsia="zh-CN"/>
          <w14:textFill>
            <w14:solidFill>
              <w14:schemeClr w14:val="tx1"/>
            </w14:solidFill>
          </w14:textFill>
        </w:rPr>
        <w:t xml:space="preserve"> 严禁未经审批或备案的夜间施工。获准的夜间施工，在离噪声敏感建筑物10 m半径内边界处噪声源应小于55 dB，10 m半径外边界处噪声源应小于60 dB。</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 xml:space="preserve">.0.13 </w:t>
      </w:r>
      <w:r>
        <w:rPr>
          <w:rFonts w:cs="Times New Roman"/>
          <w:color w:val="000000" w:themeColor="text1"/>
          <w:sz w:val="21"/>
          <w:lang w:eastAsia="zh-CN"/>
          <w14:textFill>
            <w14:solidFill>
              <w14:schemeClr w14:val="tx1"/>
            </w14:solidFill>
          </w14:textFill>
        </w:rPr>
        <w:t>在施工现场严禁露天敞开堆放易扬尘建材；在施工现场切割、加工易扬尘建材时，应采取有效的防尘措施。</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 xml:space="preserve">.0.14 </w:t>
      </w:r>
      <w:r>
        <w:rPr>
          <w:rFonts w:cs="Times New Roman"/>
          <w:color w:val="000000" w:themeColor="text1"/>
          <w:sz w:val="21"/>
          <w:lang w:eastAsia="zh-CN"/>
          <w14:textFill>
            <w14:solidFill>
              <w14:schemeClr w14:val="tx1"/>
            </w14:solidFill>
          </w14:textFill>
        </w:rPr>
        <w:t>固化树脂材料等宜采用不产生刺激性气味的新型环保材料。</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.0.15</w:t>
      </w:r>
      <w:r>
        <w:rPr>
          <w:rFonts w:cs="Times New Roman"/>
          <w:color w:val="000000" w:themeColor="text1"/>
          <w:sz w:val="21"/>
          <w:lang w:eastAsia="zh-CN"/>
          <w14:textFill>
            <w14:solidFill>
              <w14:schemeClr w14:val="tx1"/>
            </w14:solidFill>
          </w14:textFill>
        </w:rPr>
        <w:t xml:space="preserve"> 施工现场内的灯光或电焊弧光不得直射行人和车辆通行道路。严禁施工现场夜间照明灯光、电焊弧光直射敏感建筑物。因施工设施设备遮挡路灯照明时，应在受影响的一侧增设照明灯。</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10</w:t>
      </w:r>
      <w:r>
        <w:rPr>
          <w:rFonts w:cs="Times New Roman"/>
          <w:b/>
          <w:bCs/>
          <w:color w:val="000000" w:themeColor="text1"/>
          <w:sz w:val="21"/>
          <w:lang w:eastAsia="zh-CN"/>
          <w14:textFill>
            <w14:solidFill>
              <w14:schemeClr w14:val="tx1"/>
            </w14:solidFill>
          </w14:textFill>
        </w:rPr>
        <w:t>.0.16</w:t>
      </w:r>
      <w:r>
        <w:rPr>
          <w:rFonts w:cs="Times New Roman"/>
          <w:color w:val="000000" w:themeColor="text1"/>
          <w:sz w:val="21"/>
          <w:lang w:eastAsia="zh-CN"/>
          <w14:textFill>
            <w14:solidFill>
              <w14:schemeClr w14:val="tx1"/>
            </w14:solidFill>
          </w14:textFill>
        </w:rPr>
        <w:t xml:space="preserve"> 施工材料堆放及机械设备的停放应在施工范围内，不应占用行车通道。</w:t>
      </w:r>
    </w:p>
    <w:p>
      <w:pPr>
        <w:ind w:firstLine="420"/>
        <w:rPr>
          <w:rFonts w:cs="Times New Roman"/>
          <w:color w:val="000000" w:themeColor="text1"/>
          <w:sz w:val="21"/>
          <w:lang w:eastAsia="zh-CN"/>
          <w14:textFill>
            <w14:solidFill>
              <w14:schemeClr w14:val="tx1"/>
            </w14:solidFill>
          </w14:textFill>
        </w:rPr>
      </w:pPr>
    </w:p>
    <w:p>
      <w:pPr>
        <w:kinsoku/>
        <w:autoSpaceDE/>
        <w:autoSpaceDN/>
        <w:adjustRightInd/>
        <w:snapToGrid/>
        <w:spacing w:line="240" w:lineRule="auto"/>
        <w:ind w:firstLine="0" w:firstLineChars="0"/>
        <w:jc w:val="left"/>
        <w:textAlignment w:val="auto"/>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br w:type="page"/>
      </w:r>
    </w:p>
    <w:p>
      <w:pPr>
        <w:ind w:firstLine="0" w:firstLineChars="0"/>
        <w:jc w:val="center"/>
        <w:rPr>
          <w:rFonts w:cs="Times New Roman"/>
          <w:b/>
          <w:color w:val="000000" w:themeColor="text1"/>
          <w:sz w:val="28"/>
          <w:szCs w:val="22"/>
          <w:lang w:eastAsia="zh-CN"/>
          <w14:textFill>
            <w14:solidFill>
              <w14:schemeClr w14:val="tx1"/>
            </w14:solidFill>
          </w14:textFill>
        </w:rPr>
        <w:sectPr>
          <w:footerReference r:id="rId12" w:type="default"/>
          <w:pgSz w:w="11906" w:h="16838"/>
          <w:pgMar w:top="1440" w:right="1800" w:bottom="1440" w:left="1800" w:header="851" w:footer="992" w:gutter="0"/>
          <w:pgNumType w:start="1"/>
          <w:cols w:space="425" w:num="1"/>
          <w:docGrid w:type="lines" w:linePitch="326" w:charSpace="0"/>
        </w:sectPr>
      </w:pPr>
    </w:p>
    <w:p>
      <w:pPr>
        <w:pStyle w:val="15"/>
        <w:ind w:firstLine="643"/>
        <w:rPr>
          <w:rFonts w:ascii="Times New Roman" w:hAnsi="Times New Roman" w:eastAsia="黑体" w:cs="Times New Roman"/>
          <w:color w:val="000000" w:themeColor="text1"/>
          <w:lang w:eastAsia="zh-CN"/>
          <w14:textFill>
            <w14:solidFill>
              <w14:schemeClr w14:val="tx1"/>
            </w14:solidFill>
          </w14:textFill>
        </w:rPr>
      </w:pPr>
      <w:bookmarkStart w:id="327" w:name="_Toc196915247"/>
      <w:r>
        <w:rPr>
          <w:rFonts w:ascii="Times New Roman" w:hAnsi="Times New Roman" w:eastAsia="黑体" w:cs="Times New Roman"/>
          <w:color w:val="000000" w:themeColor="text1"/>
          <w:lang w:eastAsia="zh-CN"/>
          <w14:textFill>
            <w14:solidFill>
              <w14:schemeClr w14:val="tx1"/>
            </w14:solidFill>
          </w14:textFill>
        </w:rPr>
        <w:t>附录A</w:t>
      </w:r>
      <w:bookmarkEnd w:id="327"/>
    </w:p>
    <w:p>
      <w:pPr>
        <w:ind w:firstLine="0" w:firstLineChars="0"/>
        <w:jc w:val="center"/>
        <w:rPr>
          <w:rFonts w:cs="Times New Roman"/>
          <w:b/>
          <w:color w:val="000000" w:themeColor="text1"/>
          <w:sz w:val="28"/>
          <w:szCs w:val="28"/>
          <w:lang w:eastAsia="zh-CN"/>
          <w14:textFill>
            <w14:solidFill>
              <w14:schemeClr w14:val="tx1"/>
            </w14:solidFill>
          </w14:textFill>
        </w:rPr>
      </w:pPr>
      <w:r>
        <w:rPr>
          <w:rFonts w:cs="Times New Roman"/>
          <w:b/>
          <w:color w:val="000000" w:themeColor="text1"/>
          <w:sz w:val="28"/>
          <w:szCs w:val="22"/>
          <w:lang w:eastAsia="zh-CN"/>
          <w14:textFill>
            <w14:solidFill>
              <w14:schemeClr w14:val="tx1"/>
            </w14:solidFill>
          </w14:textFill>
        </w:rPr>
        <w:t xml:space="preserve">A.0.1 </w:t>
      </w:r>
      <w:bookmarkStart w:id="328" w:name="OLE_LINK33"/>
      <w:r>
        <w:rPr>
          <w:rFonts w:ascii="宋体" w:hAnsi="宋体" w:cs="Times New Roman"/>
          <w:color w:val="auto"/>
          <w:sz w:val="28"/>
          <w:szCs w:val="28"/>
          <w:lang w:eastAsia="zh-CN"/>
        </w:rPr>
        <w:t>管道非开挖修复适用范围和使用条件</w:t>
      </w:r>
      <w:bookmarkEnd w:id="328"/>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0"/>
        <w:gridCol w:w="1180"/>
        <w:gridCol w:w="1900"/>
        <w:gridCol w:w="1568"/>
        <w:gridCol w:w="1552"/>
        <w:gridCol w:w="1134"/>
        <w:gridCol w:w="1134"/>
        <w:gridCol w:w="126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blHeader/>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非开挖修复方式</w:t>
            </w:r>
          </w:p>
        </w:tc>
        <w:tc>
          <w:tcPr>
            <w:tcW w:w="1180"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适用管径</w:t>
            </w:r>
            <w:r>
              <w:rPr>
                <w:rFonts w:cs="Times New Roman" w:asciiTheme="minorHAnsi" w:hAnsiTheme="minorHAnsi" w:eastAsiaTheme="minorEastAsia"/>
                <w:color w:val="auto"/>
                <w:sz w:val="21"/>
                <w:lang w:eastAsia="zh-CN"/>
                <w14:ligatures w14:val="none"/>
              </w:rPr>
              <w:br w:type="textWrapping"/>
            </w:r>
            <w:r>
              <w:rPr>
                <w:rFonts w:cs="Times New Roman" w:asciiTheme="minorHAnsi" w:hAnsiTheme="minorHAnsi" w:eastAsiaTheme="minorEastAsia"/>
                <w:color w:val="auto"/>
                <w:sz w:val="21"/>
                <w:lang w:eastAsia="zh-CN"/>
                <w14:ligatures w14:val="none"/>
              </w:rPr>
              <w:t>(mm)</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适用材质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适用管道形状</w:t>
            </w:r>
          </w:p>
        </w:tc>
        <w:tc>
          <w:tcPr>
            <w:tcW w:w="1552"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内衬材质</w:t>
            </w:r>
          </w:p>
        </w:tc>
        <w:tc>
          <w:tcPr>
            <w:tcW w:w="1134"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工作坑需求</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注浆</w:t>
            </w:r>
          </w:p>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需求</w:t>
            </w: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修复</w:t>
            </w:r>
          </w:p>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类型</w:t>
            </w:r>
          </w:p>
        </w:tc>
        <w:tc>
          <w:tcPr>
            <w:tcW w:w="960"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是否允许带水施工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热水原位固化修复法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r>
              <w:rPr>
                <w:rFonts w:hint="eastAsia" w:cs="Times New Roman" w:asciiTheme="minorHAnsi" w:hAnsiTheme="minorHAnsi" w:eastAsiaTheme="minorEastAsia"/>
                <w:color w:val="auto"/>
                <w:sz w:val="21"/>
                <w:lang w:eastAsia="zh-CN"/>
                <w14:ligatures w14:val="none"/>
              </w:rPr>
              <w:t>~</w:t>
            </w:r>
            <w:r>
              <w:rPr>
                <w:rFonts w:cs="Times New Roman" w:asciiTheme="minorHAnsi" w:hAnsiTheme="minorHAnsi" w:eastAsiaTheme="minorEastAsia"/>
                <w:color w:val="auto"/>
                <w:sz w:val="21"/>
                <w:lang w:eastAsia="zh-CN"/>
                <w14:ligatures w14:val="none"/>
              </w:rPr>
              <w:t>1800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聚酯纤维毡、热固性树脂</w:t>
            </w:r>
          </w:p>
        </w:tc>
        <w:tc>
          <w:tcPr>
            <w:tcW w:w="1134" w:type="dxa"/>
            <w:vMerge w:val="restart"/>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井室尺寸满足施工时不需要</w:t>
            </w:r>
          </w:p>
        </w:tc>
        <w:tc>
          <w:tcPr>
            <w:tcW w:w="1134" w:type="dxa"/>
            <w:vMerge w:val="restart"/>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蒸汽原位固化修复法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r>
              <w:rPr>
                <w:rFonts w:hint="eastAsia" w:cs="Times New Roman" w:asciiTheme="minorHAnsi" w:hAnsiTheme="minorHAnsi" w:eastAsiaTheme="minorEastAsia"/>
                <w:color w:val="auto"/>
                <w:sz w:val="21"/>
                <w:lang w:eastAsia="zh-CN"/>
                <w14:ligatures w14:val="none"/>
              </w:rPr>
              <w:t>~</w:t>
            </w:r>
            <w:r>
              <w:rPr>
                <w:rFonts w:cs="Times New Roman" w:asciiTheme="minorHAnsi" w:hAnsiTheme="minorHAnsi" w:eastAsiaTheme="minorEastAsia"/>
                <w:color w:val="auto"/>
                <w:sz w:val="21"/>
                <w:lang w:eastAsia="zh-CN"/>
                <w14:ligatures w14:val="none"/>
              </w:rPr>
              <w:t>1800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聚酯纤维毡、玻璃纤维、热固性树脂</w:t>
            </w: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紫外光原位固化修复法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r>
              <w:rPr>
                <w:rFonts w:hint="eastAsia" w:cs="Times New Roman" w:asciiTheme="minorHAnsi" w:hAnsiTheme="minorHAnsi" w:eastAsiaTheme="minorEastAsia"/>
                <w:color w:val="auto"/>
                <w:sz w:val="21"/>
                <w:lang w:eastAsia="zh-CN"/>
                <w14:ligatures w14:val="none"/>
              </w:rPr>
              <w:t>~</w:t>
            </w:r>
            <w:r>
              <w:rPr>
                <w:rFonts w:cs="Times New Roman" w:asciiTheme="minorHAnsi" w:hAnsiTheme="minorHAnsi" w:eastAsiaTheme="minorEastAsia"/>
                <w:color w:val="auto"/>
                <w:sz w:val="21"/>
                <w:lang w:eastAsia="zh-CN"/>
                <w14:ligatures w14:val="none"/>
              </w:rPr>
              <w:t>1800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玻璃纤维、光固性树脂</w:t>
            </w: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原位热塑成型修复法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200</w:t>
            </w:r>
            <w:r>
              <w:rPr>
                <w:rFonts w:hint="eastAsia" w:cs="Times New Roman" w:asciiTheme="minorHAnsi" w:hAnsiTheme="minorHAnsi" w:eastAsiaTheme="minorEastAsia"/>
                <w:color w:val="auto"/>
                <w:sz w:val="21"/>
                <w:lang w:eastAsia="zh-CN"/>
                <w14:ligatures w14:val="none"/>
              </w:rPr>
              <w:t>~</w:t>
            </w:r>
            <w:r>
              <w:rPr>
                <w:rFonts w:cs="Times New Roman" w:asciiTheme="minorHAnsi" w:hAnsiTheme="minorHAnsi" w:eastAsiaTheme="minorEastAsia"/>
                <w:color w:val="auto"/>
                <w:sz w:val="21"/>
                <w:lang w:eastAsia="zh-CN"/>
                <w14:ligatures w14:val="none"/>
              </w:rPr>
              <w:t>1200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热塑聚合物树脂</w:t>
            </w: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碎裂管法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r>
              <w:rPr>
                <w:rFonts w:hint="eastAsia" w:cs="Times New Roman" w:asciiTheme="minorHAnsi" w:hAnsiTheme="minorHAnsi" w:eastAsiaTheme="minorEastAsia"/>
                <w:color w:val="auto"/>
                <w:sz w:val="21"/>
                <w:lang w:eastAsia="zh-CN"/>
                <w14:ligatures w14:val="none"/>
              </w:rPr>
              <w:t>~</w:t>
            </w:r>
            <w:r>
              <w:rPr>
                <w:rFonts w:cs="Times New Roman" w:asciiTheme="minorHAnsi" w:hAnsiTheme="minorHAnsi" w:eastAsiaTheme="minorEastAsia"/>
                <w:color w:val="auto"/>
                <w:sz w:val="21"/>
                <w:lang w:eastAsia="zh-CN"/>
                <w14:ligatures w14:val="none"/>
              </w:rPr>
              <w:t>600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混凝土及钢筋混凝土管、金属管</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PE管</w:t>
            </w: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134" w:type="dxa"/>
            <w:vMerge w:val="continue"/>
            <w:noWrap/>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机制螺旋缠绕法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r>
              <w:rPr>
                <w:rFonts w:hint="eastAsia" w:cs="Times New Roman" w:asciiTheme="minorHAnsi" w:hAnsiTheme="minorHAnsi" w:eastAsiaTheme="minorEastAsia"/>
                <w:color w:val="auto"/>
                <w:sz w:val="21"/>
                <w:lang w:eastAsia="zh-CN"/>
                <w14:ligatures w14:val="none"/>
              </w:rPr>
              <w:t>~5</w:t>
            </w:r>
            <w:r>
              <w:rPr>
                <w:rFonts w:cs="Times New Roman" w:asciiTheme="minorHAnsi" w:hAnsiTheme="minorHAnsi" w:eastAsiaTheme="minorEastAsia"/>
                <w:color w:val="auto"/>
                <w:sz w:val="21"/>
                <w:lang w:eastAsia="zh-CN"/>
                <w14:ligatures w14:val="none"/>
              </w:rPr>
              <w:t>000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PVC-U带状型材</w:t>
            </w: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134" w:type="dxa"/>
            <w:vMerge w:val="restart"/>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需要</w:t>
            </w: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短管内衬法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r>
              <w:rPr>
                <w:rFonts w:hint="eastAsia" w:cs="Times New Roman" w:asciiTheme="minorHAnsi" w:hAnsiTheme="minorHAnsi" w:eastAsiaTheme="minorEastAsia"/>
                <w:color w:val="auto"/>
                <w:sz w:val="21"/>
                <w:lang w:eastAsia="zh-CN"/>
                <w14:ligatures w14:val="none"/>
              </w:rPr>
              <w:t>~</w:t>
            </w:r>
            <w:r>
              <w:rPr>
                <w:rFonts w:cs="Times New Roman" w:asciiTheme="minorHAnsi" w:hAnsiTheme="minorHAnsi" w:eastAsiaTheme="minorEastAsia"/>
                <w:color w:val="auto"/>
                <w:sz w:val="21"/>
                <w:lang w:eastAsia="zh-CN"/>
                <w14:ligatures w14:val="none"/>
              </w:rPr>
              <w:t>600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PE管、HEPE管</w:t>
            </w: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垫衬法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≥1000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PE垫、填充浆液</w:t>
            </w:r>
          </w:p>
        </w:tc>
        <w:tc>
          <w:tcPr>
            <w:tcW w:w="1134"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井室尺寸满足施工时不需要</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需要</w:t>
            </w: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无机防腐砂浆喷涂法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p>
        </w:tc>
        <w:tc>
          <w:tcPr>
            <w:tcW w:w="1900"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混凝土及钢筋混凝土管、金属管、砖砌管涵</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铝酸盐无机防腐砂浆</w:t>
            </w:r>
          </w:p>
        </w:tc>
        <w:tc>
          <w:tcPr>
            <w:tcW w:w="1134" w:type="dxa"/>
            <w:vMerge w:val="restart"/>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134" w:type="dxa"/>
            <w:vMerge w:val="restart"/>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水泥基材料喷涂法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p>
        </w:tc>
        <w:tc>
          <w:tcPr>
            <w:tcW w:w="1900"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混凝土及钢筋混凝土管、金属管、砖砌管涵</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硅酸盐无机防腐砂浆</w:t>
            </w: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高分子</w:t>
            </w:r>
            <w:r>
              <w:rPr>
                <w:rFonts w:cs="Times New Roman" w:asciiTheme="minorHAnsi" w:hAnsiTheme="minorHAnsi" w:eastAsiaTheme="minorEastAsia"/>
                <w:color w:val="auto"/>
                <w:sz w:val="21"/>
                <w:lang w:eastAsia="zh-CN"/>
                <w14:ligatures w14:val="none"/>
              </w:rPr>
              <w:t>材料喷涂法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p>
        </w:tc>
        <w:tc>
          <w:tcPr>
            <w:tcW w:w="1900"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混凝土及钢筋混凝土管、金属管、砖砌管涵</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聚合物（含氨酯、改性聚麻）</w:t>
            </w: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点状原位固化修复法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200</w:t>
            </w:r>
            <w:r>
              <w:rPr>
                <w:rFonts w:hint="eastAsia" w:cs="Times New Roman" w:asciiTheme="minorHAnsi" w:hAnsiTheme="minorHAnsi" w:eastAsiaTheme="minorEastAsia"/>
                <w:color w:val="auto"/>
                <w:sz w:val="21"/>
                <w:lang w:eastAsia="zh-CN"/>
                <w14:ligatures w14:val="none"/>
              </w:rPr>
              <w:t>~</w:t>
            </w:r>
            <w:r>
              <w:rPr>
                <w:rFonts w:cs="Times New Roman" w:asciiTheme="minorHAnsi" w:hAnsiTheme="minorHAnsi" w:eastAsiaTheme="minorEastAsia"/>
                <w:color w:val="auto"/>
                <w:sz w:val="21"/>
                <w:lang w:eastAsia="zh-CN"/>
                <w14:ligatures w14:val="none"/>
              </w:rPr>
              <w:t>1200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玻璃纤维、树脂</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134" w:type="dxa"/>
            <w:vMerge w:val="restart"/>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不锈钢双胀环法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≥800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不锈钢</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不锈钢快速锁法</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r>
              <w:rPr>
                <w:rFonts w:hint="eastAsia" w:cs="Times New Roman" w:asciiTheme="minorHAnsi" w:hAnsiTheme="minorHAnsi" w:eastAsiaTheme="minorEastAsia"/>
                <w:color w:val="auto"/>
                <w:sz w:val="21"/>
                <w:lang w:eastAsia="zh-CN"/>
                <w14:ligatures w14:val="none"/>
              </w:rPr>
              <w:t>~</w:t>
            </w:r>
            <w:r>
              <w:rPr>
                <w:rFonts w:cs="Times New Roman" w:asciiTheme="minorHAnsi" w:hAnsiTheme="minorHAnsi" w:eastAsiaTheme="minorEastAsia"/>
                <w:color w:val="auto"/>
                <w:sz w:val="21"/>
                <w:lang w:eastAsia="zh-CN"/>
                <w14:ligatures w14:val="none"/>
              </w:rPr>
              <w:t>1800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不锈钢</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134" w:type="dxa"/>
            <w:vMerge w:val="continue"/>
            <w:vAlign w:val="center"/>
          </w:tcPr>
          <w:p>
            <w:pPr>
              <w:ind w:firstLine="0" w:firstLineChars="0"/>
              <w:jc w:val="center"/>
              <w:rPr>
                <w:rFonts w:cs="Times New Roman" w:asciiTheme="minorHAnsi" w:hAnsiTheme="minorHAnsi" w:eastAsiaTheme="minorEastAsia"/>
                <w:color w:val="auto"/>
                <w:sz w:val="21"/>
                <w:lang w:eastAsia="zh-CN"/>
                <w14:ligatures w14:val="none"/>
              </w:rPr>
            </w:pP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注浆加固土体</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水泥浆液、硅化浆液、碱液</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裂缝嵌补</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≥800</w:t>
            </w:r>
          </w:p>
        </w:tc>
        <w:tc>
          <w:tcPr>
            <w:tcW w:w="1900"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混凝土及钢筋混凝土管、砖砌管涵</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聚氨酯等</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结构性缺陷修复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高压水射清洗</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r>
              <w:rPr>
                <w:rFonts w:hint="eastAsia" w:cs="Times New Roman" w:asciiTheme="minorHAnsi" w:hAnsiTheme="minorHAnsi" w:eastAsiaTheme="minorEastAsia"/>
                <w:color w:val="auto"/>
                <w:sz w:val="21"/>
                <w:lang w:eastAsia="zh-CN"/>
                <w14:ligatures w14:val="none"/>
              </w:rPr>
              <w:t>~</w:t>
            </w:r>
            <w:r>
              <w:rPr>
                <w:rFonts w:cs="Times New Roman" w:asciiTheme="minorHAnsi" w:hAnsiTheme="minorHAnsi" w:eastAsiaTheme="minorEastAsia"/>
                <w:color w:val="auto"/>
                <w:sz w:val="21"/>
                <w:lang w:eastAsia="zh-CN"/>
                <w14:ligatures w14:val="none"/>
              </w:rPr>
              <w:t>1200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水</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bookmarkStart w:id="329" w:name="OLE_LINK14"/>
            <w:r>
              <w:rPr>
                <w:rFonts w:hint="eastAsia" w:cs="Times New Roman" w:asciiTheme="minorHAnsi" w:hAnsiTheme="minorHAnsi" w:eastAsiaTheme="minorEastAsia"/>
                <w:color w:val="auto"/>
                <w:sz w:val="21"/>
                <w:lang w:eastAsia="zh-CN"/>
                <w14:ligatures w14:val="standardContextual"/>
              </w:rPr>
              <w:t>功能性缺陷修复</w:t>
            </w:r>
            <w:bookmarkEnd w:id="329"/>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铣刀清洗</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r>
              <w:rPr>
                <w:rFonts w:hint="eastAsia" w:cs="Times New Roman" w:asciiTheme="minorHAnsi" w:hAnsiTheme="minorHAnsi" w:eastAsiaTheme="minorEastAsia"/>
                <w:color w:val="auto"/>
                <w:sz w:val="21"/>
                <w:lang w:eastAsia="zh-CN"/>
                <w14:ligatures w14:val="none"/>
              </w:rPr>
              <w:t>~</w:t>
            </w:r>
            <w:r>
              <w:rPr>
                <w:rFonts w:cs="Times New Roman" w:asciiTheme="minorHAnsi" w:hAnsiTheme="minorHAnsi" w:eastAsiaTheme="minorEastAsia"/>
                <w:color w:val="auto"/>
                <w:sz w:val="21"/>
                <w:lang w:eastAsia="zh-CN"/>
                <w14:ligatures w14:val="none"/>
              </w:rPr>
              <w:t>1200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水</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功能性缺陷修复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机械清洗</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r>
              <w:rPr>
                <w:rFonts w:hint="eastAsia" w:cs="Times New Roman" w:asciiTheme="minorHAnsi" w:hAnsiTheme="minorHAnsi" w:eastAsiaTheme="minorEastAsia"/>
                <w:color w:val="auto"/>
                <w:sz w:val="21"/>
                <w:lang w:eastAsia="zh-CN"/>
                <w14:ligatures w14:val="none"/>
              </w:rPr>
              <w:t>~</w:t>
            </w:r>
            <w:r>
              <w:rPr>
                <w:rFonts w:cs="Times New Roman" w:asciiTheme="minorHAnsi" w:hAnsiTheme="minorHAnsi" w:eastAsiaTheme="minorEastAsia"/>
                <w:color w:val="auto"/>
                <w:sz w:val="21"/>
                <w:lang w:eastAsia="zh-CN"/>
                <w14:ligatures w14:val="none"/>
              </w:rPr>
              <w:t>800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功能性缺陷修复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人工清洗</w:t>
            </w:r>
          </w:p>
        </w:tc>
        <w:tc>
          <w:tcPr>
            <w:tcW w:w="118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300</w:t>
            </w:r>
            <w:r>
              <w:rPr>
                <w:rFonts w:hint="eastAsia" w:cs="Times New Roman" w:asciiTheme="minorHAnsi" w:hAnsiTheme="minorHAnsi" w:eastAsiaTheme="minorEastAsia"/>
                <w:color w:val="auto"/>
                <w:sz w:val="21"/>
                <w:lang w:eastAsia="zh-CN"/>
                <w14:ligatures w14:val="none"/>
              </w:rPr>
              <w:t>~</w:t>
            </w:r>
            <w:r>
              <w:rPr>
                <w:rFonts w:cs="Times New Roman" w:asciiTheme="minorHAnsi" w:hAnsiTheme="minorHAnsi" w:eastAsiaTheme="minorEastAsia"/>
                <w:color w:val="auto"/>
                <w:sz w:val="21"/>
                <w:lang w:eastAsia="zh-CN"/>
                <w14:ligatures w14:val="none"/>
              </w:rPr>
              <w:t>800</w:t>
            </w:r>
          </w:p>
        </w:tc>
        <w:tc>
          <w:tcPr>
            <w:tcW w:w="190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各类材质</w:t>
            </w:r>
          </w:p>
        </w:tc>
        <w:tc>
          <w:tcPr>
            <w:tcW w:w="1568" w:type="dxa"/>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圆形、矩形、异形</w:t>
            </w:r>
          </w:p>
        </w:tc>
        <w:tc>
          <w:tcPr>
            <w:tcW w:w="1552"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cs="Times New Roman" w:asciiTheme="minorHAnsi" w:hAnsiTheme="minorHAnsi" w:eastAsiaTheme="minorEastAsia"/>
                <w:color w:val="auto"/>
                <w:sz w:val="21"/>
                <w:lang w:eastAsia="zh-CN"/>
                <w14:ligatures w14:val="none"/>
              </w:rPr>
              <w:t>不需要</w:t>
            </w:r>
          </w:p>
        </w:tc>
        <w:tc>
          <w:tcPr>
            <w:tcW w:w="1134"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c>
          <w:tcPr>
            <w:tcW w:w="1260" w:type="dxa"/>
          </w:tcPr>
          <w:p>
            <w:pPr>
              <w:ind w:firstLine="0" w:firstLineChars="0"/>
              <w:jc w:val="center"/>
              <w:rPr>
                <w:rFonts w:cs="Times New Roman" w:asciiTheme="minorHAnsi" w:hAnsiTheme="minorHAnsi" w:eastAsiaTheme="minorEastAsia"/>
                <w:color w:val="auto"/>
                <w:sz w:val="21"/>
                <w:lang w:eastAsia="zh-CN"/>
                <w14:ligatures w14:val="standardContextual"/>
              </w:rPr>
            </w:pPr>
            <w:r>
              <w:rPr>
                <w:rFonts w:hint="eastAsia" w:cs="Times New Roman" w:asciiTheme="minorHAnsi" w:hAnsiTheme="minorHAnsi" w:eastAsiaTheme="minorEastAsia"/>
                <w:color w:val="auto"/>
                <w:sz w:val="21"/>
                <w:lang w:eastAsia="zh-CN"/>
                <w14:ligatures w14:val="standardContextual"/>
              </w:rPr>
              <w:t>功能性缺陷修复</w:t>
            </w:r>
          </w:p>
        </w:tc>
        <w:tc>
          <w:tcPr>
            <w:tcW w:w="960" w:type="dxa"/>
            <w:noWrap/>
            <w:vAlign w:val="center"/>
          </w:tcPr>
          <w:p>
            <w:pPr>
              <w:ind w:firstLine="0" w:firstLineChars="0"/>
              <w:jc w:val="center"/>
              <w:rPr>
                <w:rFonts w:cs="Times New Roman" w:asciiTheme="minorHAnsi" w:hAnsiTheme="minorHAnsi" w:eastAsiaTheme="minorEastAsia"/>
                <w:color w:val="auto"/>
                <w:sz w:val="21"/>
                <w:lang w:eastAsia="zh-CN"/>
                <w14:ligatures w14:val="none"/>
              </w:rPr>
            </w:pPr>
            <w:r>
              <w:rPr>
                <w:rFonts w:hint="eastAsia" w:cs="Times New Roman" w:asciiTheme="minorHAnsi" w:hAnsiTheme="minorHAnsi" w:eastAsiaTheme="minorEastAsia"/>
                <w:color w:val="auto"/>
                <w:sz w:val="21"/>
                <w:lang w:eastAsia="zh-CN"/>
                <w14:ligatures w14:val="none"/>
              </w:rPr>
              <w:t>——</w:t>
            </w:r>
          </w:p>
        </w:tc>
      </w:tr>
    </w:tbl>
    <w:p>
      <w:pPr>
        <w:kinsoku/>
        <w:autoSpaceDE/>
        <w:autoSpaceDN/>
        <w:adjustRightInd/>
        <w:snapToGrid/>
        <w:spacing w:line="240" w:lineRule="auto"/>
        <w:ind w:firstLine="0" w:firstLineChars="0"/>
        <w:jc w:val="left"/>
        <w:textAlignment w:val="auto"/>
        <w:rPr>
          <w:rFonts w:eastAsia="黑体" w:cs="Times New Roman"/>
          <w:color w:val="000000" w:themeColor="text1"/>
          <w:lang w:eastAsia="zh-CN"/>
          <w14:textFill>
            <w14:solidFill>
              <w14:schemeClr w14:val="tx1"/>
            </w14:solidFill>
          </w14:textFill>
        </w:rPr>
      </w:pPr>
      <w:r>
        <w:rPr>
          <w:rFonts w:eastAsia="黑体" w:cs="Times New Roman"/>
          <w:color w:val="000000" w:themeColor="text1"/>
          <w:lang w:eastAsia="zh-CN"/>
          <w14:textFill>
            <w14:solidFill>
              <w14:schemeClr w14:val="tx1"/>
            </w14:solidFill>
          </w14:textFill>
        </w:rPr>
        <w:br w:type="page"/>
      </w:r>
    </w:p>
    <w:p>
      <w:pPr>
        <w:ind w:firstLine="0" w:firstLineChars="0"/>
        <w:jc w:val="center"/>
        <w:rPr>
          <w:rFonts w:cs="Times New Roman"/>
          <w:b/>
          <w:color w:val="000000" w:themeColor="text1"/>
          <w:sz w:val="28"/>
          <w:szCs w:val="22"/>
          <w:lang w:eastAsia="zh-CN"/>
          <w14:textFill>
            <w14:solidFill>
              <w14:schemeClr w14:val="tx1"/>
            </w14:solidFill>
          </w14:textFill>
        </w:rPr>
      </w:pPr>
      <w:r>
        <w:rPr>
          <w:rFonts w:cs="Times New Roman"/>
          <w:b/>
          <w:color w:val="000000" w:themeColor="text1"/>
          <w:sz w:val="28"/>
          <w:szCs w:val="22"/>
          <w:lang w:eastAsia="zh-CN"/>
          <w14:textFill>
            <w14:solidFill>
              <w14:schemeClr w14:val="tx1"/>
            </w14:solidFill>
          </w14:textFill>
        </w:rPr>
        <w:t>A.0.</w:t>
      </w:r>
      <w:r>
        <w:rPr>
          <w:rFonts w:hint="eastAsia" w:cs="Times New Roman"/>
          <w:b/>
          <w:color w:val="000000" w:themeColor="text1"/>
          <w:sz w:val="28"/>
          <w:szCs w:val="22"/>
          <w:lang w:eastAsia="zh-CN"/>
          <w14:textFill>
            <w14:solidFill>
              <w14:schemeClr w14:val="tx1"/>
            </w14:solidFill>
          </w14:textFill>
        </w:rPr>
        <w:t>2</w:t>
      </w:r>
      <w:r>
        <w:rPr>
          <w:rFonts w:cs="Times New Roman"/>
          <w:b/>
          <w:color w:val="000000" w:themeColor="text1"/>
          <w:sz w:val="28"/>
          <w:szCs w:val="22"/>
          <w:lang w:eastAsia="zh-CN"/>
          <w14:textFill>
            <w14:solidFill>
              <w14:schemeClr w14:val="tx1"/>
            </w14:solidFill>
          </w14:textFill>
        </w:rPr>
        <w:t xml:space="preserve"> </w:t>
      </w:r>
      <w:r>
        <w:rPr>
          <w:rFonts w:ascii="宋体" w:hAnsi="宋体" w:cs="Times New Roman"/>
          <w:b/>
          <w:bCs/>
          <w:sz w:val="28"/>
          <w:szCs w:val="22"/>
          <w:lang w:eastAsia="zh-CN"/>
        </w:rPr>
        <w:t>不同等级功能性缺陷</w:t>
      </w:r>
      <w:r>
        <w:rPr>
          <w:rFonts w:hint="eastAsia" w:ascii="宋体" w:hAnsi="宋体" w:cs="Times New Roman"/>
          <w:b/>
          <w:bCs/>
          <w:sz w:val="28"/>
          <w:szCs w:val="22"/>
          <w:lang w:eastAsia="zh-CN"/>
        </w:rPr>
        <w:t>预处理</w:t>
      </w:r>
      <w:r>
        <w:rPr>
          <w:rFonts w:ascii="宋体" w:hAnsi="宋体" w:cs="Times New Roman"/>
          <w:b/>
          <w:bCs/>
          <w:sz w:val="28"/>
          <w:szCs w:val="22"/>
          <w:lang w:eastAsia="zh-CN"/>
        </w:rPr>
        <w:t>方式选择表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32"/>
        <w:gridCol w:w="2165"/>
        <w:gridCol w:w="2198"/>
        <w:gridCol w:w="2132"/>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88" w:type="dxa"/>
            <w:vMerge w:val="restart"/>
            <w:noWrap/>
            <w:vAlign w:val="center"/>
          </w:tcPr>
          <w:p>
            <w:pPr>
              <w:ind w:firstLine="0" w:firstLineChars="0"/>
              <w:jc w:val="center"/>
              <w:rPr>
                <w:rFonts w:cs="Times New Roman"/>
                <w:color w:val="auto"/>
                <w:sz w:val="21"/>
                <w:lang w:eastAsia="zh-CN"/>
              </w:rPr>
            </w:pPr>
            <w:r>
              <w:rPr>
                <w:rFonts w:cs="Times New Roman"/>
                <w:color w:val="auto"/>
                <w:sz w:val="21"/>
                <w:lang w:eastAsia="zh-CN"/>
              </w:rPr>
              <w:t>序号</w:t>
            </w:r>
          </w:p>
        </w:tc>
        <w:tc>
          <w:tcPr>
            <w:tcW w:w="1732" w:type="dxa"/>
            <w:vMerge w:val="restart"/>
            <w:noWrap/>
            <w:vAlign w:val="center"/>
          </w:tcPr>
          <w:p>
            <w:pPr>
              <w:ind w:firstLine="0" w:firstLineChars="0"/>
              <w:jc w:val="center"/>
              <w:rPr>
                <w:rFonts w:cs="Times New Roman"/>
                <w:color w:val="auto"/>
                <w:sz w:val="21"/>
                <w:lang w:eastAsia="zh-CN"/>
              </w:rPr>
            </w:pPr>
            <w:r>
              <w:rPr>
                <w:rFonts w:cs="Times New Roman"/>
                <w:color w:val="auto"/>
                <w:sz w:val="21"/>
                <w:lang w:eastAsia="zh-CN"/>
              </w:rPr>
              <w:t>缺陷类别</w:t>
            </w:r>
          </w:p>
        </w:tc>
        <w:tc>
          <w:tcPr>
            <w:tcW w:w="8660" w:type="dxa"/>
            <w:gridSpan w:val="4"/>
            <w:noWrap/>
            <w:vAlign w:val="center"/>
          </w:tcPr>
          <w:p>
            <w:pPr>
              <w:ind w:firstLine="0" w:firstLineChars="0"/>
              <w:jc w:val="center"/>
              <w:rPr>
                <w:rFonts w:cs="Times New Roman"/>
                <w:color w:val="auto"/>
                <w:sz w:val="21"/>
                <w:lang w:eastAsia="zh-CN"/>
              </w:rPr>
            </w:pPr>
            <w:r>
              <w:rPr>
                <w:rFonts w:hint="eastAsia" w:cs="Times New Roman"/>
                <w:color w:val="auto"/>
                <w:sz w:val="21"/>
                <w:lang w:eastAsia="zh-CN"/>
              </w:rPr>
              <w:t>预处理</w:t>
            </w:r>
            <w:r>
              <w:rPr>
                <w:rFonts w:cs="Times New Roman"/>
                <w:color w:val="auto"/>
                <w:sz w:val="21"/>
                <w:lang w:eastAsia="zh-CN"/>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88" w:type="dxa"/>
            <w:vMerge w:val="continue"/>
            <w:vAlign w:val="center"/>
          </w:tcPr>
          <w:p>
            <w:pPr>
              <w:ind w:firstLine="0" w:firstLineChars="0"/>
              <w:jc w:val="center"/>
              <w:rPr>
                <w:rFonts w:cs="Times New Roman"/>
                <w:color w:val="auto"/>
                <w:sz w:val="21"/>
                <w:lang w:eastAsia="zh-CN"/>
              </w:rPr>
            </w:pPr>
          </w:p>
        </w:tc>
        <w:tc>
          <w:tcPr>
            <w:tcW w:w="1732" w:type="dxa"/>
            <w:vMerge w:val="continue"/>
            <w:vAlign w:val="center"/>
          </w:tcPr>
          <w:p>
            <w:pPr>
              <w:ind w:firstLine="0" w:firstLineChars="0"/>
              <w:jc w:val="center"/>
              <w:rPr>
                <w:rFonts w:cs="Times New Roman"/>
                <w:color w:val="auto"/>
                <w:sz w:val="21"/>
                <w:lang w:eastAsia="zh-CN"/>
              </w:rPr>
            </w:pPr>
          </w:p>
        </w:tc>
        <w:tc>
          <w:tcPr>
            <w:tcW w:w="2165" w:type="dxa"/>
            <w:noWrap/>
            <w:vAlign w:val="center"/>
          </w:tcPr>
          <w:p>
            <w:pPr>
              <w:ind w:firstLine="0" w:firstLineChars="0"/>
              <w:jc w:val="center"/>
              <w:rPr>
                <w:rFonts w:cs="Times New Roman"/>
                <w:color w:val="auto"/>
                <w:sz w:val="21"/>
                <w:lang w:eastAsia="zh-CN"/>
              </w:rPr>
            </w:pPr>
            <w:r>
              <w:rPr>
                <w:rFonts w:cs="Times New Roman"/>
                <w:color w:val="auto"/>
                <w:sz w:val="21"/>
                <w:lang w:eastAsia="zh-CN"/>
              </w:rPr>
              <w:t>I</w:t>
            </w:r>
          </w:p>
        </w:tc>
        <w:tc>
          <w:tcPr>
            <w:tcW w:w="2198" w:type="dxa"/>
            <w:noWrap/>
            <w:vAlign w:val="center"/>
          </w:tcPr>
          <w:p>
            <w:pPr>
              <w:ind w:firstLine="0" w:firstLineChars="0"/>
              <w:jc w:val="center"/>
              <w:rPr>
                <w:rFonts w:cs="Times New Roman"/>
                <w:color w:val="auto"/>
                <w:sz w:val="21"/>
                <w:lang w:eastAsia="zh-CN"/>
              </w:rPr>
            </w:pPr>
            <w:r>
              <w:rPr>
                <w:rFonts w:cs="Times New Roman"/>
                <w:color w:val="auto"/>
                <w:sz w:val="21"/>
                <w:lang w:eastAsia="zh-CN"/>
              </w:rPr>
              <w:t>II</w:t>
            </w:r>
          </w:p>
        </w:tc>
        <w:tc>
          <w:tcPr>
            <w:tcW w:w="2132" w:type="dxa"/>
            <w:noWrap/>
            <w:vAlign w:val="center"/>
          </w:tcPr>
          <w:p>
            <w:pPr>
              <w:ind w:firstLine="0" w:firstLineChars="0"/>
              <w:jc w:val="center"/>
              <w:rPr>
                <w:rFonts w:cs="Times New Roman"/>
                <w:color w:val="auto"/>
                <w:sz w:val="21"/>
                <w:lang w:eastAsia="zh-CN"/>
              </w:rPr>
            </w:pPr>
            <w:r>
              <w:rPr>
                <w:rFonts w:cs="Times New Roman"/>
                <w:color w:val="auto"/>
                <w:sz w:val="21"/>
                <w:lang w:eastAsia="zh-CN"/>
              </w:rPr>
              <w:t>III</w:t>
            </w:r>
          </w:p>
        </w:tc>
        <w:tc>
          <w:tcPr>
            <w:tcW w:w="2165" w:type="dxa"/>
            <w:noWrap/>
            <w:vAlign w:val="center"/>
          </w:tcPr>
          <w:p>
            <w:pPr>
              <w:ind w:firstLine="0" w:firstLineChars="0"/>
              <w:jc w:val="center"/>
              <w:rPr>
                <w:rFonts w:cs="Times New Roman"/>
                <w:color w:val="auto"/>
                <w:sz w:val="21"/>
                <w:lang w:eastAsia="zh-CN"/>
              </w:rPr>
            </w:pPr>
            <w:r>
              <w:rPr>
                <w:rFonts w:cs="Times New Roman"/>
                <w:color w:val="auto"/>
                <w:sz w:val="21"/>
                <w:lang w:eastAsia="zh-CN"/>
              </w:rPr>
              <w:t>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88" w:type="dxa"/>
            <w:noWrap/>
            <w:vAlign w:val="center"/>
          </w:tcPr>
          <w:p>
            <w:pPr>
              <w:ind w:firstLine="0" w:firstLineChars="0"/>
              <w:jc w:val="center"/>
              <w:rPr>
                <w:rFonts w:cs="Times New Roman"/>
                <w:color w:val="auto"/>
                <w:sz w:val="21"/>
                <w:lang w:eastAsia="zh-CN"/>
              </w:rPr>
            </w:pPr>
            <w:r>
              <w:rPr>
                <w:rFonts w:cs="Times New Roman"/>
                <w:color w:val="auto"/>
                <w:sz w:val="21"/>
                <w:lang w:eastAsia="zh-CN"/>
              </w:rPr>
              <w:t>1</w:t>
            </w:r>
          </w:p>
        </w:tc>
        <w:tc>
          <w:tcPr>
            <w:tcW w:w="1732" w:type="dxa"/>
            <w:noWrap/>
            <w:vAlign w:val="center"/>
          </w:tcPr>
          <w:p>
            <w:pPr>
              <w:ind w:firstLine="0" w:firstLineChars="0"/>
              <w:jc w:val="center"/>
              <w:rPr>
                <w:rFonts w:cs="Times New Roman"/>
                <w:color w:val="auto"/>
                <w:sz w:val="21"/>
                <w:lang w:eastAsia="zh-CN"/>
              </w:rPr>
            </w:pPr>
            <w:r>
              <w:rPr>
                <w:rFonts w:cs="Times New Roman"/>
                <w:color w:val="auto"/>
                <w:sz w:val="21"/>
                <w:lang w:eastAsia="zh-CN"/>
              </w:rPr>
              <w:t>沉积（CJ）</w:t>
            </w:r>
          </w:p>
        </w:tc>
        <w:tc>
          <w:tcPr>
            <w:tcW w:w="4363" w:type="dxa"/>
            <w:gridSpan w:val="2"/>
            <w:vAlign w:val="center"/>
          </w:tcPr>
          <w:p>
            <w:pPr>
              <w:ind w:firstLine="0" w:firstLineChars="0"/>
              <w:jc w:val="center"/>
              <w:rPr>
                <w:rFonts w:cs="Times New Roman"/>
                <w:color w:val="auto"/>
                <w:sz w:val="21"/>
                <w:lang w:eastAsia="zh-CN"/>
              </w:rPr>
            </w:pPr>
            <w:r>
              <w:rPr>
                <w:rFonts w:cs="Times New Roman"/>
                <w:color w:val="auto"/>
                <w:sz w:val="21"/>
                <w:lang w:eastAsia="zh-CN"/>
              </w:rPr>
              <w:t>管径≤800mm：机械、高压射水</w:t>
            </w:r>
            <w:r>
              <w:rPr>
                <w:rFonts w:cs="Times New Roman"/>
                <w:color w:val="auto"/>
                <w:sz w:val="21"/>
                <w:lang w:eastAsia="zh-CN"/>
              </w:rPr>
              <w:br w:type="textWrapping"/>
            </w:r>
            <w:r>
              <w:rPr>
                <w:rFonts w:cs="Times New Roman"/>
                <w:color w:val="auto"/>
                <w:sz w:val="21"/>
                <w:lang w:eastAsia="zh-CN"/>
              </w:rPr>
              <w:t>管径＞800mm：人工、高压射水</w:t>
            </w:r>
          </w:p>
        </w:tc>
        <w:tc>
          <w:tcPr>
            <w:tcW w:w="4297" w:type="dxa"/>
            <w:gridSpan w:val="2"/>
            <w:vAlign w:val="center"/>
          </w:tcPr>
          <w:p>
            <w:pPr>
              <w:ind w:firstLine="0" w:firstLineChars="0"/>
              <w:jc w:val="center"/>
              <w:rPr>
                <w:rFonts w:cs="Times New Roman"/>
                <w:color w:val="auto"/>
                <w:sz w:val="21"/>
                <w:lang w:eastAsia="zh-CN"/>
              </w:rPr>
            </w:pPr>
            <w:r>
              <w:rPr>
                <w:rFonts w:cs="Times New Roman"/>
                <w:color w:val="auto"/>
                <w:sz w:val="21"/>
                <w:lang w:eastAsia="zh-CN"/>
              </w:rPr>
              <w:t>管径≤800mm：机械、高压射水、铣刀</w:t>
            </w:r>
            <w:r>
              <w:rPr>
                <w:rFonts w:cs="Times New Roman"/>
                <w:color w:val="auto"/>
                <w:sz w:val="21"/>
                <w:lang w:eastAsia="zh-CN"/>
              </w:rPr>
              <w:br w:type="textWrapping"/>
            </w:r>
            <w:r>
              <w:rPr>
                <w:rFonts w:cs="Times New Roman"/>
                <w:color w:val="auto"/>
                <w:sz w:val="21"/>
                <w:lang w:eastAsia="zh-CN"/>
              </w:rPr>
              <w:t>管径＞800mm：人工、高压射水、铣刀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88" w:type="dxa"/>
            <w:noWrap/>
            <w:vAlign w:val="center"/>
          </w:tcPr>
          <w:p>
            <w:pPr>
              <w:ind w:firstLine="0" w:firstLineChars="0"/>
              <w:jc w:val="center"/>
              <w:rPr>
                <w:rFonts w:cs="Times New Roman"/>
                <w:color w:val="auto"/>
                <w:sz w:val="21"/>
                <w:lang w:eastAsia="zh-CN"/>
              </w:rPr>
            </w:pPr>
            <w:r>
              <w:rPr>
                <w:rFonts w:cs="Times New Roman"/>
                <w:color w:val="auto"/>
                <w:sz w:val="21"/>
                <w:lang w:eastAsia="zh-CN"/>
              </w:rPr>
              <w:t>2</w:t>
            </w:r>
          </w:p>
        </w:tc>
        <w:tc>
          <w:tcPr>
            <w:tcW w:w="1732" w:type="dxa"/>
            <w:noWrap/>
            <w:vAlign w:val="center"/>
          </w:tcPr>
          <w:p>
            <w:pPr>
              <w:ind w:firstLine="0" w:firstLineChars="0"/>
              <w:jc w:val="center"/>
              <w:rPr>
                <w:rFonts w:cs="Times New Roman"/>
                <w:color w:val="auto"/>
                <w:sz w:val="21"/>
                <w:lang w:eastAsia="zh-CN"/>
              </w:rPr>
            </w:pPr>
            <w:r>
              <w:rPr>
                <w:rFonts w:cs="Times New Roman"/>
                <w:color w:val="auto"/>
                <w:sz w:val="21"/>
                <w:lang w:eastAsia="zh-CN"/>
              </w:rPr>
              <w:t>结垢（JG）</w:t>
            </w:r>
          </w:p>
        </w:tc>
        <w:tc>
          <w:tcPr>
            <w:tcW w:w="4363" w:type="dxa"/>
            <w:gridSpan w:val="2"/>
            <w:vAlign w:val="center"/>
          </w:tcPr>
          <w:p>
            <w:pPr>
              <w:ind w:firstLine="0" w:firstLineChars="0"/>
              <w:jc w:val="center"/>
              <w:rPr>
                <w:rFonts w:cs="Times New Roman"/>
                <w:color w:val="auto"/>
                <w:sz w:val="21"/>
                <w:lang w:eastAsia="zh-CN"/>
              </w:rPr>
            </w:pPr>
            <w:r>
              <w:rPr>
                <w:rFonts w:cs="Times New Roman"/>
                <w:color w:val="auto"/>
                <w:sz w:val="21"/>
                <w:lang w:eastAsia="zh-CN"/>
              </w:rPr>
              <w:t>管径≤800mm：高压射水</w:t>
            </w:r>
            <w:r>
              <w:rPr>
                <w:rFonts w:cs="Times New Roman"/>
                <w:color w:val="auto"/>
                <w:sz w:val="21"/>
                <w:lang w:eastAsia="zh-CN"/>
              </w:rPr>
              <w:br w:type="textWrapping"/>
            </w:r>
            <w:r>
              <w:rPr>
                <w:rFonts w:cs="Times New Roman"/>
                <w:color w:val="auto"/>
                <w:sz w:val="21"/>
                <w:lang w:eastAsia="zh-CN"/>
              </w:rPr>
              <w:t>管径＞800mm：人工、高压射水</w:t>
            </w:r>
          </w:p>
        </w:tc>
        <w:tc>
          <w:tcPr>
            <w:tcW w:w="4297" w:type="dxa"/>
            <w:gridSpan w:val="2"/>
            <w:vAlign w:val="center"/>
          </w:tcPr>
          <w:p>
            <w:pPr>
              <w:ind w:firstLine="0" w:firstLineChars="0"/>
              <w:jc w:val="center"/>
              <w:rPr>
                <w:rFonts w:cs="Times New Roman"/>
                <w:color w:val="auto"/>
                <w:sz w:val="21"/>
                <w:lang w:eastAsia="zh-CN"/>
              </w:rPr>
            </w:pPr>
            <w:r>
              <w:rPr>
                <w:rFonts w:cs="Times New Roman"/>
                <w:color w:val="auto"/>
                <w:sz w:val="21"/>
                <w:lang w:eastAsia="zh-CN"/>
              </w:rPr>
              <w:t>管径≤800mm：高压射水、铣刀</w:t>
            </w:r>
            <w:r>
              <w:rPr>
                <w:rFonts w:cs="Times New Roman"/>
                <w:color w:val="auto"/>
                <w:sz w:val="21"/>
                <w:lang w:eastAsia="zh-CN"/>
              </w:rPr>
              <w:br w:type="textWrapping"/>
            </w:r>
            <w:r>
              <w:rPr>
                <w:rFonts w:cs="Times New Roman"/>
                <w:color w:val="auto"/>
                <w:sz w:val="21"/>
                <w:lang w:eastAsia="zh-CN"/>
              </w:rPr>
              <w:t>管径＞800mm：人工、高压射水、铣刀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88" w:type="dxa"/>
            <w:noWrap/>
            <w:vAlign w:val="center"/>
          </w:tcPr>
          <w:p>
            <w:pPr>
              <w:ind w:firstLine="0" w:firstLineChars="0"/>
              <w:jc w:val="center"/>
              <w:rPr>
                <w:rFonts w:cs="Times New Roman"/>
                <w:color w:val="auto"/>
                <w:sz w:val="21"/>
                <w:lang w:eastAsia="zh-CN"/>
              </w:rPr>
            </w:pPr>
            <w:r>
              <w:rPr>
                <w:rFonts w:cs="Times New Roman"/>
                <w:color w:val="auto"/>
                <w:sz w:val="21"/>
                <w:lang w:eastAsia="zh-CN"/>
              </w:rPr>
              <w:t>3</w:t>
            </w:r>
          </w:p>
        </w:tc>
        <w:tc>
          <w:tcPr>
            <w:tcW w:w="1732" w:type="dxa"/>
            <w:noWrap/>
            <w:vAlign w:val="center"/>
          </w:tcPr>
          <w:p>
            <w:pPr>
              <w:ind w:firstLine="0" w:firstLineChars="0"/>
              <w:jc w:val="center"/>
              <w:rPr>
                <w:rFonts w:cs="Times New Roman"/>
                <w:color w:val="auto"/>
                <w:sz w:val="21"/>
                <w:lang w:eastAsia="zh-CN"/>
              </w:rPr>
            </w:pPr>
            <w:r>
              <w:rPr>
                <w:rFonts w:cs="Times New Roman"/>
                <w:color w:val="auto"/>
                <w:sz w:val="21"/>
                <w:lang w:eastAsia="zh-CN"/>
              </w:rPr>
              <w:t>障碍物（ZW）</w:t>
            </w:r>
          </w:p>
        </w:tc>
        <w:tc>
          <w:tcPr>
            <w:tcW w:w="4363" w:type="dxa"/>
            <w:gridSpan w:val="2"/>
            <w:vAlign w:val="center"/>
          </w:tcPr>
          <w:p>
            <w:pPr>
              <w:ind w:firstLine="0" w:firstLineChars="0"/>
              <w:jc w:val="center"/>
              <w:rPr>
                <w:rFonts w:cs="Times New Roman"/>
                <w:color w:val="auto"/>
                <w:sz w:val="21"/>
                <w:lang w:eastAsia="zh-CN"/>
              </w:rPr>
            </w:pPr>
            <w:r>
              <w:rPr>
                <w:rFonts w:cs="Times New Roman"/>
                <w:color w:val="auto"/>
                <w:sz w:val="21"/>
                <w:lang w:eastAsia="zh-CN"/>
              </w:rPr>
              <w:t>管径≤800mm：机械、高压射水</w:t>
            </w:r>
            <w:r>
              <w:rPr>
                <w:rFonts w:cs="Times New Roman"/>
                <w:color w:val="auto"/>
                <w:sz w:val="21"/>
                <w:lang w:eastAsia="zh-CN"/>
              </w:rPr>
              <w:br w:type="textWrapping"/>
            </w:r>
            <w:r>
              <w:rPr>
                <w:rFonts w:cs="Times New Roman"/>
                <w:color w:val="auto"/>
                <w:sz w:val="21"/>
                <w:lang w:eastAsia="zh-CN"/>
              </w:rPr>
              <w:t>管径＞800mm：人工、高压射水</w:t>
            </w:r>
          </w:p>
        </w:tc>
        <w:tc>
          <w:tcPr>
            <w:tcW w:w="4297" w:type="dxa"/>
            <w:gridSpan w:val="2"/>
            <w:vAlign w:val="center"/>
          </w:tcPr>
          <w:p>
            <w:pPr>
              <w:ind w:firstLine="0" w:firstLineChars="0"/>
              <w:jc w:val="center"/>
              <w:rPr>
                <w:rFonts w:cs="Times New Roman"/>
                <w:color w:val="auto"/>
                <w:sz w:val="21"/>
                <w:lang w:eastAsia="zh-CN"/>
              </w:rPr>
            </w:pPr>
            <w:r>
              <w:rPr>
                <w:rFonts w:cs="Times New Roman"/>
                <w:color w:val="auto"/>
                <w:sz w:val="21"/>
                <w:lang w:eastAsia="zh-CN"/>
              </w:rPr>
              <w:t>管径≤800mm：机械、高压射水、铣刀</w:t>
            </w:r>
            <w:r>
              <w:rPr>
                <w:rFonts w:cs="Times New Roman"/>
                <w:color w:val="auto"/>
                <w:sz w:val="21"/>
                <w:lang w:eastAsia="zh-CN"/>
              </w:rPr>
              <w:br w:type="textWrapping"/>
            </w:r>
            <w:r>
              <w:rPr>
                <w:rFonts w:cs="Times New Roman"/>
                <w:color w:val="auto"/>
                <w:sz w:val="21"/>
                <w:lang w:eastAsia="zh-CN"/>
              </w:rPr>
              <w:t>管径＞800mm：人工、高压射水、铣刀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88" w:type="dxa"/>
            <w:noWrap/>
            <w:vAlign w:val="center"/>
          </w:tcPr>
          <w:p>
            <w:pPr>
              <w:ind w:firstLine="0" w:firstLineChars="0"/>
              <w:jc w:val="center"/>
              <w:rPr>
                <w:rFonts w:cs="Times New Roman"/>
                <w:color w:val="auto"/>
                <w:sz w:val="21"/>
                <w:lang w:eastAsia="zh-CN"/>
              </w:rPr>
            </w:pPr>
            <w:r>
              <w:rPr>
                <w:rFonts w:cs="Times New Roman"/>
                <w:color w:val="auto"/>
                <w:sz w:val="21"/>
                <w:lang w:eastAsia="zh-CN"/>
              </w:rPr>
              <w:t>4</w:t>
            </w:r>
          </w:p>
        </w:tc>
        <w:tc>
          <w:tcPr>
            <w:tcW w:w="1732" w:type="dxa"/>
            <w:noWrap/>
            <w:vAlign w:val="center"/>
          </w:tcPr>
          <w:p>
            <w:pPr>
              <w:ind w:firstLine="0" w:firstLineChars="0"/>
              <w:jc w:val="center"/>
              <w:rPr>
                <w:rFonts w:cs="Times New Roman"/>
                <w:color w:val="auto"/>
                <w:sz w:val="21"/>
                <w:lang w:eastAsia="zh-CN"/>
              </w:rPr>
            </w:pPr>
            <w:r>
              <w:rPr>
                <w:rFonts w:cs="Times New Roman"/>
                <w:color w:val="auto"/>
                <w:sz w:val="21"/>
                <w:lang w:eastAsia="zh-CN"/>
              </w:rPr>
              <w:t>残墙、坝根（CQ）</w:t>
            </w:r>
          </w:p>
        </w:tc>
        <w:tc>
          <w:tcPr>
            <w:tcW w:w="8660" w:type="dxa"/>
            <w:gridSpan w:val="4"/>
            <w:noWrap/>
            <w:vAlign w:val="center"/>
          </w:tcPr>
          <w:p>
            <w:pPr>
              <w:ind w:firstLine="0" w:firstLineChars="0"/>
              <w:jc w:val="center"/>
              <w:rPr>
                <w:rFonts w:cs="Times New Roman"/>
                <w:color w:val="auto"/>
                <w:sz w:val="21"/>
                <w:lang w:eastAsia="zh-CN"/>
              </w:rPr>
            </w:pPr>
            <w:r>
              <w:rPr>
                <w:rFonts w:cs="Times New Roman"/>
                <w:color w:val="auto"/>
                <w:sz w:val="21"/>
                <w:lang w:eastAsia="zh-CN"/>
              </w:rPr>
              <w:t>铣刀+高压射水+机械或人工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88" w:type="dxa"/>
            <w:noWrap/>
            <w:vAlign w:val="center"/>
          </w:tcPr>
          <w:p>
            <w:pPr>
              <w:ind w:firstLine="0" w:firstLineChars="0"/>
              <w:jc w:val="center"/>
              <w:rPr>
                <w:rFonts w:cs="Times New Roman"/>
                <w:color w:val="auto"/>
                <w:sz w:val="21"/>
                <w:lang w:eastAsia="zh-CN"/>
              </w:rPr>
            </w:pPr>
            <w:r>
              <w:rPr>
                <w:rFonts w:cs="Times New Roman"/>
                <w:color w:val="auto"/>
                <w:sz w:val="21"/>
                <w:lang w:eastAsia="zh-CN"/>
              </w:rPr>
              <w:t>5</w:t>
            </w:r>
          </w:p>
        </w:tc>
        <w:tc>
          <w:tcPr>
            <w:tcW w:w="1732" w:type="dxa"/>
            <w:noWrap/>
            <w:vAlign w:val="center"/>
          </w:tcPr>
          <w:p>
            <w:pPr>
              <w:ind w:firstLine="0" w:firstLineChars="0"/>
              <w:jc w:val="center"/>
              <w:rPr>
                <w:rFonts w:cs="Times New Roman"/>
                <w:color w:val="auto"/>
                <w:sz w:val="21"/>
                <w:lang w:eastAsia="zh-CN"/>
              </w:rPr>
            </w:pPr>
            <w:r>
              <w:rPr>
                <w:rFonts w:cs="Times New Roman"/>
                <w:color w:val="auto"/>
                <w:sz w:val="21"/>
                <w:lang w:eastAsia="zh-CN"/>
              </w:rPr>
              <w:t>树根（SG）</w:t>
            </w:r>
          </w:p>
        </w:tc>
        <w:tc>
          <w:tcPr>
            <w:tcW w:w="8660" w:type="dxa"/>
            <w:gridSpan w:val="4"/>
            <w:noWrap/>
            <w:vAlign w:val="center"/>
          </w:tcPr>
          <w:p>
            <w:pPr>
              <w:ind w:firstLine="0" w:firstLineChars="0"/>
              <w:jc w:val="center"/>
              <w:rPr>
                <w:rFonts w:cs="Times New Roman"/>
                <w:color w:val="auto"/>
                <w:sz w:val="21"/>
                <w:lang w:eastAsia="zh-CN"/>
              </w:rPr>
            </w:pPr>
            <w:r>
              <w:rPr>
                <w:rFonts w:cs="Times New Roman"/>
                <w:color w:val="auto"/>
                <w:sz w:val="21"/>
                <w:lang w:eastAsia="zh-CN"/>
              </w:rPr>
              <w:t>铣刀+高压射水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88" w:type="dxa"/>
            <w:noWrap/>
            <w:vAlign w:val="center"/>
          </w:tcPr>
          <w:p>
            <w:pPr>
              <w:ind w:firstLine="0" w:firstLineChars="0"/>
              <w:jc w:val="center"/>
              <w:rPr>
                <w:rFonts w:cs="Times New Roman"/>
                <w:color w:val="auto"/>
                <w:sz w:val="21"/>
                <w:lang w:eastAsia="zh-CN"/>
              </w:rPr>
            </w:pPr>
            <w:r>
              <w:rPr>
                <w:rFonts w:cs="Times New Roman"/>
                <w:color w:val="auto"/>
                <w:sz w:val="21"/>
                <w:lang w:eastAsia="zh-CN"/>
              </w:rPr>
              <w:t>6</w:t>
            </w:r>
          </w:p>
        </w:tc>
        <w:tc>
          <w:tcPr>
            <w:tcW w:w="1732" w:type="dxa"/>
            <w:noWrap/>
            <w:vAlign w:val="center"/>
          </w:tcPr>
          <w:p>
            <w:pPr>
              <w:ind w:firstLine="0" w:firstLineChars="0"/>
              <w:jc w:val="center"/>
              <w:rPr>
                <w:rFonts w:cs="Times New Roman"/>
                <w:color w:val="auto"/>
                <w:sz w:val="21"/>
                <w:lang w:eastAsia="zh-CN"/>
              </w:rPr>
            </w:pPr>
            <w:r>
              <w:rPr>
                <w:rFonts w:cs="Times New Roman"/>
                <w:color w:val="auto"/>
                <w:sz w:val="21"/>
                <w:lang w:eastAsia="zh-CN"/>
              </w:rPr>
              <w:t>浮渣（FZ）</w:t>
            </w:r>
          </w:p>
        </w:tc>
        <w:tc>
          <w:tcPr>
            <w:tcW w:w="8660" w:type="dxa"/>
            <w:gridSpan w:val="4"/>
            <w:noWrap/>
            <w:vAlign w:val="center"/>
          </w:tcPr>
          <w:p>
            <w:pPr>
              <w:ind w:firstLine="0" w:firstLineChars="0"/>
              <w:jc w:val="center"/>
              <w:rPr>
                <w:rFonts w:cs="Times New Roman"/>
                <w:color w:val="auto"/>
                <w:sz w:val="21"/>
                <w:lang w:eastAsia="zh-CN"/>
              </w:rPr>
            </w:pPr>
            <w:r>
              <w:rPr>
                <w:rFonts w:cs="Times New Roman"/>
                <w:color w:val="auto"/>
                <w:sz w:val="21"/>
                <w:lang w:eastAsia="zh-CN"/>
              </w:rPr>
              <w:t>机械、人工、高压射水、真空吸污</w:t>
            </w:r>
          </w:p>
        </w:tc>
      </w:tr>
    </w:tbl>
    <w:p>
      <w:pPr>
        <w:kinsoku/>
        <w:autoSpaceDE/>
        <w:autoSpaceDN/>
        <w:adjustRightInd/>
        <w:snapToGrid/>
        <w:spacing w:line="240" w:lineRule="auto"/>
        <w:ind w:firstLine="0" w:firstLineChars="0"/>
        <w:jc w:val="left"/>
        <w:textAlignment w:val="auto"/>
        <w:rPr>
          <w:rFonts w:eastAsia="黑体" w:cs="Times New Roman"/>
          <w:color w:val="000000" w:themeColor="text1"/>
          <w:lang w:eastAsia="zh-CN"/>
          <w14:textFill>
            <w14:solidFill>
              <w14:schemeClr w14:val="tx1"/>
            </w14:solidFill>
          </w14:textFill>
        </w:rPr>
      </w:pPr>
      <w:r>
        <w:rPr>
          <w:rFonts w:eastAsia="黑体" w:cs="Times New Roman"/>
          <w:color w:val="000000" w:themeColor="text1"/>
          <w:lang w:eastAsia="zh-CN"/>
          <w14:textFill>
            <w14:solidFill>
              <w14:schemeClr w14:val="tx1"/>
            </w14:solidFill>
          </w14:textFill>
        </w:rPr>
        <w:br w:type="page"/>
      </w:r>
    </w:p>
    <w:p>
      <w:pPr>
        <w:ind w:firstLine="0" w:firstLineChars="0"/>
        <w:jc w:val="center"/>
        <w:rPr>
          <w:rFonts w:hint="eastAsia" w:ascii="宋体" w:hAnsi="宋体" w:cs="Times New Roman"/>
          <w:b/>
          <w:sz w:val="28"/>
          <w:szCs w:val="22"/>
          <w:lang w:eastAsia="zh-CN"/>
        </w:rPr>
      </w:pPr>
      <w:r>
        <w:rPr>
          <w:rFonts w:cs="Times New Roman"/>
          <w:b/>
          <w:color w:val="000000" w:themeColor="text1"/>
          <w:sz w:val="28"/>
          <w:szCs w:val="22"/>
          <w:lang w:eastAsia="zh-CN"/>
          <w14:textFill>
            <w14:solidFill>
              <w14:schemeClr w14:val="tx1"/>
            </w14:solidFill>
          </w14:textFill>
        </w:rPr>
        <w:t>A.0.</w:t>
      </w:r>
      <w:r>
        <w:rPr>
          <w:rFonts w:hint="eastAsia" w:cs="Times New Roman"/>
          <w:b/>
          <w:color w:val="000000" w:themeColor="text1"/>
          <w:sz w:val="28"/>
          <w:szCs w:val="22"/>
          <w:lang w:eastAsia="zh-CN"/>
          <w14:textFill>
            <w14:solidFill>
              <w14:schemeClr w14:val="tx1"/>
            </w14:solidFill>
          </w14:textFill>
        </w:rPr>
        <w:t>3</w:t>
      </w:r>
      <w:r>
        <w:rPr>
          <w:rFonts w:cs="Times New Roman"/>
          <w:b/>
          <w:color w:val="000000" w:themeColor="text1"/>
          <w:sz w:val="28"/>
          <w:szCs w:val="22"/>
          <w:lang w:eastAsia="zh-CN"/>
          <w14:textFill>
            <w14:solidFill>
              <w14:schemeClr w14:val="tx1"/>
            </w14:solidFill>
          </w14:textFill>
        </w:rPr>
        <w:t xml:space="preserve"> </w:t>
      </w:r>
      <w:r>
        <w:rPr>
          <w:rFonts w:hint="eastAsia" w:ascii="宋体" w:hAnsi="宋体" w:cs="Times New Roman"/>
          <w:b/>
          <w:bCs/>
          <w:sz w:val="28"/>
          <w:szCs w:val="22"/>
          <w:lang w:eastAsia="zh-CN"/>
        </w:rPr>
        <w:t>不同等级功能性缺陷预处理方式选择表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2749"/>
        <w:gridCol w:w="26"/>
        <w:gridCol w:w="3402"/>
        <w:gridCol w:w="255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0" w:type="dxa"/>
            <w:vMerge w:val="restart"/>
            <w:noWrap/>
            <w:vAlign w:val="center"/>
          </w:tcPr>
          <w:p>
            <w:pPr>
              <w:ind w:firstLine="0" w:firstLineChars="0"/>
              <w:jc w:val="center"/>
              <w:rPr>
                <w:rFonts w:cs="Times New Roman"/>
                <w:color w:val="auto"/>
                <w:sz w:val="21"/>
                <w:lang w:eastAsia="zh-CN"/>
              </w:rPr>
            </w:pPr>
            <w:r>
              <w:rPr>
                <w:rFonts w:cs="Times New Roman"/>
                <w:color w:val="auto"/>
                <w:sz w:val="21"/>
                <w:lang w:eastAsia="zh-CN"/>
              </w:rPr>
              <w:t>缺陷类别</w:t>
            </w:r>
          </w:p>
        </w:tc>
        <w:tc>
          <w:tcPr>
            <w:tcW w:w="10996" w:type="dxa"/>
            <w:gridSpan w:val="5"/>
            <w:noWrap/>
            <w:vAlign w:val="center"/>
          </w:tcPr>
          <w:p>
            <w:pPr>
              <w:ind w:firstLine="0" w:firstLineChars="0"/>
              <w:jc w:val="center"/>
              <w:rPr>
                <w:rFonts w:cs="Times New Roman"/>
                <w:color w:val="auto"/>
                <w:sz w:val="21"/>
                <w:lang w:eastAsia="zh-CN"/>
              </w:rPr>
            </w:pPr>
            <w:r>
              <w:rPr>
                <w:rFonts w:cs="Times New Roman"/>
                <w:color w:val="auto"/>
                <w:sz w:val="21"/>
                <w:lang w:eastAsia="zh-CN"/>
              </w:rPr>
              <w:t>修复方式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0" w:type="dxa"/>
            <w:vMerge w:val="continue"/>
            <w:vAlign w:val="center"/>
          </w:tcPr>
          <w:p>
            <w:pPr>
              <w:ind w:firstLine="0" w:firstLineChars="0"/>
              <w:jc w:val="center"/>
              <w:rPr>
                <w:rFonts w:cs="Times New Roman"/>
                <w:color w:val="auto"/>
                <w:sz w:val="21"/>
                <w:lang w:eastAsia="zh-CN"/>
              </w:rPr>
            </w:pPr>
          </w:p>
        </w:tc>
        <w:tc>
          <w:tcPr>
            <w:tcW w:w="2749" w:type="dxa"/>
            <w:noWrap/>
            <w:vAlign w:val="center"/>
          </w:tcPr>
          <w:p>
            <w:pPr>
              <w:ind w:firstLine="0" w:firstLineChars="0"/>
              <w:jc w:val="center"/>
              <w:rPr>
                <w:rFonts w:cs="Times New Roman"/>
                <w:color w:val="auto"/>
                <w:sz w:val="21"/>
                <w:lang w:eastAsia="zh-CN"/>
              </w:rPr>
            </w:pPr>
            <w:r>
              <w:rPr>
                <w:rFonts w:cs="Times New Roman"/>
                <w:color w:val="auto"/>
                <w:sz w:val="21"/>
                <w:lang w:eastAsia="zh-CN"/>
              </w:rPr>
              <w:t>I</w:t>
            </w:r>
          </w:p>
        </w:tc>
        <w:tc>
          <w:tcPr>
            <w:tcW w:w="3428" w:type="dxa"/>
            <w:gridSpan w:val="2"/>
            <w:noWrap/>
            <w:vAlign w:val="center"/>
          </w:tcPr>
          <w:p>
            <w:pPr>
              <w:ind w:firstLine="0" w:firstLineChars="0"/>
              <w:jc w:val="center"/>
              <w:rPr>
                <w:rFonts w:cs="Times New Roman"/>
                <w:color w:val="auto"/>
                <w:sz w:val="21"/>
                <w:lang w:eastAsia="zh-CN"/>
              </w:rPr>
            </w:pPr>
            <w:r>
              <w:rPr>
                <w:rFonts w:cs="Times New Roman"/>
                <w:color w:val="auto"/>
                <w:sz w:val="21"/>
                <w:lang w:eastAsia="zh-CN"/>
              </w:rPr>
              <w:t>II</w:t>
            </w:r>
          </w:p>
        </w:tc>
        <w:tc>
          <w:tcPr>
            <w:tcW w:w="2551" w:type="dxa"/>
            <w:noWrap/>
            <w:vAlign w:val="center"/>
          </w:tcPr>
          <w:p>
            <w:pPr>
              <w:ind w:firstLine="0" w:firstLineChars="0"/>
              <w:jc w:val="center"/>
              <w:rPr>
                <w:rFonts w:cs="Times New Roman"/>
                <w:color w:val="auto"/>
                <w:sz w:val="21"/>
                <w:lang w:eastAsia="zh-CN"/>
              </w:rPr>
            </w:pPr>
            <w:r>
              <w:rPr>
                <w:rFonts w:cs="Times New Roman"/>
                <w:color w:val="auto"/>
                <w:sz w:val="21"/>
                <w:lang w:eastAsia="zh-CN"/>
              </w:rPr>
              <w:t>III</w:t>
            </w:r>
          </w:p>
        </w:tc>
        <w:tc>
          <w:tcPr>
            <w:tcW w:w="2268" w:type="dxa"/>
            <w:noWrap/>
            <w:vAlign w:val="center"/>
          </w:tcPr>
          <w:p>
            <w:pPr>
              <w:ind w:firstLine="0" w:firstLineChars="0"/>
              <w:jc w:val="center"/>
              <w:rPr>
                <w:rFonts w:cs="Times New Roman"/>
                <w:color w:val="auto"/>
                <w:sz w:val="21"/>
                <w:lang w:eastAsia="zh-CN"/>
              </w:rPr>
            </w:pPr>
            <w:r>
              <w:rPr>
                <w:rFonts w:cs="Times New Roman"/>
                <w:color w:val="auto"/>
                <w:sz w:val="21"/>
                <w:lang w:eastAsia="zh-CN"/>
              </w:rPr>
              <w:t>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40" w:type="dxa"/>
            <w:noWrap/>
            <w:vAlign w:val="center"/>
          </w:tcPr>
          <w:p>
            <w:pPr>
              <w:ind w:firstLine="0" w:firstLineChars="0"/>
              <w:jc w:val="center"/>
              <w:rPr>
                <w:rFonts w:cs="Times New Roman"/>
                <w:color w:val="auto"/>
                <w:sz w:val="21"/>
                <w:lang w:eastAsia="zh-CN"/>
              </w:rPr>
            </w:pPr>
            <w:r>
              <w:rPr>
                <w:rFonts w:cs="Times New Roman"/>
                <w:color w:val="auto"/>
                <w:sz w:val="21"/>
                <w:lang w:eastAsia="zh-CN"/>
              </w:rPr>
              <w:t>破裂（PL）</w:t>
            </w:r>
          </w:p>
        </w:tc>
        <w:tc>
          <w:tcPr>
            <w:tcW w:w="6177" w:type="dxa"/>
            <w:gridSpan w:val="3"/>
            <w:vAlign w:val="center"/>
          </w:tcPr>
          <w:p>
            <w:pPr>
              <w:ind w:firstLine="0" w:firstLineChars="0"/>
              <w:jc w:val="left"/>
              <w:rPr>
                <w:rFonts w:cs="Times New Roman"/>
                <w:color w:val="auto"/>
                <w:sz w:val="21"/>
                <w:lang w:eastAsia="zh-CN"/>
              </w:rPr>
            </w:pPr>
            <w:bookmarkStart w:id="330" w:name="OLE_LINK48"/>
            <w:r>
              <w:rPr>
                <w:rFonts w:hint="eastAsia" w:cs="Times New Roman"/>
                <w:color w:val="auto"/>
                <w:sz w:val="21"/>
                <w:lang w:eastAsia="zh-CN"/>
              </w:rPr>
              <w:t>紫外光</w:t>
            </w:r>
            <w:r>
              <w:rPr>
                <w:rFonts w:cs="Times New Roman"/>
                <w:color w:val="auto"/>
                <w:sz w:val="21"/>
                <w:lang w:eastAsia="zh-CN"/>
              </w:rPr>
              <w:t>原位固化法或</w:t>
            </w:r>
            <w:bookmarkStart w:id="331" w:name="OLE_LINK53"/>
            <w:r>
              <w:rPr>
                <w:rFonts w:hint="eastAsia" w:cs="Times New Roman"/>
                <w:color w:val="auto"/>
                <w:sz w:val="21"/>
                <w:lang w:eastAsia="zh-CN"/>
              </w:rPr>
              <w:t>翻转式原位固化法</w:t>
            </w:r>
            <w:bookmarkEnd w:id="331"/>
            <w:r>
              <w:rPr>
                <w:rFonts w:hint="eastAsia" w:cs="Times New Roman"/>
                <w:color w:val="auto"/>
                <w:sz w:val="21"/>
                <w:lang w:eastAsia="zh-CN"/>
              </w:rPr>
              <w:t>或</w:t>
            </w:r>
            <w:bookmarkEnd w:id="330"/>
            <w:r>
              <w:rPr>
                <w:rFonts w:cs="Times New Roman"/>
                <w:color w:val="auto"/>
                <w:sz w:val="21"/>
                <w:lang w:eastAsia="zh-CN"/>
              </w:rPr>
              <w:t>原位热塑成型法或螺旋缠绕</w:t>
            </w:r>
            <w:bookmarkStart w:id="332" w:name="OLE_LINK16"/>
            <w:r>
              <w:rPr>
                <w:rFonts w:hint="eastAsia" w:cs="Times New Roman"/>
                <w:color w:val="auto"/>
                <w:sz w:val="21"/>
                <w:lang w:eastAsia="zh-CN"/>
              </w:rPr>
              <w:t>内衬</w:t>
            </w:r>
            <w:bookmarkEnd w:id="332"/>
            <w:r>
              <w:rPr>
                <w:rFonts w:cs="Times New Roman"/>
                <w:color w:val="auto"/>
                <w:sz w:val="21"/>
                <w:lang w:eastAsia="zh-CN"/>
              </w:rPr>
              <w:t>法或短管内衬法或裂管法</w:t>
            </w:r>
          </w:p>
        </w:tc>
        <w:tc>
          <w:tcPr>
            <w:tcW w:w="2551" w:type="dxa"/>
            <w:vAlign w:val="center"/>
          </w:tcPr>
          <w:p>
            <w:pPr>
              <w:ind w:firstLine="0" w:firstLineChars="0"/>
              <w:jc w:val="left"/>
              <w:rPr>
                <w:rFonts w:cs="Times New Roman"/>
                <w:color w:val="auto"/>
                <w:sz w:val="21"/>
                <w:lang w:eastAsia="zh-CN"/>
              </w:rPr>
            </w:pPr>
            <w:r>
              <w:rPr>
                <w:rFonts w:hint="eastAsia" w:cs="Times New Roman"/>
                <w:color w:val="auto"/>
                <w:sz w:val="21"/>
                <w:lang w:eastAsia="zh-CN"/>
              </w:rPr>
              <w:t>病害位置预处理后可采用螺旋缠绕内衬法或短管内衬法或开挖</w:t>
            </w:r>
          </w:p>
        </w:tc>
        <w:tc>
          <w:tcPr>
            <w:tcW w:w="2268" w:type="dxa"/>
            <w:vAlign w:val="center"/>
          </w:tcPr>
          <w:p>
            <w:pPr>
              <w:ind w:firstLine="0" w:firstLineChars="0"/>
              <w:jc w:val="left"/>
              <w:rPr>
                <w:rFonts w:cs="Times New Roman"/>
                <w:color w:val="auto"/>
                <w:sz w:val="21"/>
                <w:lang w:eastAsia="zh-CN"/>
              </w:rPr>
            </w:pPr>
            <w:r>
              <w:rPr>
                <w:rFonts w:cs="Times New Roman"/>
                <w:color w:val="auto"/>
                <w:sz w:val="21"/>
                <w:lang w:eastAsia="zh-CN"/>
              </w:rPr>
              <w:t>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40" w:type="dxa"/>
            <w:noWrap/>
            <w:vAlign w:val="center"/>
          </w:tcPr>
          <w:p>
            <w:pPr>
              <w:ind w:firstLine="0" w:firstLineChars="0"/>
              <w:jc w:val="center"/>
              <w:rPr>
                <w:rFonts w:cs="Times New Roman"/>
                <w:color w:val="auto"/>
                <w:sz w:val="21"/>
                <w:lang w:eastAsia="zh-CN"/>
              </w:rPr>
            </w:pPr>
            <w:r>
              <w:rPr>
                <w:rFonts w:cs="Times New Roman"/>
                <w:color w:val="auto"/>
                <w:sz w:val="21"/>
                <w:lang w:eastAsia="zh-CN"/>
              </w:rPr>
              <w:t>变形（BX）</w:t>
            </w:r>
          </w:p>
        </w:tc>
        <w:tc>
          <w:tcPr>
            <w:tcW w:w="6177" w:type="dxa"/>
            <w:gridSpan w:val="3"/>
            <w:vAlign w:val="center"/>
          </w:tcPr>
          <w:p>
            <w:pPr>
              <w:ind w:firstLine="0" w:firstLineChars="0"/>
              <w:jc w:val="left"/>
              <w:rPr>
                <w:rFonts w:cs="Times New Roman"/>
                <w:color w:val="auto"/>
                <w:sz w:val="21"/>
                <w:lang w:eastAsia="zh-CN"/>
              </w:rPr>
            </w:pPr>
            <w:r>
              <w:rPr>
                <w:rFonts w:hint="eastAsia" w:cs="Times New Roman"/>
                <w:color w:val="auto"/>
                <w:sz w:val="21"/>
                <w:lang w:eastAsia="zh-CN"/>
              </w:rPr>
              <w:t>紫外光原位固化法或翻转式原位固化法或</w:t>
            </w:r>
            <w:r>
              <w:rPr>
                <w:rFonts w:cs="Times New Roman"/>
                <w:color w:val="auto"/>
                <w:sz w:val="21"/>
                <w:lang w:eastAsia="zh-CN"/>
              </w:rPr>
              <w:t>原位热塑成型法或螺旋缠绕</w:t>
            </w:r>
            <w:r>
              <w:rPr>
                <w:rFonts w:hint="eastAsia" w:cs="Times New Roman"/>
                <w:color w:val="auto"/>
                <w:sz w:val="21"/>
                <w:lang w:eastAsia="zh-CN"/>
              </w:rPr>
              <w:t>内衬</w:t>
            </w:r>
            <w:r>
              <w:rPr>
                <w:rFonts w:cs="Times New Roman"/>
                <w:color w:val="auto"/>
                <w:sz w:val="21"/>
                <w:lang w:eastAsia="zh-CN"/>
              </w:rPr>
              <w:t>法或短管内衬法或裂管法</w:t>
            </w:r>
          </w:p>
        </w:tc>
        <w:tc>
          <w:tcPr>
            <w:tcW w:w="4819" w:type="dxa"/>
            <w:gridSpan w:val="2"/>
            <w:noWrap/>
            <w:vAlign w:val="center"/>
          </w:tcPr>
          <w:p>
            <w:pPr>
              <w:ind w:firstLine="0" w:firstLineChars="0"/>
              <w:jc w:val="center"/>
              <w:rPr>
                <w:rFonts w:cs="Times New Roman"/>
                <w:color w:val="auto"/>
                <w:sz w:val="21"/>
                <w:lang w:eastAsia="zh-CN"/>
              </w:rPr>
            </w:pPr>
            <w:r>
              <w:rPr>
                <w:rFonts w:cs="Times New Roman"/>
                <w:color w:val="auto"/>
                <w:sz w:val="21"/>
                <w:lang w:eastAsia="zh-CN"/>
              </w:rPr>
              <w:t>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40" w:type="dxa"/>
            <w:noWrap/>
            <w:vAlign w:val="center"/>
          </w:tcPr>
          <w:p>
            <w:pPr>
              <w:ind w:firstLine="0" w:firstLineChars="0"/>
              <w:jc w:val="center"/>
              <w:rPr>
                <w:rFonts w:cs="Times New Roman"/>
                <w:color w:val="auto"/>
                <w:sz w:val="21"/>
                <w:lang w:eastAsia="zh-CN"/>
              </w:rPr>
            </w:pPr>
            <w:r>
              <w:rPr>
                <w:rFonts w:cs="Times New Roman"/>
                <w:color w:val="auto"/>
                <w:sz w:val="21"/>
                <w:lang w:eastAsia="zh-CN"/>
              </w:rPr>
              <w:t>腐蚀（FS）</w:t>
            </w:r>
          </w:p>
        </w:tc>
        <w:tc>
          <w:tcPr>
            <w:tcW w:w="2775" w:type="dxa"/>
            <w:gridSpan w:val="2"/>
            <w:vAlign w:val="center"/>
          </w:tcPr>
          <w:p>
            <w:pPr>
              <w:ind w:firstLine="0" w:firstLineChars="0"/>
              <w:jc w:val="left"/>
              <w:rPr>
                <w:rFonts w:cs="Times New Roman"/>
                <w:color w:val="auto"/>
                <w:sz w:val="21"/>
                <w:lang w:eastAsia="zh-CN"/>
              </w:rPr>
            </w:pPr>
            <w:r>
              <w:rPr>
                <w:rFonts w:hint="eastAsia" w:cs="Times New Roman"/>
                <w:color w:val="auto"/>
                <w:sz w:val="21"/>
                <w:lang w:eastAsia="zh-CN"/>
              </w:rPr>
              <w:t>紫外光原位固化法或翻转式原位固化法或</w:t>
            </w:r>
            <w:r>
              <w:rPr>
                <w:rFonts w:cs="Times New Roman"/>
                <w:color w:val="auto"/>
                <w:sz w:val="21"/>
                <w:lang w:eastAsia="zh-CN"/>
              </w:rPr>
              <w:t>原位热塑成型法或螺旋缠绕</w:t>
            </w:r>
            <w:r>
              <w:rPr>
                <w:rFonts w:hint="eastAsia" w:cs="Times New Roman"/>
                <w:color w:val="auto"/>
                <w:sz w:val="21"/>
                <w:lang w:eastAsia="zh-CN"/>
              </w:rPr>
              <w:t>内衬</w:t>
            </w:r>
            <w:r>
              <w:rPr>
                <w:rFonts w:cs="Times New Roman"/>
                <w:color w:val="auto"/>
                <w:sz w:val="21"/>
                <w:lang w:eastAsia="zh-CN"/>
              </w:rPr>
              <w:t>法或短管内衬法或裂管法或喷涂法</w:t>
            </w:r>
          </w:p>
        </w:tc>
        <w:tc>
          <w:tcPr>
            <w:tcW w:w="3402" w:type="dxa"/>
            <w:vAlign w:val="center"/>
          </w:tcPr>
          <w:p>
            <w:pPr>
              <w:ind w:firstLine="0" w:firstLineChars="0"/>
              <w:jc w:val="left"/>
              <w:rPr>
                <w:rFonts w:cs="Times New Roman"/>
                <w:color w:val="auto"/>
                <w:sz w:val="21"/>
                <w:lang w:eastAsia="zh-CN"/>
              </w:rPr>
            </w:pPr>
            <w:r>
              <w:rPr>
                <w:rFonts w:hint="eastAsia" w:cs="Times New Roman"/>
                <w:color w:val="auto"/>
                <w:sz w:val="21"/>
                <w:lang w:eastAsia="zh-CN"/>
              </w:rPr>
              <w:t>翻转式原位固化法或</w:t>
            </w:r>
            <w:r>
              <w:rPr>
                <w:rFonts w:cs="Times New Roman"/>
                <w:color w:val="auto"/>
                <w:sz w:val="21"/>
                <w:lang w:eastAsia="zh-CN"/>
              </w:rPr>
              <w:t>原位热塑成型法或螺旋缠绕</w:t>
            </w:r>
            <w:r>
              <w:rPr>
                <w:rFonts w:hint="eastAsia" w:cs="Times New Roman"/>
                <w:color w:val="auto"/>
                <w:sz w:val="21"/>
                <w:lang w:eastAsia="zh-CN"/>
              </w:rPr>
              <w:t>内衬</w:t>
            </w:r>
            <w:r>
              <w:rPr>
                <w:rFonts w:cs="Times New Roman"/>
                <w:color w:val="auto"/>
                <w:sz w:val="21"/>
                <w:lang w:eastAsia="zh-CN"/>
              </w:rPr>
              <w:t>法</w:t>
            </w:r>
            <w:r>
              <w:rPr>
                <w:rFonts w:hint="eastAsia" w:cs="Times New Roman"/>
                <w:color w:val="auto"/>
                <w:sz w:val="21"/>
                <w:lang w:eastAsia="zh-CN"/>
              </w:rPr>
              <w:t>或</w:t>
            </w:r>
            <w:r>
              <w:rPr>
                <w:rFonts w:cs="Times New Roman"/>
                <w:color w:val="auto"/>
                <w:sz w:val="21"/>
                <w:lang w:eastAsia="zh-CN"/>
              </w:rPr>
              <w:t>短管内衬法或</w:t>
            </w:r>
            <w:r>
              <w:rPr>
                <w:rFonts w:hint="eastAsia" w:cs="Times New Roman"/>
                <w:color w:val="auto"/>
                <w:sz w:val="21"/>
                <w:lang w:eastAsia="zh-CN"/>
              </w:rPr>
              <w:t>裂管法</w:t>
            </w:r>
          </w:p>
        </w:tc>
        <w:tc>
          <w:tcPr>
            <w:tcW w:w="2551" w:type="dxa"/>
            <w:vAlign w:val="center"/>
          </w:tcPr>
          <w:p>
            <w:pPr>
              <w:ind w:firstLine="0" w:firstLineChars="0"/>
              <w:jc w:val="left"/>
              <w:rPr>
                <w:rFonts w:cs="Times New Roman"/>
                <w:color w:val="auto"/>
                <w:sz w:val="21"/>
                <w:lang w:eastAsia="zh-CN"/>
              </w:rPr>
            </w:pPr>
            <w:r>
              <w:rPr>
                <w:rFonts w:hint="eastAsia" w:cs="Times New Roman"/>
                <w:color w:val="auto"/>
                <w:sz w:val="21"/>
                <w:lang w:eastAsia="zh-CN"/>
              </w:rPr>
              <w:t>开挖</w:t>
            </w:r>
          </w:p>
        </w:tc>
        <w:tc>
          <w:tcPr>
            <w:tcW w:w="2268" w:type="dxa"/>
            <w:noWrap/>
            <w:vAlign w:val="center"/>
          </w:tcPr>
          <w:p>
            <w:pPr>
              <w:ind w:firstLine="0" w:firstLineChars="0"/>
              <w:jc w:val="center"/>
              <w:rPr>
                <w:rFonts w:cs="Times New Roman"/>
                <w:color w:val="auto"/>
                <w:sz w:val="21"/>
                <w:lang w:eastAsia="zh-CN"/>
              </w:rPr>
            </w:pPr>
            <w:r>
              <w:rPr>
                <w:rFonts w:hint="eastAsia" w:cs="Times New Roman"/>
                <w:color w:val="auto"/>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40" w:type="dxa"/>
            <w:noWrap/>
            <w:vAlign w:val="center"/>
          </w:tcPr>
          <w:p>
            <w:pPr>
              <w:ind w:firstLine="0" w:firstLineChars="0"/>
              <w:jc w:val="center"/>
              <w:rPr>
                <w:rFonts w:cs="Times New Roman"/>
                <w:color w:val="auto"/>
                <w:sz w:val="21"/>
                <w:lang w:eastAsia="zh-CN"/>
              </w:rPr>
            </w:pPr>
            <w:r>
              <w:rPr>
                <w:rFonts w:cs="Times New Roman"/>
                <w:color w:val="auto"/>
                <w:sz w:val="21"/>
                <w:lang w:eastAsia="zh-CN"/>
              </w:rPr>
              <w:t>错口（CK）</w:t>
            </w:r>
          </w:p>
        </w:tc>
        <w:tc>
          <w:tcPr>
            <w:tcW w:w="6177" w:type="dxa"/>
            <w:gridSpan w:val="3"/>
            <w:vAlign w:val="center"/>
          </w:tcPr>
          <w:p>
            <w:pPr>
              <w:ind w:firstLine="0" w:firstLineChars="0"/>
              <w:jc w:val="left"/>
              <w:rPr>
                <w:rFonts w:cs="Times New Roman"/>
                <w:color w:val="auto"/>
                <w:sz w:val="21"/>
                <w:lang w:eastAsia="zh-CN"/>
              </w:rPr>
            </w:pPr>
            <w:r>
              <w:rPr>
                <w:rFonts w:hint="eastAsia" w:cs="Times New Roman"/>
                <w:color w:val="auto"/>
                <w:sz w:val="21"/>
                <w:lang w:eastAsia="zh-CN"/>
              </w:rPr>
              <w:t>紫外光原位固化法或翻转式原位固化法或</w:t>
            </w:r>
            <w:r>
              <w:rPr>
                <w:rFonts w:cs="Times New Roman"/>
                <w:color w:val="auto"/>
                <w:sz w:val="21"/>
                <w:lang w:eastAsia="zh-CN"/>
              </w:rPr>
              <w:t>原位热塑成型法或螺旋缠绕</w:t>
            </w:r>
            <w:r>
              <w:rPr>
                <w:rFonts w:hint="eastAsia" w:cs="Times New Roman"/>
                <w:color w:val="auto"/>
                <w:sz w:val="21"/>
                <w:lang w:eastAsia="zh-CN"/>
              </w:rPr>
              <w:t>内衬</w:t>
            </w:r>
            <w:r>
              <w:rPr>
                <w:rFonts w:cs="Times New Roman"/>
                <w:color w:val="auto"/>
                <w:sz w:val="21"/>
                <w:lang w:eastAsia="zh-CN"/>
              </w:rPr>
              <w:t>法或短管内衬法或裂管法或不锈钢快速锁或不锈钢双胀环</w:t>
            </w:r>
          </w:p>
        </w:tc>
        <w:tc>
          <w:tcPr>
            <w:tcW w:w="4819" w:type="dxa"/>
            <w:gridSpan w:val="2"/>
            <w:vAlign w:val="center"/>
          </w:tcPr>
          <w:p>
            <w:pPr>
              <w:ind w:firstLine="0" w:firstLineChars="0"/>
              <w:jc w:val="center"/>
              <w:rPr>
                <w:rFonts w:cs="Times New Roman"/>
                <w:color w:val="auto"/>
                <w:sz w:val="21"/>
                <w:lang w:eastAsia="zh-CN"/>
              </w:rPr>
            </w:pPr>
            <w:r>
              <w:rPr>
                <w:rFonts w:cs="Times New Roman"/>
                <w:color w:val="auto"/>
                <w:sz w:val="21"/>
                <w:lang w:eastAsia="zh-CN"/>
              </w:rPr>
              <w:t>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40" w:type="dxa"/>
            <w:noWrap/>
            <w:vAlign w:val="center"/>
          </w:tcPr>
          <w:p>
            <w:pPr>
              <w:ind w:firstLine="0" w:firstLineChars="0"/>
              <w:jc w:val="center"/>
              <w:rPr>
                <w:rFonts w:cs="Times New Roman"/>
                <w:color w:val="auto"/>
                <w:sz w:val="21"/>
                <w:lang w:eastAsia="zh-CN"/>
              </w:rPr>
            </w:pPr>
            <w:r>
              <w:rPr>
                <w:rFonts w:cs="Times New Roman"/>
                <w:color w:val="auto"/>
                <w:sz w:val="21"/>
                <w:lang w:eastAsia="zh-CN"/>
              </w:rPr>
              <w:t>起伏（QF）</w:t>
            </w:r>
          </w:p>
        </w:tc>
        <w:tc>
          <w:tcPr>
            <w:tcW w:w="6177" w:type="dxa"/>
            <w:gridSpan w:val="3"/>
            <w:vAlign w:val="center"/>
          </w:tcPr>
          <w:p>
            <w:pPr>
              <w:ind w:firstLine="0" w:firstLineChars="0"/>
              <w:jc w:val="left"/>
              <w:rPr>
                <w:rFonts w:cs="Times New Roman"/>
                <w:color w:val="auto"/>
                <w:sz w:val="21"/>
                <w:lang w:eastAsia="zh-CN"/>
              </w:rPr>
            </w:pPr>
            <w:bookmarkStart w:id="333" w:name="OLE_LINK49"/>
            <w:bookmarkStart w:id="334" w:name="OLE_LINK61"/>
            <w:r>
              <w:rPr>
                <w:rFonts w:hint="eastAsia" w:cs="Times New Roman"/>
                <w:color w:val="auto"/>
                <w:sz w:val="21"/>
                <w:lang w:eastAsia="zh-CN"/>
              </w:rPr>
              <w:t>紫外光原位固化法或翻转式原位固化法</w:t>
            </w:r>
            <w:bookmarkEnd w:id="333"/>
            <w:r>
              <w:rPr>
                <w:rFonts w:hint="eastAsia" w:cs="Times New Roman"/>
                <w:color w:val="auto"/>
                <w:sz w:val="21"/>
                <w:lang w:eastAsia="zh-CN"/>
              </w:rPr>
              <w:t>或</w:t>
            </w:r>
            <w:r>
              <w:rPr>
                <w:rFonts w:cs="Times New Roman"/>
                <w:color w:val="auto"/>
                <w:sz w:val="21"/>
                <w:lang w:eastAsia="zh-CN"/>
              </w:rPr>
              <w:t>原位热塑成型法或螺旋缠绕</w:t>
            </w:r>
            <w:r>
              <w:rPr>
                <w:rFonts w:hint="eastAsia" w:cs="Times New Roman"/>
                <w:color w:val="auto"/>
                <w:sz w:val="21"/>
                <w:lang w:eastAsia="zh-CN"/>
              </w:rPr>
              <w:t>内衬</w:t>
            </w:r>
            <w:r>
              <w:rPr>
                <w:rFonts w:cs="Times New Roman"/>
                <w:color w:val="auto"/>
                <w:sz w:val="21"/>
                <w:lang w:eastAsia="zh-CN"/>
              </w:rPr>
              <w:t>法或短管内衬法或裂管法</w:t>
            </w:r>
            <w:bookmarkEnd w:id="334"/>
          </w:p>
        </w:tc>
        <w:tc>
          <w:tcPr>
            <w:tcW w:w="4819" w:type="dxa"/>
            <w:gridSpan w:val="2"/>
            <w:noWrap/>
            <w:vAlign w:val="center"/>
          </w:tcPr>
          <w:p>
            <w:pPr>
              <w:ind w:firstLine="0" w:firstLineChars="0"/>
              <w:jc w:val="center"/>
              <w:rPr>
                <w:rFonts w:cs="Times New Roman"/>
                <w:color w:val="auto"/>
                <w:sz w:val="21"/>
                <w:lang w:eastAsia="zh-CN"/>
              </w:rPr>
            </w:pPr>
            <w:bookmarkStart w:id="335" w:name="OLE_LINK58"/>
            <w:r>
              <w:rPr>
                <w:rFonts w:cs="Times New Roman"/>
                <w:color w:val="auto"/>
                <w:sz w:val="21"/>
                <w:lang w:eastAsia="zh-CN"/>
              </w:rPr>
              <w:t>开挖</w:t>
            </w:r>
            <w:bookmarkEnd w:id="3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40" w:type="dxa"/>
            <w:noWrap/>
            <w:vAlign w:val="center"/>
          </w:tcPr>
          <w:p>
            <w:pPr>
              <w:ind w:firstLine="0" w:firstLineChars="0"/>
              <w:jc w:val="center"/>
              <w:rPr>
                <w:rFonts w:cs="Times New Roman"/>
                <w:color w:val="auto"/>
                <w:sz w:val="21"/>
                <w:lang w:eastAsia="zh-CN"/>
              </w:rPr>
            </w:pPr>
            <w:r>
              <w:rPr>
                <w:rFonts w:cs="Times New Roman"/>
                <w:color w:val="auto"/>
                <w:sz w:val="21"/>
                <w:lang w:eastAsia="zh-CN"/>
              </w:rPr>
              <w:t>脱节（TJ）</w:t>
            </w:r>
          </w:p>
        </w:tc>
        <w:tc>
          <w:tcPr>
            <w:tcW w:w="8728" w:type="dxa"/>
            <w:gridSpan w:val="4"/>
            <w:vAlign w:val="center"/>
          </w:tcPr>
          <w:p>
            <w:pPr>
              <w:ind w:firstLine="0" w:firstLineChars="0"/>
              <w:jc w:val="center"/>
              <w:rPr>
                <w:rFonts w:cs="Times New Roman"/>
                <w:color w:val="auto"/>
                <w:sz w:val="21"/>
                <w:lang w:eastAsia="zh-CN"/>
              </w:rPr>
            </w:pPr>
            <w:r>
              <w:rPr>
                <w:rFonts w:hint="eastAsia" w:cs="Times New Roman"/>
                <w:color w:val="auto"/>
                <w:sz w:val="21"/>
                <w:lang w:eastAsia="zh-CN"/>
              </w:rPr>
              <w:t>紫外光原位固化法或</w:t>
            </w:r>
            <w:bookmarkStart w:id="336" w:name="OLE_LINK54"/>
            <w:r>
              <w:rPr>
                <w:rFonts w:hint="eastAsia" w:cs="Times New Roman"/>
                <w:color w:val="auto"/>
                <w:sz w:val="21"/>
                <w:lang w:eastAsia="zh-CN"/>
              </w:rPr>
              <w:t>翻转式原位固化法</w:t>
            </w:r>
            <w:r>
              <w:rPr>
                <w:rFonts w:cs="Times New Roman"/>
                <w:color w:val="auto"/>
                <w:sz w:val="21"/>
                <w:lang w:eastAsia="zh-CN"/>
              </w:rPr>
              <w:t>或</w:t>
            </w:r>
            <w:bookmarkEnd w:id="336"/>
            <w:r>
              <w:rPr>
                <w:rFonts w:cs="Times New Roman"/>
                <w:color w:val="auto"/>
                <w:sz w:val="21"/>
                <w:lang w:eastAsia="zh-CN"/>
              </w:rPr>
              <w:t>原位热塑成型法或螺旋缠绕</w:t>
            </w:r>
            <w:r>
              <w:rPr>
                <w:rFonts w:hint="eastAsia" w:cs="Times New Roman"/>
                <w:color w:val="auto"/>
                <w:sz w:val="21"/>
                <w:lang w:eastAsia="zh-CN"/>
              </w:rPr>
              <w:t>内衬</w:t>
            </w:r>
            <w:r>
              <w:rPr>
                <w:rFonts w:cs="Times New Roman"/>
                <w:color w:val="auto"/>
                <w:sz w:val="21"/>
                <w:lang w:eastAsia="zh-CN"/>
              </w:rPr>
              <w:t>法或短管内衬法或裂管法或不锈钢快速锁或不锈钢双胀环</w:t>
            </w:r>
          </w:p>
        </w:tc>
        <w:tc>
          <w:tcPr>
            <w:tcW w:w="2268" w:type="dxa"/>
            <w:vAlign w:val="center"/>
          </w:tcPr>
          <w:p>
            <w:pPr>
              <w:ind w:firstLine="0" w:firstLineChars="0"/>
              <w:jc w:val="center"/>
              <w:rPr>
                <w:rFonts w:cs="Times New Roman"/>
                <w:color w:val="auto"/>
                <w:sz w:val="21"/>
                <w:lang w:eastAsia="zh-CN"/>
              </w:rPr>
            </w:pPr>
            <w:r>
              <w:rPr>
                <w:rFonts w:cs="Times New Roman"/>
                <w:color w:val="auto"/>
                <w:sz w:val="21"/>
                <w:lang w:eastAsia="zh-CN"/>
              </w:rPr>
              <w:t>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40" w:type="dxa"/>
            <w:noWrap/>
            <w:vAlign w:val="center"/>
          </w:tcPr>
          <w:p>
            <w:pPr>
              <w:ind w:firstLine="0" w:firstLineChars="0"/>
              <w:jc w:val="center"/>
              <w:rPr>
                <w:rFonts w:cs="Times New Roman"/>
                <w:color w:val="auto"/>
                <w:sz w:val="21"/>
                <w:lang w:eastAsia="zh-CN"/>
              </w:rPr>
            </w:pPr>
            <w:r>
              <w:rPr>
                <w:rFonts w:cs="Times New Roman"/>
                <w:color w:val="auto"/>
                <w:sz w:val="21"/>
                <w:lang w:eastAsia="zh-CN"/>
              </w:rPr>
              <w:t>接口材料脱落（TL）</w:t>
            </w:r>
          </w:p>
        </w:tc>
        <w:tc>
          <w:tcPr>
            <w:tcW w:w="6177" w:type="dxa"/>
            <w:gridSpan w:val="3"/>
            <w:vAlign w:val="center"/>
          </w:tcPr>
          <w:p>
            <w:pPr>
              <w:ind w:firstLine="0" w:firstLineChars="0"/>
              <w:jc w:val="left"/>
              <w:rPr>
                <w:rFonts w:cs="Times New Roman"/>
                <w:color w:val="auto"/>
                <w:sz w:val="21"/>
                <w:lang w:eastAsia="zh-CN"/>
              </w:rPr>
            </w:pPr>
            <w:bookmarkStart w:id="337" w:name="OLE_LINK52"/>
            <w:r>
              <w:rPr>
                <w:rFonts w:hint="eastAsia" w:cs="Times New Roman"/>
                <w:color w:val="auto"/>
                <w:sz w:val="21"/>
                <w:lang w:eastAsia="zh-CN"/>
              </w:rPr>
              <w:t>紫外光原位固化法或翻转式原位固化法</w:t>
            </w:r>
            <w:bookmarkEnd w:id="337"/>
            <w:r>
              <w:rPr>
                <w:rFonts w:cs="Times New Roman"/>
                <w:color w:val="auto"/>
                <w:sz w:val="21"/>
                <w:lang w:eastAsia="zh-CN"/>
              </w:rPr>
              <w:t>或原位热塑成型法或螺旋缠绕</w:t>
            </w:r>
            <w:r>
              <w:rPr>
                <w:rFonts w:hint="eastAsia" w:cs="Times New Roman"/>
                <w:color w:val="auto"/>
                <w:sz w:val="21"/>
                <w:lang w:eastAsia="zh-CN"/>
              </w:rPr>
              <w:t>内衬</w:t>
            </w:r>
            <w:r>
              <w:rPr>
                <w:rFonts w:cs="Times New Roman"/>
                <w:color w:val="auto"/>
                <w:sz w:val="21"/>
                <w:lang w:eastAsia="zh-CN"/>
              </w:rPr>
              <w:t>法或短管内衬法或裂管法或不锈钢快速锁或不锈钢双胀环</w:t>
            </w:r>
          </w:p>
        </w:tc>
        <w:tc>
          <w:tcPr>
            <w:tcW w:w="4819" w:type="dxa"/>
            <w:gridSpan w:val="2"/>
            <w:noWrap/>
            <w:vAlign w:val="center"/>
          </w:tcPr>
          <w:p>
            <w:pPr>
              <w:ind w:firstLine="0" w:firstLineChars="0"/>
              <w:jc w:val="center"/>
              <w:rPr>
                <w:rFonts w:cs="Times New Roman"/>
                <w:color w:val="auto"/>
                <w:sz w:val="21"/>
                <w:lang w:eastAsia="zh-CN"/>
              </w:rPr>
            </w:pPr>
            <w:bookmarkStart w:id="338" w:name="OLE_LINK59"/>
            <w:r>
              <w:rPr>
                <w:rFonts w:cs="Times New Roman"/>
                <w:color w:val="auto"/>
                <w:sz w:val="21"/>
                <w:lang w:eastAsia="zh-CN"/>
              </w:rPr>
              <w:t>——</w:t>
            </w:r>
            <w:bookmarkEnd w:id="3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0" w:type="dxa"/>
            <w:noWrap/>
            <w:vAlign w:val="center"/>
          </w:tcPr>
          <w:p>
            <w:pPr>
              <w:ind w:firstLine="0" w:firstLineChars="0"/>
              <w:jc w:val="center"/>
              <w:rPr>
                <w:rFonts w:cs="Times New Roman"/>
                <w:color w:val="auto"/>
                <w:sz w:val="21"/>
                <w:lang w:eastAsia="zh-CN"/>
              </w:rPr>
            </w:pPr>
            <w:r>
              <w:rPr>
                <w:rFonts w:cs="Times New Roman"/>
                <w:color w:val="auto"/>
                <w:sz w:val="21"/>
                <w:lang w:eastAsia="zh-CN"/>
              </w:rPr>
              <w:t>支管暗接（AJ）</w:t>
            </w:r>
          </w:p>
        </w:tc>
        <w:tc>
          <w:tcPr>
            <w:tcW w:w="10996" w:type="dxa"/>
            <w:gridSpan w:val="5"/>
            <w:noWrap/>
            <w:vAlign w:val="center"/>
          </w:tcPr>
          <w:p>
            <w:pPr>
              <w:ind w:firstLine="0" w:firstLineChars="0"/>
              <w:jc w:val="center"/>
              <w:rPr>
                <w:rFonts w:cs="Times New Roman"/>
                <w:color w:val="auto"/>
                <w:sz w:val="21"/>
                <w:lang w:eastAsia="zh-CN"/>
              </w:rPr>
            </w:pPr>
            <w:r>
              <w:rPr>
                <w:rFonts w:cs="Times New Roman"/>
                <w:color w:val="auto"/>
                <w:sz w:val="21"/>
                <w:lang w:eastAsia="zh-CN"/>
              </w:rPr>
              <w:t>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0" w:type="dxa"/>
            <w:noWrap/>
            <w:vAlign w:val="center"/>
          </w:tcPr>
          <w:p>
            <w:pPr>
              <w:ind w:firstLine="0" w:firstLineChars="0"/>
              <w:jc w:val="center"/>
              <w:rPr>
                <w:rFonts w:cs="Times New Roman"/>
                <w:color w:val="auto"/>
                <w:sz w:val="21"/>
                <w:lang w:eastAsia="zh-CN"/>
              </w:rPr>
            </w:pPr>
            <w:r>
              <w:rPr>
                <w:rFonts w:cs="Times New Roman"/>
                <w:color w:val="auto"/>
                <w:sz w:val="21"/>
                <w:lang w:eastAsia="zh-CN"/>
              </w:rPr>
              <w:t>异物穿入（CR）</w:t>
            </w:r>
          </w:p>
        </w:tc>
        <w:tc>
          <w:tcPr>
            <w:tcW w:w="8728" w:type="dxa"/>
            <w:gridSpan w:val="4"/>
            <w:noWrap/>
            <w:vAlign w:val="center"/>
          </w:tcPr>
          <w:p>
            <w:pPr>
              <w:ind w:firstLine="0" w:firstLineChars="0"/>
              <w:jc w:val="left"/>
              <w:rPr>
                <w:rFonts w:cs="Times New Roman"/>
                <w:color w:val="auto"/>
                <w:sz w:val="21"/>
                <w:lang w:eastAsia="zh-CN"/>
              </w:rPr>
            </w:pPr>
            <w:r>
              <w:rPr>
                <w:rFonts w:cs="Times New Roman"/>
                <w:color w:val="auto"/>
                <w:sz w:val="21"/>
                <w:lang w:eastAsia="zh-CN"/>
              </w:rPr>
              <w:t>结合异物切改方案局部开挖</w:t>
            </w:r>
          </w:p>
        </w:tc>
        <w:tc>
          <w:tcPr>
            <w:tcW w:w="2268" w:type="dxa"/>
            <w:vAlign w:val="center"/>
          </w:tcPr>
          <w:p>
            <w:pPr>
              <w:ind w:firstLine="0" w:firstLineChars="0"/>
              <w:jc w:val="center"/>
              <w:rPr>
                <w:rFonts w:cs="Times New Roman"/>
                <w:color w:val="auto"/>
                <w:sz w:val="21"/>
                <w:lang w:eastAsia="zh-CN"/>
              </w:rPr>
            </w:pPr>
            <w:r>
              <w:rPr>
                <w:rFonts w:cs="Times New Roman"/>
                <w:color w:val="auto"/>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40" w:type="dxa"/>
            <w:noWrap/>
            <w:vAlign w:val="center"/>
          </w:tcPr>
          <w:p>
            <w:pPr>
              <w:ind w:firstLine="0" w:firstLineChars="0"/>
              <w:jc w:val="center"/>
              <w:rPr>
                <w:rFonts w:cs="Times New Roman"/>
                <w:color w:val="auto"/>
                <w:sz w:val="21"/>
                <w:lang w:eastAsia="zh-CN"/>
              </w:rPr>
            </w:pPr>
            <w:r>
              <w:rPr>
                <w:rFonts w:cs="Times New Roman"/>
                <w:color w:val="auto"/>
                <w:sz w:val="21"/>
                <w:lang w:eastAsia="zh-CN"/>
              </w:rPr>
              <w:t>渗漏（SL）</w:t>
            </w:r>
          </w:p>
        </w:tc>
        <w:tc>
          <w:tcPr>
            <w:tcW w:w="10996" w:type="dxa"/>
            <w:gridSpan w:val="5"/>
            <w:vAlign w:val="center"/>
          </w:tcPr>
          <w:p>
            <w:pPr>
              <w:ind w:firstLine="0" w:firstLineChars="0"/>
              <w:jc w:val="left"/>
              <w:rPr>
                <w:rFonts w:cs="Times New Roman"/>
                <w:color w:val="auto"/>
                <w:sz w:val="21"/>
                <w:lang w:eastAsia="zh-CN"/>
              </w:rPr>
            </w:pPr>
            <w:r>
              <w:rPr>
                <w:rFonts w:hint="eastAsia" w:cs="Times New Roman"/>
                <w:color w:val="auto"/>
                <w:sz w:val="21"/>
                <w:lang w:eastAsia="zh-CN"/>
              </w:rPr>
              <w:t>土体注浆法或裂缝嵌补法或堵漏或不锈钢双胀环法或不锈钢快速锁法</w:t>
            </w:r>
          </w:p>
        </w:tc>
      </w:tr>
    </w:tbl>
    <w:p>
      <w:pPr>
        <w:kinsoku/>
        <w:autoSpaceDE/>
        <w:autoSpaceDN/>
        <w:adjustRightInd/>
        <w:snapToGrid/>
        <w:spacing w:line="240" w:lineRule="auto"/>
        <w:ind w:firstLine="0" w:firstLineChars="0"/>
        <w:jc w:val="left"/>
        <w:textAlignment w:val="auto"/>
        <w:rPr>
          <w:rFonts w:eastAsia="黑体" w:cs="Times New Roman"/>
          <w:color w:val="000000" w:themeColor="text1"/>
          <w:lang w:eastAsia="zh-CN"/>
          <w14:textFill>
            <w14:solidFill>
              <w14:schemeClr w14:val="tx1"/>
            </w14:solidFill>
          </w14:textFill>
        </w:rPr>
      </w:pPr>
      <w:r>
        <w:rPr>
          <w:rFonts w:eastAsia="黑体" w:cs="Times New Roman"/>
          <w:color w:val="000000" w:themeColor="text1"/>
          <w:lang w:eastAsia="zh-CN"/>
          <w14:textFill>
            <w14:solidFill>
              <w14:schemeClr w14:val="tx1"/>
            </w14:solidFill>
          </w14:textFill>
        </w:rPr>
        <w:br w:type="page"/>
      </w:r>
    </w:p>
    <w:p>
      <w:pPr>
        <w:kinsoku/>
        <w:autoSpaceDE/>
        <w:autoSpaceDN/>
        <w:adjustRightInd/>
        <w:snapToGrid/>
        <w:spacing w:line="240" w:lineRule="auto"/>
        <w:ind w:firstLine="0" w:firstLineChars="0"/>
        <w:textAlignment w:val="auto"/>
        <w:rPr>
          <w:rFonts w:cs="Times New Roman"/>
          <w:color w:val="000000" w:themeColor="text1"/>
          <w:sz w:val="21"/>
          <w:lang w:eastAsia="zh-CN"/>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p>
      <w:pPr>
        <w:ind w:firstLine="0" w:firstLineChars="0"/>
        <w:jc w:val="center"/>
        <w:outlineLvl w:val="0"/>
        <w:rPr>
          <w:rFonts w:eastAsia="黑体" w:cs="Times New Roman"/>
          <w:bCs/>
          <w:color w:val="auto"/>
          <w:sz w:val="36"/>
          <w:szCs w:val="36"/>
          <w:lang w:eastAsia="zh-CN"/>
          <w14:ligatures w14:val="standardContextual"/>
        </w:rPr>
      </w:pPr>
      <w:bookmarkStart w:id="339" w:name="_Toc196155908"/>
      <w:bookmarkStart w:id="340" w:name="_Toc187611858"/>
      <w:bookmarkStart w:id="341" w:name="_Toc185580043"/>
      <w:bookmarkStart w:id="342" w:name="_Toc193270277"/>
      <w:bookmarkStart w:id="343" w:name="_Toc195818050"/>
      <w:bookmarkStart w:id="344" w:name="_Toc196915248"/>
      <w:r>
        <w:rPr>
          <w:rFonts w:eastAsia="黑体" w:cs="Times New Roman"/>
          <w:bCs/>
          <w:color w:val="auto"/>
          <w:sz w:val="36"/>
          <w:szCs w:val="36"/>
          <w:lang w:eastAsia="zh-CN"/>
          <w14:ligatures w14:val="standardContextual"/>
        </w:rPr>
        <w:t>附录</w:t>
      </w:r>
      <w:bookmarkEnd w:id="339"/>
      <w:bookmarkEnd w:id="340"/>
      <w:bookmarkEnd w:id="341"/>
      <w:bookmarkEnd w:id="342"/>
      <w:bookmarkEnd w:id="343"/>
      <w:r>
        <w:rPr>
          <w:rFonts w:hint="eastAsia" w:eastAsia="黑体" w:cs="Times New Roman"/>
          <w:bCs/>
          <w:color w:val="auto"/>
          <w:sz w:val="36"/>
          <w:szCs w:val="36"/>
          <w:lang w:eastAsia="zh-CN"/>
          <w14:ligatures w14:val="standardContextual"/>
        </w:rPr>
        <w:t>B</w:t>
      </w:r>
      <w:bookmarkEnd w:id="344"/>
    </w:p>
    <w:p>
      <w:pPr>
        <w:ind w:firstLine="0" w:firstLineChars="0"/>
        <w:jc w:val="center"/>
        <w:rPr>
          <w:b/>
          <w:color w:val="auto"/>
          <w:sz w:val="21"/>
          <w:lang w:eastAsia="zh-CN"/>
          <w14:ligatures w14:val="standardContextual"/>
        </w:rPr>
      </w:pPr>
      <w:r>
        <w:rPr>
          <w:rFonts w:hint="eastAsia"/>
          <w:b/>
          <w:color w:val="auto"/>
          <w:sz w:val="21"/>
          <w:lang w:eastAsia="zh-CN"/>
          <w14:ligatures w14:val="standardContextual"/>
        </w:rPr>
        <w:t>表B.0.1 固化后内衬管检查记录表</w:t>
      </w:r>
    </w:p>
    <w:p>
      <w:pPr>
        <w:ind w:right="180" w:firstLine="446" w:firstLineChars="248"/>
        <w:jc w:val="right"/>
        <w:rPr>
          <w:color w:val="auto"/>
          <w:sz w:val="18"/>
          <w:szCs w:val="18"/>
          <w14:ligatures w14:val="standardContextual"/>
        </w:rPr>
      </w:pPr>
      <w:r>
        <w:rPr>
          <w:rFonts w:hint="eastAsia"/>
          <w:color w:val="auto"/>
          <w:sz w:val="18"/>
          <w:szCs w:val="18"/>
          <w14:ligatures w14:val="standardContextual"/>
        </w:rPr>
        <w:t>表GLZ-0</w:t>
      </w:r>
      <w:r>
        <w:rPr>
          <w:color w:val="auto"/>
          <w:sz w:val="18"/>
          <w:szCs w:val="18"/>
          <w14:ligatures w14:val="standardContextual"/>
        </w:rPr>
        <w:t>4</w:t>
      </w:r>
    </w:p>
    <w:tbl>
      <w:tblPr>
        <w:tblStyle w:val="16"/>
        <w:tblpPr w:leftFromText="180" w:rightFromText="180" w:vertAnchor="text" w:horzAnchor="margin" w:tblpY="2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57"/>
        <w:gridCol w:w="440"/>
        <w:gridCol w:w="1844"/>
        <w:gridCol w:w="594"/>
        <w:gridCol w:w="321"/>
        <w:gridCol w:w="161"/>
        <w:gridCol w:w="160"/>
        <w:gridCol w:w="404"/>
        <w:gridCol w:w="404"/>
        <w:gridCol w:w="567"/>
        <w:gridCol w:w="161"/>
        <w:gridCol w:w="160"/>
        <w:gridCol w:w="472"/>
        <w:gridCol w:w="472"/>
        <w:gridCol w:w="161"/>
        <w:gridCol w:w="160"/>
        <w:gridCol w:w="442"/>
        <w:gridCol w:w="4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119" w:type="dxa"/>
            <w:vAlign w:val="center"/>
          </w:tcPr>
          <w:p>
            <w:pPr>
              <w:ind w:firstLine="0" w:firstLineChars="0"/>
              <w:jc w:val="center"/>
              <w:rPr>
                <w:color w:val="auto"/>
                <w:sz w:val="21"/>
                <w14:ligatures w14:val="standardContextual"/>
              </w:rPr>
            </w:pPr>
            <w:r>
              <w:rPr>
                <w:rFonts w:hint="eastAsia"/>
                <w:color w:val="auto"/>
                <w:sz w:val="21"/>
                <w14:ligatures w14:val="standardContextual"/>
              </w:rPr>
              <w:t>工程名称</w:t>
            </w:r>
          </w:p>
        </w:tc>
        <w:tc>
          <w:tcPr>
            <w:tcW w:w="3883" w:type="dxa"/>
            <w:gridSpan w:val="8"/>
            <w:vAlign w:val="center"/>
          </w:tcPr>
          <w:p>
            <w:pPr>
              <w:ind w:firstLine="0" w:firstLineChars="0"/>
              <w:jc w:val="center"/>
              <w:rPr>
                <w:color w:val="auto"/>
                <w14:ligatures w14:val="standardContextual"/>
              </w:rPr>
            </w:pPr>
          </w:p>
        </w:tc>
        <w:tc>
          <w:tcPr>
            <w:tcW w:w="779" w:type="dxa"/>
            <w:gridSpan w:val="2"/>
            <w:vAlign w:val="center"/>
          </w:tcPr>
          <w:p>
            <w:pPr>
              <w:ind w:firstLine="0" w:firstLineChars="0"/>
              <w:jc w:val="center"/>
              <w:rPr>
                <w:color w:val="auto"/>
                <w:sz w:val="21"/>
                <w14:ligatures w14:val="standardContextual"/>
              </w:rPr>
            </w:pPr>
            <w:r>
              <w:rPr>
                <w:rFonts w:hint="eastAsia"/>
                <w:color w:val="auto"/>
                <w:sz w:val="21"/>
                <w14:ligatures w14:val="standardContextual"/>
              </w:rPr>
              <w:t>施工路段</w:t>
            </w:r>
          </w:p>
        </w:tc>
        <w:tc>
          <w:tcPr>
            <w:tcW w:w="2495" w:type="dxa"/>
            <w:gridSpan w:val="7"/>
            <w:vAlign w:val="center"/>
          </w:tcPr>
          <w:p>
            <w:pPr>
              <w:ind w:firstLine="482" w:firstLineChars="0"/>
              <w:jc w:val="center"/>
              <w:rPr>
                <w:b/>
                <w:color w:val="auto"/>
                <w14:ligatures w14:val="standardContextua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119" w:type="dxa"/>
            <w:vAlign w:val="center"/>
          </w:tcPr>
          <w:p>
            <w:pPr>
              <w:ind w:firstLine="0" w:firstLineChars="0"/>
              <w:jc w:val="center"/>
              <w:rPr>
                <w:color w:val="auto"/>
                <w:sz w:val="21"/>
                <w14:ligatures w14:val="standardContextual"/>
              </w:rPr>
            </w:pPr>
            <w:r>
              <w:rPr>
                <w:rFonts w:hint="eastAsia"/>
                <w:color w:val="auto"/>
                <w:sz w:val="21"/>
                <w14:ligatures w14:val="standardContextual"/>
              </w:rPr>
              <w:t>修复管</w:t>
            </w:r>
          </w:p>
          <w:p>
            <w:pPr>
              <w:ind w:firstLine="0" w:firstLineChars="0"/>
              <w:jc w:val="center"/>
              <w:rPr>
                <w:color w:val="auto"/>
                <w:sz w:val="21"/>
                <w14:ligatures w14:val="standardContextual"/>
              </w:rPr>
            </w:pPr>
            <w:r>
              <w:rPr>
                <w:rFonts w:hint="eastAsia"/>
                <w:color w:val="auto"/>
                <w:sz w:val="21"/>
                <w14:ligatures w14:val="standardContextual"/>
              </w:rPr>
              <w:t>段编号</w:t>
            </w:r>
          </w:p>
        </w:tc>
        <w:tc>
          <w:tcPr>
            <w:tcW w:w="1637" w:type="dxa"/>
            <w:gridSpan w:val="2"/>
            <w:vAlign w:val="center"/>
          </w:tcPr>
          <w:p>
            <w:pPr>
              <w:ind w:firstLine="0" w:firstLineChars="0"/>
              <w:jc w:val="center"/>
              <w:rPr>
                <w:b/>
                <w:color w:val="auto"/>
                <w:sz w:val="21"/>
                <w14:ligatures w14:val="standardContextual"/>
              </w:rPr>
            </w:pPr>
          </w:p>
        </w:tc>
        <w:tc>
          <w:tcPr>
            <w:tcW w:w="0" w:type="auto"/>
            <w:vAlign w:val="center"/>
          </w:tcPr>
          <w:p>
            <w:pPr>
              <w:ind w:firstLine="0" w:firstLineChars="0"/>
              <w:jc w:val="center"/>
              <w:rPr>
                <w:color w:val="auto"/>
                <w:sz w:val="21"/>
                <w14:ligatures w14:val="standardContextual"/>
              </w:rPr>
            </w:pPr>
            <w:r>
              <w:rPr>
                <w:rFonts w:hint="eastAsia"/>
                <w:color w:val="auto"/>
                <w:sz w:val="21"/>
                <w14:ligatures w14:val="standardContextual"/>
              </w:rPr>
              <w:t>修复施</w:t>
            </w:r>
          </w:p>
          <w:p>
            <w:pPr>
              <w:ind w:firstLine="0" w:firstLineChars="0"/>
              <w:jc w:val="center"/>
              <w:rPr>
                <w:color w:val="auto"/>
                <w:sz w:val="21"/>
                <w14:ligatures w14:val="standardContextual"/>
              </w:rPr>
            </w:pPr>
            <w:r>
              <w:rPr>
                <w:rFonts w:hint="eastAsia"/>
                <w:color w:val="auto"/>
                <w:sz w:val="21"/>
                <w14:ligatures w14:val="standardContextual"/>
              </w:rPr>
              <w:t>工长度</w:t>
            </w:r>
          </w:p>
        </w:tc>
        <w:tc>
          <w:tcPr>
            <w:tcW w:w="0" w:type="auto"/>
            <w:gridSpan w:val="2"/>
            <w:vAlign w:val="center"/>
          </w:tcPr>
          <w:p>
            <w:pPr>
              <w:ind w:firstLine="482" w:firstLineChars="0"/>
              <w:jc w:val="center"/>
              <w:rPr>
                <w:b/>
                <w:color w:val="auto"/>
                <w14:ligatures w14:val="standardContextual"/>
              </w:rPr>
            </w:pPr>
          </w:p>
        </w:tc>
        <w:tc>
          <w:tcPr>
            <w:tcW w:w="0" w:type="auto"/>
            <w:gridSpan w:val="3"/>
            <w:vAlign w:val="center"/>
          </w:tcPr>
          <w:p>
            <w:pPr>
              <w:ind w:firstLine="0" w:firstLineChars="0"/>
              <w:jc w:val="center"/>
              <w:rPr>
                <w:color w:val="auto"/>
                <w:sz w:val="21"/>
                <w14:ligatures w14:val="standardContextual"/>
              </w:rPr>
            </w:pPr>
            <w:r>
              <w:rPr>
                <w:rFonts w:hint="eastAsia"/>
                <w:color w:val="auto"/>
                <w:sz w:val="21"/>
                <w14:ligatures w14:val="standardContextual"/>
              </w:rPr>
              <w:t>修复施</w:t>
            </w:r>
          </w:p>
          <w:p>
            <w:pPr>
              <w:ind w:firstLine="0" w:firstLineChars="0"/>
              <w:jc w:val="center"/>
              <w:rPr>
                <w:color w:val="auto"/>
                <w:sz w:val="21"/>
                <w14:ligatures w14:val="standardContextual"/>
              </w:rPr>
            </w:pPr>
            <w:r>
              <w:rPr>
                <w:rFonts w:hint="eastAsia"/>
                <w:color w:val="auto"/>
                <w:sz w:val="21"/>
                <w14:ligatures w14:val="standardContextual"/>
              </w:rPr>
              <w:t>工管径</w:t>
            </w:r>
          </w:p>
        </w:tc>
        <w:tc>
          <w:tcPr>
            <w:tcW w:w="779" w:type="dxa"/>
            <w:gridSpan w:val="2"/>
            <w:vAlign w:val="center"/>
          </w:tcPr>
          <w:p>
            <w:pPr>
              <w:ind w:firstLine="0" w:firstLineChars="0"/>
              <w:jc w:val="center"/>
              <w:rPr>
                <w:b/>
                <w:color w:val="auto"/>
                <w14:ligatures w14:val="standardContextual"/>
              </w:rPr>
            </w:pPr>
          </w:p>
        </w:tc>
        <w:tc>
          <w:tcPr>
            <w:tcW w:w="1400" w:type="dxa"/>
            <w:gridSpan w:val="4"/>
            <w:vAlign w:val="center"/>
          </w:tcPr>
          <w:p>
            <w:pPr>
              <w:ind w:firstLine="0" w:firstLineChars="0"/>
              <w:jc w:val="center"/>
              <w:rPr>
                <w:color w:val="auto"/>
                <w:sz w:val="21"/>
                <w14:ligatures w14:val="standardContextual"/>
              </w:rPr>
            </w:pPr>
            <w:r>
              <w:rPr>
                <w:rFonts w:hint="eastAsia"/>
                <w:color w:val="auto"/>
                <w:sz w:val="21"/>
                <w14:ligatures w14:val="standardContextual"/>
              </w:rPr>
              <w:t>内衬设</w:t>
            </w:r>
          </w:p>
          <w:p>
            <w:pPr>
              <w:ind w:firstLine="0" w:firstLineChars="0"/>
              <w:jc w:val="center"/>
              <w:rPr>
                <w:color w:val="auto"/>
                <w:sz w:val="21"/>
                <w14:ligatures w14:val="standardContextual"/>
              </w:rPr>
            </w:pPr>
            <w:r>
              <w:rPr>
                <w:rFonts w:hint="eastAsia"/>
                <w:color w:val="auto"/>
                <w:sz w:val="21"/>
                <w14:ligatures w14:val="standardContextual"/>
              </w:rPr>
              <w:t>计厚度</w:t>
            </w:r>
          </w:p>
        </w:tc>
        <w:tc>
          <w:tcPr>
            <w:tcW w:w="0" w:type="auto"/>
            <w:gridSpan w:val="3"/>
            <w:vAlign w:val="center"/>
          </w:tcPr>
          <w:p>
            <w:pPr>
              <w:ind w:firstLine="482" w:firstLineChars="0"/>
              <w:jc w:val="center"/>
              <w:rPr>
                <w:b/>
                <w:color w:val="auto"/>
                <w14:ligatures w14:val="standardContextua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119" w:type="dxa"/>
            <w:vAlign w:val="center"/>
          </w:tcPr>
          <w:p>
            <w:pPr>
              <w:ind w:firstLine="0" w:firstLineChars="0"/>
              <w:jc w:val="center"/>
              <w:rPr>
                <w:color w:val="auto"/>
                <w:sz w:val="21"/>
                <w14:ligatures w14:val="standardContextual"/>
              </w:rPr>
            </w:pPr>
            <w:r>
              <w:rPr>
                <w:rFonts w:hint="eastAsia"/>
                <w:color w:val="auto"/>
                <w:sz w:val="21"/>
                <w14:ligatures w14:val="standardContextual"/>
              </w:rPr>
              <w:t>建设单位</w:t>
            </w:r>
          </w:p>
        </w:tc>
        <w:tc>
          <w:tcPr>
            <w:tcW w:w="2814" w:type="dxa"/>
            <w:gridSpan w:val="5"/>
            <w:vAlign w:val="center"/>
          </w:tcPr>
          <w:p>
            <w:pPr>
              <w:ind w:firstLine="420" w:firstLineChars="0"/>
              <w:jc w:val="center"/>
              <w:rPr>
                <w:color w:val="auto"/>
                <w:sz w:val="21"/>
                <w14:ligatures w14:val="standardContextual"/>
              </w:rPr>
            </w:pPr>
          </w:p>
        </w:tc>
        <w:tc>
          <w:tcPr>
            <w:tcW w:w="0" w:type="auto"/>
            <w:gridSpan w:val="3"/>
            <w:vAlign w:val="center"/>
          </w:tcPr>
          <w:p>
            <w:pPr>
              <w:ind w:firstLine="0" w:firstLineChars="0"/>
              <w:jc w:val="center"/>
              <w:rPr>
                <w:color w:val="auto"/>
                <w:sz w:val="21"/>
                <w14:ligatures w14:val="standardContextual"/>
              </w:rPr>
            </w:pPr>
            <w:r>
              <w:rPr>
                <w:rFonts w:hint="eastAsia"/>
                <w:color w:val="auto"/>
                <w:sz w:val="21"/>
                <w14:ligatures w14:val="standardContextual"/>
              </w:rPr>
              <w:t>监理单位</w:t>
            </w:r>
          </w:p>
        </w:tc>
        <w:tc>
          <w:tcPr>
            <w:tcW w:w="0" w:type="auto"/>
            <w:gridSpan w:val="9"/>
            <w:vAlign w:val="center"/>
          </w:tcPr>
          <w:p>
            <w:pPr>
              <w:ind w:firstLine="420" w:firstLineChars="0"/>
              <w:jc w:val="center"/>
              <w:rPr>
                <w:color w:val="auto"/>
                <w:sz w:val="21"/>
                <w14:ligatures w14:val="standardContextua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119" w:type="dxa"/>
            <w:vAlign w:val="center"/>
          </w:tcPr>
          <w:p>
            <w:pPr>
              <w:ind w:firstLine="0" w:firstLineChars="0"/>
              <w:jc w:val="center"/>
              <w:rPr>
                <w:color w:val="auto"/>
                <w:sz w:val="21"/>
                <w14:ligatures w14:val="standardContextual"/>
              </w:rPr>
            </w:pPr>
            <w:r>
              <w:rPr>
                <w:rFonts w:hint="eastAsia"/>
                <w:color w:val="auto"/>
                <w:sz w:val="21"/>
                <w14:ligatures w14:val="standardContextual"/>
              </w:rPr>
              <w:t>设计单位</w:t>
            </w:r>
          </w:p>
        </w:tc>
        <w:tc>
          <w:tcPr>
            <w:tcW w:w="2814" w:type="dxa"/>
            <w:gridSpan w:val="5"/>
            <w:vAlign w:val="center"/>
          </w:tcPr>
          <w:p>
            <w:pPr>
              <w:ind w:firstLine="560" w:firstLineChars="0"/>
              <w:jc w:val="center"/>
              <w:rPr>
                <w:rFonts w:hint="eastAsia" w:ascii="宋体" w:hAnsi="宋体"/>
                <w:color w:val="auto"/>
                <w:sz w:val="28"/>
                <w:szCs w:val="28"/>
                <w14:ligatures w14:val="standardContextual"/>
              </w:rPr>
            </w:pPr>
          </w:p>
        </w:tc>
        <w:tc>
          <w:tcPr>
            <w:tcW w:w="0" w:type="auto"/>
            <w:gridSpan w:val="3"/>
            <w:vAlign w:val="center"/>
          </w:tcPr>
          <w:p>
            <w:pPr>
              <w:ind w:firstLine="0" w:firstLineChars="0"/>
              <w:jc w:val="center"/>
              <w:rPr>
                <w:color w:val="auto"/>
                <w:sz w:val="21"/>
                <w14:ligatures w14:val="standardContextual"/>
              </w:rPr>
            </w:pPr>
            <w:r>
              <w:rPr>
                <w:rFonts w:hint="eastAsia"/>
                <w:color w:val="auto"/>
                <w:sz w:val="21"/>
                <w14:ligatures w14:val="standardContextual"/>
              </w:rPr>
              <w:t>施工单位</w:t>
            </w:r>
          </w:p>
        </w:tc>
        <w:tc>
          <w:tcPr>
            <w:tcW w:w="0" w:type="auto"/>
            <w:gridSpan w:val="9"/>
            <w:vAlign w:val="center"/>
          </w:tcPr>
          <w:p>
            <w:pPr>
              <w:ind w:firstLine="420" w:firstLineChars="0"/>
              <w:jc w:val="center"/>
              <w:rPr>
                <w:color w:val="auto"/>
                <w:sz w:val="21"/>
                <w14:ligatures w14:val="standardContextua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19" w:type="dxa"/>
            <w:vAlign w:val="center"/>
          </w:tcPr>
          <w:p>
            <w:pPr>
              <w:ind w:firstLine="0" w:firstLineChars="0"/>
              <w:jc w:val="center"/>
              <w:rPr>
                <w:color w:val="auto"/>
                <w:sz w:val="21"/>
                <w14:ligatures w14:val="standardContextual"/>
              </w:rPr>
            </w:pPr>
            <w:r>
              <w:rPr>
                <w:rFonts w:hint="eastAsia"/>
                <w:color w:val="auto"/>
                <w:sz w:val="21"/>
                <w14:ligatures w14:val="standardContextual"/>
              </w:rPr>
              <w:t>序号</w:t>
            </w:r>
          </w:p>
        </w:tc>
        <w:tc>
          <w:tcPr>
            <w:tcW w:w="1637" w:type="dxa"/>
            <w:gridSpan w:val="2"/>
            <w:vAlign w:val="center"/>
          </w:tcPr>
          <w:p>
            <w:pPr>
              <w:ind w:firstLine="0" w:firstLineChars="0"/>
              <w:jc w:val="center"/>
              <w:rPr>
                <w:color w:val="auto"/>
                <w:sz w:val="21"/>
                <w14:ligatures w14:val="standardContextual"/>
              </w:rPr>
            </w:pPr>
            <w:r>
              <w:rPr>
                <w:rFonts w:hint="eastAsia"/>
                <w:color w:val="auto"/>
                <w:sz w:val="21"/>
                <w14:ligatures w14:val="standardContextual"/>
              </w:rPr>
              <w:t>检查项目</w:t>
            </w:r>
          </w:p>
        </w:tc>
        <w:tc>
          <w:tcPr>
            <w:tcW w:w="0" w:type="auto"/>
            <w:gridSpan w:val="15"/>
            <w:vAlign w:val="center"/>
          </w:tcPr>
          <w:p>
            <w:pPr>
              <w:ind w:firstLine="420" w:firstLineChars="0"/>
              <w:jc w:val="center"/>
              <w:rPr>
                <w:color w:val="auto"/>
                <w:sz w:val="21"/>
                <w14:ligatures w14:val="standardContextual"/>
              </w:rPr>
            </w:pPr>
            <w:r>
              <w:rPr>
                <w:rFonts w:hint="eastAsia"/>
                <w:color w:val="auto"/>
                <w:sz w:val="21"/>
                <w14:ligatures w14:val="standardContextual"/>
              </w:rPr>
              <w:t>质</w:t>
            </w:r>
            <w:r>
              <w:rPr>
                <w:rFonts w:hint="eastAsia"/>
                <w:color w:val="auto"/>
                <w:sz w:val="21"/>
                <w:lang w:eastAsia="zh-CN"/>
                <w14:ligatures w14:val="standardContextual"/>
              </w:rPr>
              <w:t xml:space="preserve">  </w:t>
            </w:r>
            <w:r>
              <w:rPr>
                <w:rFonts w:hint="eastAsia"/>
                <w:color w:val="auto"/>
                <w:sz w:val="21"/>
                <w14:ligatures w14:val="standardContextual"/>
              </w:rPr>
              <w:t>量</w:t>
            </w:r>
            <w:r>
              <w:rPr>
                <w:color w:val="auto"/>
                <w:sz w:val="21"/>
                <w14:ligatures w14:val="standardContextual"/>
              </w:rPr>
              <w:t xml:space="preserve">  </w:t>
            </w:r>
            <w:r>
              <w:rPr>
                <w:rFonts w:hint="eastAsia"/>
                <w:color w:val="auto"/>
                <w:sz w:val="21"/>
                <w14:ligatures w14:val="standardContextual"/>
              </w:rPr>
              <w:t>情</w:t>
            </w:r>
            <w:r>
              <w:rPr>
                <w:color w:val="auto"/>
                <w:sz w:val="21"/>
                <w14:ligatures w14:val="standardContextual"/>
              </w:rPr>
              <w:t xml:space="preserve">  </w:t>
            </w:r>
            <w:r>
              <w:rPr>
                <w:rFonts w:hint="eastAsia"/>
                <w:color w:val="auto"/>
                <w:sz w:val="21"/>
                <w14:ligatures w14:val="standardContextual"/>
              </w:rPr>
              <w:t>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19" w:type="dxa"/>
            <w:vAlign w:val="center"/>
          </w:tcPr>
          <w:p>
            <w:pPr>
              <w:ind w:firstLine="0" w:firstLineChars="0"/>
              <w:jc w:val="center"/>
              <w:rPr>
                <w:color w:val="auto"/>
                <w:sz w:val="21"/>
                <w14:ligatures w14:val="standardContextual"/>
              </w:rPr>
            </w:pPr>
            <w:r>
              <w:rPr>
                <w:rFonts w:hint="eastAsia"/>
                <w:color w:val="auto"/>
                <w:sz w:val="21"/>
                <w14:ligatures w14:val="standardContextual"/>
              </w:rPr>
              <w:t>1</w:t>
            </w:r>
          </w:p>
        </w:tc>
        <w:tc>
          <w:tcPr>
            <w:tcW w:w="1637" w:type="dxa"/>
            <w:gridSpan w:val="2"/>
            <w:vAlign w:val="center"/>
          </w:tcPr>
          <w:p>
            <w:pPr>
              <w:ind w:firstLine="420" w:firstLineChars="0"/>
              <w:jc w:val="center"/>
              <w:rPr>
                <w:color w:val="auto"/>
                <w:sz w:val="21"/>
                <w14:ligatures w14:val="standardContextual"/>
              </w:rPr>
            </w:pPr>
          </w:p>
        </w:tc>
        <w:tc>
          <w:tcPr>
            <w:tcW w:w="0" w:type="auto"/>
            <w:gridSpan w:val="15"/>
            <w:vAlign w:val="center"/>
          </w:tcPr>
          <w:p>
            <w:pPr>
              <w:spacing w:line="300" w:lineRule="auto"/>
              <w:ind w:firstLine="420" w:firstLineChars="0"/>
              <w:jc w:val="center"/>
              <w:rPr>
                <w:color w:val="auto"/>
                <w:sz w:val="21"/>
                <w14:ligatures w14:val="standardContextua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19" w:type="dxa"/>
            <w:vAlign w:val="center"/>
          </w:tcPr>
          <w:p>
            <w:pPr>
              <w:ind w:firstLine="0" w:firstLineChars="0"/>
              <w:jc w:val="center"/>
              <w:rPr>
                <w:color w:val="auto"/>
                <w:sz w:val="21"/>
                <w14:ligatures w14:val="standardContextual"/>
              </w:rPr>
            </w:pPr>
            <w:r>
              <w:rPr>
                <w:rFonts w:hint="eastAsia"/>
                <w:color w:val="auto"/>
                <w:sz w:val="21"/>
                <w14:ligatures w14:val="standardContextual"/>
              </w:rPr>
              <w:t>2</w:t>
            </w:r>
          </w:p>
        </w:tc>
        <w:tc>
          <w:tcPr>
            <w:tcW w:w="1637" w:type="dxa"/>
            <w:gridSpan w:val="2"/>
            <w:vAlign w:val="center"/>
          </w:tcPr>
          <w:p>
            <w:pPr>
              <w:ind w:firstLine="420" w:firstLineChars="0"/>
              <w:jc w:val="center"/>
              <w:rPr>
                <w:color w:val="auto"/>
                <w:sz w:val="21"/>
                <w14:ligatures w14:val="standardContextual"/>
              </w:rPr>
            </w:pPr>
          </w:p>
        </w:tc>
        <w:tc>
          <w:tcPr>
            <w:tcW w:w="0" w:type="auto"/>
            <w:gridSpan w:val="15"/>
            <w:vAlign w:val="center"/>
          </w:tcPr>
          <w:p>
            <w:pPr>
              <w:ind w:firstLine="200" w:firstLineChars="0"/>
              <w:jc w:val="left"/>
              <w:rPr>
                <w:sz w:val="21"/>
                <w:szCs w:val="2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19" w:type="dxa"/>
            <w:vAlign w:val="center"/>
          </w:tcPr>
          <w:p>
            <w:pPr>
              <w:ind w:firstLine="0" w:firstLineChars="0"/>
              <w:jc w:val="center"/>
              <w:rPr>
                <w:color w:val="auto"/>
                <w:sz w:val="21"/>
                <w14:ligatures w14:val="standardContextual"/>
              </w:rPr>
            </w:pPr>
            <w:r>
              <w:rPr>
                <w:rFonts w:hint="eastAsia"/>
                <w:color w:val="auto"/>
                <w:sz w:val="21"/>
                <w14:ligatures w14:val="standardContextual"/>
              </w:rPr>
              <w:t>3</w:t>
            </w:r>
          </w:p>
        </w:tc>
        <w:tc>
          <w:tcPr>
            <w:tcW w:w="1637" w:type="dxa"/>
            <w:gridSpan w:val="2"/>
            <w:vAlign w:val="center"/>
          </w:tcPr>
          <w:p>
            <w:pPr>
              <w:ind w:firstLine="420" w:firstLineChars="0"/>
              <w:jc w:val="center"/>
              <w:rPr>
                <w:color w:val="auto"/>
                <w:sz w:val="21"/>
                <w14:ligatures w14:val="standardContextual"/>
              </w:rPr>
            </w:pPr>
          </w:p>
        </w:tc>
        <w:tc>
          <w:tcPr>
            <w:tcW w:w="0" w:type="auto"/>
            <w:gridSpan w:val="15"/>
            <w:vAlign w:val="center"/>
          </w:tcPr>
          <w:p>
            <w:pPr>
              <w:ind w:firstLine="200" w:firstLineChars="0"/>
              <w:jc w:val="left"/>
              <w:rPr>
                <w:sz w:val="21"/>
                <w:szCs w:val="2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19" w:type="dxa"/>
            <w:vAlign w:val="center"/>
          </w:tcPr>
          <w:p>
            <w:pPr>
              <w:ind w:firstLine="0" w:firstLineChars="0"/>
              <w:jc w:val="center"/>
              <w:rPr>
                <w:color w:val="auto"/>
                <w:sz w:val="21"/>
                <w14:ligatures w14:val="standardContextual"/>
              </w:rPr>
            </w:pPr>
            <w:r>
              <w:rPr>
                <w:rFonts w:hint="eastAsia"/>
                <w:color w:val="auto"/>
                <w:sz w:val="21"/>
                <w14:ligatures w14:val="standardContextual"/>
              </w:rPr>
              <w:t>4</w:t>
            </w:r>
          </w:p>
        </w:tc>
        <w:tc>
          <w:tcPr>
            <w:tcW w:w="1637" w:type="dxa"/>
            <w:gridSpan w:val="2"/>
            <w:vAlign w:val="center"/>
          </w:tcPr>
          <w:p>
            <w:pPr>
              <w:ind w:firstLine="420" w:firstLineChars="0"/>
              <w:jc w:val="center"/>
              <w:rPr>
                <w:color w:val="auto"/>
                <w:sz w:val="21"/>
                <w14:ligatures w14:val="standardContextual"/>
              </w:rPr>
            </w:pPr>
          </w:p>
        </w:tc>
        <w:tc>
          <w:tcPr>
            <w:tcW w:w="0" w:type="auto"/>
            <w:gridSpan w:val="15"/>
            <w:vAlign w:val="center"/>
          </w:tcPr>
          <w:p>
            <w:pPr>
              <w:spacing w:line="300" w:lineRule="auto"/>
              <w:ind w:firstLine="420" w:firstLineChars="0"/>
              <w:jc w:val="center"/>
              <w:rPr>
                <w:color w:val="auto"/>
                <w:sz w:val="21"/>
                <w14:ligatures w14:val="standardContextua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trPr>
        <w:tc>
          <w:tcPr>
            <w:tcW w:w="1119" w:type="dxa"/>
            <w:vMerge w:val="restart"/>
            <w:vAlign w:val="center"/>
          </w:tcPr>
          <w:p>
            <w:pPr>
              <w:ind w:firstLine="0" w:firstLineChars="0"/>
              <w:jc w:val="center"/>
              <w:rPr>
                <w:color w:val="auto"/>
                <w:sz w:val="21"/>
                <w14:ligatures w14:val="standardContextual"/>
              </w:rPr>
            </w:pPr>
            <w:r>
              <w:rPr>
                <w:rFonts w:hint="eastAsia"/>
                <w:color w:val="auto"/>
                <w:sz w:val="21"/>
                <w14:ligatures w14:val="standardContextual"/>
              </w:rPr>
              <w:t>5</w:t>
            </w:r>
          </w:p>
        </w:tc>
        <w:tc>
          <w:tcPr>
            <w:tcW w:w="270" w:type="dxa"/>
            <w:vMerge w:val="restart"/>
            <w:shd w:val="clear" w:color="auto" w:fill="auto"/>
            <w:vAlign w:val="center"/>
          </w:tcPr>
          <w:p>
            <w:pPr>
              <w:ind w:firstLine="0" w:firstLineChars="0"/>
              <w:jc w:val="center"/>
              <w:rPr>
                <w:color w:val="auto"/>
                <w:sz w:val="21"/>
                <w14:ligatures w14:val="standardContextual"/>
              </w:rPr>
            </w:pPr>
            <w:r>
              <w:rPr>
                <w:rFonts w:hint="eastAsia"/>
                <w:color w:val="auto"/>
                <w:sz w:val="21"/>
                <w14:ligatures w14:val="standardContextual"/>
              </w:rPr>
              <w:t>测量</w:t>
            </w:r>
          </w:p>
          <w:p>
            <w:pPr>
              <w:ind w:firstLine="0" w:firstLineChars="0"/>
              <w:jc w:val="center"/>
              <w:rPr>
                <w:color w:val="auto"/>
                <w:sz w:val="21"/>
                <w14:ligatures w14:val="standardContextual"/>
              </w:rPr>
            </w:pPr>
            <w:r>
              <w:rPr>
                <w:rFonts w:hint="eastAsia"/>
                <w:color w:val="auto"/>
                <w:sz w:val="21"/>
                <w14:ligatures w14:val="standardContextual"/>
              </w:rPr>
              <w:t>项目</w:t>
            </w:r>
          </w:p>
        </w:tc>
        <w:tc>
          <w:tcPr>
            <w:tcW w:w="0" w:type="auto"/>
            <w:vMerge w:val="restart"/>
            <w:shd w:val="clear" w:color="auto" w:fill="auto"/>
            <w:vAlign w:val="center"/>
          </w:tcPr>
          <w:p>
            <w:pPr>
              <w:ind w:firstLine="0" w:firstLineChars="0"/>
              <w:jc w:val="center"/>
              <w:rPr>
                <w:color w:val="auto"/>
                <w:sz w:val="21"/>
                <w14:ligatures w14:val="standardContextual"/>
              </w:rPr>
            </w:pPr>
            <w:r>
              <w:rPr>
                <w:rFonts w:hint="eastAsia"/>
                <w:color w:val="auto"/>
                <w:sz w:val="21"/>
                <w14:ligatures w14:val="standardContextual"/>
              </w:rPr>
              <w:t>规定值或允许偏差</w:t>
            </w:r>
          </w:p>
        </w:tc>
        <w:tc>
          <w:tcPr>
            <w:tcW w:w="0" w:type="auto"/>
            <w:gridSpan w:val="15"/>
            <w:shd w:val="clear" w:color="auto" w:fill="auto"/>
            <w:vAlign w:val="center"/>
          </w:tcPr>
          <w:p>
            <w:pPr>
              <w:ind w:firstLine="420" w:firstLineChars="0"/>
              <w:jc w:val="center"/>
              <w:rPr>
                <w:color w:val="auto"/>
                <w:sz w:val="21"/>
                <w:lang w:eastAsia="zh-CN"/>
                <w14:ligatures w14:val="standardContextual"/>
              </w:rPr>
            </w:pPr>
            <w:r>
              <w:rPr>
                <w:rFonts w:hint="eastAsia"/>
                <w:color w:val="auto"/>
                <w:sz w:val="21"/>
                <w:lang w:eastAsia="zh-CN"/>
                <w14:ligatures w14:val="standardContextual"/>
              </w:rPr>
              <w:t>内衬管端部断面环向厚度测量值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19" w:type="dxa"/>
            <w:vMerge w:val="continue"/>
            <w:vAlign w:val="center"/>
          </w:tcPr>
          <w:p>
            <w:pPr>
              <w:ind w:firstLine="420" w:firstLineChars="0"/>
              <w:jc w:val="center"/>
              <w:rPr>
                <w:color w:val="auto"/>
                <w:sz w:val="21"/>
                <w:lang w:eastAsia="zh-CN"/>
                <w14:ligatures w14:val="standardContextual"/>
              </w:rPr>
            </w:pPr>
          </w:p>
        </w:tc>
        <w:tc>
          <w:tcPr>
            <w:tcW w:w="270" w:type="dxa"/>
            <w:vMerge w:val="continue"/>
            <w:shd w:val="clear" w:color="auto" w:fill="auto"/>
            <w:vAlign w:val="center"/>
          </w:tcPr>
          <w:p>
            <w:pPr>
              <w:ind w:firstLine="420" w:firstLineChars="0"/>
              <w:jc w:val="center"/>
              <w:rPr>
                <w:color w:val="auto"/>
                <w:sz w:val="21"/>
                <w:lang w:eastAsia="zh-CN"/>
                <w14:ligatures w14:val="standardContextual"/>
              </w:rPr>
            </w:pPr>
          </w:p>
        </w:tc>
        <w:tc>
          <w:tcPr>
            <w:tcW w:w="0" w:type="auto"/>
            <w:vMerge w:val="continue"/>
            <w:shd w:val="clear" w:color="auto" w:fill="auto"/>
            <w:vAlign w:val="center"/>
          </w:tcPr>
          <w:p>
            <w:pPr>
              <w:ind w:firstLine="420" w:firstLineChars="0"/>
              <w:jc w:val="center"/>
              <w:rPr>
                <w:color w:val="auto"/>
                <w:sz w:val="21"/>
                <w:lang w:eastAsia="zh-CN"/>
                <w14:ligatures w14:val="standardContextual"/>
              </w:rPr>
            </w:pPr>
          </w:p>
        </w:tc>
        <w:tc>
          <w:tcPr>
            <w:tcW w:w="0" w:type="auto"/>
            <w:gridSpan w:val="7"/>
            <w:shd w:val="clear" w:color="auto" w:fill="auto"/>
            <w:vAlign w:val="center"/>
          </w:tcPr>
          <w:p>
            <w:pPr>
              <w:ind w:firstLine="420" w:firstLineChars="0"/>
              <w:jc w:val="center"/>
              <w:rPr>
                <w:color w:val="auto"/>
                <w:sz w:val="21"/>
                <w14:ligatures w14:val="standardContextual"/>
              </w:rPr>
            </w:pPr>
            <w:r>
              <w:rPr>
                <w:rFonts w:hint="eastAsia"/>
                <w:color w:val="auto"/>
                <w:sz w:val="21"/>
                <w14:ligatures w14:val="standardContextual"/>
              </w:rPr>
              <w:t>端部1</w:t>
            </w:r>
          </w:p>
        </w:tc>
        <w:tc>
          <w:tcPr>
            <w:tcW w:w="0" w:type="auto"/>
            <w:gridSpan w:val="8"/>
            <w:shd w:val="clear" w:color="auto" w:fill="auto"/>
            <w:vAlign w:val="center"/>
          </w:tcPr>
          <w:p>
            <w:pPr>
              <w:ind w:firstLine="420" w:firstLineChars="0"/>
              <w:jc w:val="center"/>
              <w:rPr>
                <w:color w:val="auto"/>
                <w:sz w:val="21"/>
                <w14:ligatures w14:val="standardContextual"/>
              </w:rPr>
            </w:pPr>
            <w:r>
              <w:rPr>
                <w:rFonts w:hint="eastAsia"/>
                <w:color w:val="auto"/>
                <w:sz w:val="21"/>
                <w14:ligatures w14:val="standardContextual"/>
              </w:rPr>
              <w:t>端部2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 w:hRule="atLeast"/>
        </w:trPr>
        <w:tc>
          <w:tcPr>
            <w:tcW w:w="1119" w:type="dxa"/>
            <w:vMerge w:val="continue"/>
            <w:vAlign w:val="center"/>
          </w:tcPr>
          <w:p>
            <w:pPr>
              <w:ind w:firstLine="420" w:firstLineChars="0"/>
              <w:jc w:val="center"/>
              <w:rPr>
                <w:color w:val="auto"/>
                <w:sz w:val="21"/>
                <w14:ligatures w14:val="standardContextual"/>
              </w:rPr>
            </w:pPr>
          </w:p>
        </w:tc>
        <w:tc>
          <w:tcPr>
            <w:tcW w:w="270" w:type="dxa"/>
            <w:vMerge w:val="continue"/>
            <w:shd w:val="clear" w:color="auto" w:fill="auto"/>
            <w:vAlign w:val="center"/>
          </w:tcPr>
          <w:p>
            <w:pPr>
              <w:ind w:firstLine="420" w:firstLineChars="0"/>
              <w:jc w:val="center"/>
              <w:rPr>
                <w:color w:val="auto"/>
                <w:sz w:val="21"/>
                <w14:ligatures w14:val="standardContextual"/>
              </w:rPr>
            </w:pPr>
          </w:p>
        </w:tc>
        <w:tc>
          <w:tcPr>
            <w:tcW w:w="0" w:type="auto"/>
            <w:vMerge w:val="continue"/>
            <w:shd w:val="clear" w:color="auto" w:fill="auto"/>
            <w:vAlign w:val="center"/>
          </w:tcPr>
          <w:p>
            <w:pPr>
              <w:ind w:firstLine="420" w:firstLineChars="0"/>
              <w:jc w:val="center"/>
              <w:rPr>
                <w:color w:val="auto"/>
                <w:sz w:val="21"/>
                <w14:ligatures w14:val="standardContextual"/>
              </w:rPr>
            </w:pPr>
          </w:p>
        </w:tc>
        <w:tc>
          <w:tcPr>
            <w:tcW w:w="0" w:type="auto"/>
            <w:shd w:val="clear" w:color="auto" w:fill="auto"/>
            <w:vAlign w:val="center"/>
          </w:tcPr>
          <w:p>
            <w:pPr>
              <w:ind w:firstLine="0" w:firstLineChars="0"/>
              <w:rPr>
                <w:color w:val="auto"/>
                <w:sz w:val="21"/>
                <w14:ligatures w14:val="standardContextual"/>
              </w:rPr>
            </w:pPr>
            <w:r>
              <w:rPr>
                <w:rFonts w:hint="eastAsia"/>
                <w:color w:val="auto"/>
                <w:sz w:val="21"/>
                <w14:ligatures w14:val="standardContextual"/>
              </w:rPr>
              <w:t>1</w:t>
            </w:r>
          </w:p>
        </w:tc>
        <w:tc>
          <w:tcPr>
            <w:tcW w:w="0" w:type="auto"/>
            <w:shd w:val="clear" w:color="auto" w:fill="auto"/>
            <w:vAlign w:val="center"/>
          </w:tcPr>
          <w:p>
            <w:pPr>
              <w:ind w:firstLine="0" w:firstLineChars="0"/>
              <w:jc w:val="center"/>
              <w:rPr>
                <w:color w:val="auto"/>
                <w:sz w:val="21"/>
                <w14:ligatures w14:val="standardContextual"/>
              </w:rPr>
            </w:pPr>
            <w:r>
              <w:rPr>
                <w:rFonts w:hint="eastAsia"/>
                <w:color w:val="auto"/>
                <w:sz w:val="21"/>
                <w14:ligatures w14:val="standardContextual"/>
              </w:rPr>
              <w:t>2</w:t>
            </w:r>
          </w:p>
        </w:tc>
        <w:tc>
          <w:tcPr>
            <w:tcW w:w="0" w:type="auto"/>
            <w:gridSpan w:val="2"/>
            <w:shd w:val="clear" w:color="auto" w:fill="auto"/>
            <w:vAlign w:val="center"/>
          </w:tcPr>
          <w:p>
            <w:pPr>
              <w:ind w:firstLine="0" w:firstLineChars="0"/>
              <w:jc w:val="center"/>
              <w:rPr>
                <w:color w:val="auto"/>
                <w:sz w:val="21"/>
                <w14:ligatures w14:val="standardContextual"/>
              </w:rPr>
            </w:pPr>
            <w:r>
              <w:rPr>
                <w:rFonts w:hint="eastAsia"/>
                <w:color w:val="auto"/>
                <w:sz w:val="21"/>
                <w14:ligatures w14:val="standardContextual"/>
              </w:rPr>
              <w:t>3</w:t>
            </w:r>
          </w:p>
        </w:tc>
        <w:tc>
          <w:tcPr>
            <w:tcW w:w="0" w:type="auto"/>
            <w:shd w:val="clear" w:color="auto" w:fill="auto"/>
            <w:vAlign w:val="center"/>
          </w:tcPr>
          <w:p>
            <w:pPr>
              <w:ind w:firstLine="0" w:firstLineChars="0"/>
              <w:rPr>
                <w:color w:val="auto"/>
                <w:sz w:val="21"/>
                <w14:ligatures w14:val="standardContextual"/>
              </w:rPr>
            </w:pPr>
            <w:r>
              <w:rPr>
                <w:rFonts w:hint="eastAsia"/>
                <w:color w:val="auto"/>
                <w:sz w:val="21"/>
                <w14:ligatures w14:val="standardContextual"/>
              </w:rPr>
              <w:t>4</w:t>
            </w:r>
          </w:p>
        </w:tc>
        <w:tc>
          <w:tcPr>
            <w:tcW w:w="0" w:type="auto"/>
            <w:shd w:val="clear" w:color="auto" w:fill="auto"/>
            <w:vAlign w:val="center"/>
          </w:tcPr>
          <w:p>
            <w:pPr>
              <w:ind w:firstLine="0" w:firstLineChars="0"/>
              <w:jc w:val="center"/>
              <w:rPr>
                <w:color w:val="auto"/>
                <w:sz w:val="21"/>
                <w14:ligatures w14:val="standardContextual"/>
              </w:rPr>
            </w:pPr>
            <w:r>
              <w:rPr>
                <w:rFonts w:hint="eastAsia"/>
                <w:color w:val="auto"/>
                <w:sz w:val="21"/>
                <w14:ligatures w14:val="standardContextual"/>
              </w:rPr>
              <w:t>5</w:t>
            </w:r>
          </w:p>
        </w:tc>
        <w:tc>
          <w:tcPr>
            <w:tcW w:w="0" w:type="auto"/>
            <w:shd w:val="clear" w:color="auto" w:fill="auto"/>
            <w:vAlign w:val="center"/>
          </w:tcPr>
          <w:p>
            <w:pPr>
              <w:ind w:firstLine="0" w:firstLineChars="0"/>
              <w:jc w:val="center"/>
              <w:rPr>
                <w:color w:val="auto"/>
                <w:sz w:val="21"/>
                <w14:ligatures w14:val="standardContextual"/>
              </w:rPr>
            </w:pPr>
            <w:r>
              <w:rPr>
                <w:rFonts w:hint="eastAsia"/>
                <w:color w:val="auto"/>
                <w:sz w:val="21"/>
                <w14:ligatures w14:val="standardContextual"/>
              </w:rPr>
              <w:t>6</w:t>
            </w:r>
          </w:p>
        </w:tc>
        <w:tc>
          <w:tcPr>
            <w:tcW w:w="0" w:type="auto"/>
            <w:gridSpan w:val="2"/>
            <w:shd w:val="clear" w:color="auto" w:fill="auto"/>
            <w:vAlign w:val="center"/>
          </w:tcPr>
          <w:p>
            <w:pPr>
              <w:ind w:firstLine="0" w:firstLineChars="0"/>
              <w:jc w:val="center"/>
              <w:rPr>
                <w:color w:val="auto"/>
                <w:sz w:val="21"/>
                <w14:ligatures w14:val="standardContextual"/>
              </w:rPr>
            </w:pPr>
            <w:r>
              <w:rPr>
                <w:rFonts w:hint="eastAsia"/>
                <w:color w:val="auto"/>
                <w:sz w:val="21"/>
                <w14:ligatures w14:val="standardContextual"/>
              </w:rPr>
              <w:t>1</w:t>
            </w:r>
          </w:p>
        </w:tc>
        <w:tc>
          <w:tcPr>
            <w:tcW w:w="0" w:type="auto"/>
            <w:shd w:val="clear" w:color="auto" w:fill="auto"/>
            <w:vAlign w:val="center"/>
          </w:tcPr>
          <w:p>
            <w:pPr>
              <w:ind w:firstLine="0" w:firstLineChars="0"/>
              <w:jc w:val="center"/>
              <w:rPr>
                <w:color w:val="auto"/>
                <w:sz w:val="21"/>
                <w14:ligatures w14:val="standardContextual"/>
              </w:rPr>
            </w:pPr>
            <w:r>
              <w:rPr>
                <w:rFonts w:hint="eastAsia"/>
                <w:color w:val="auto"/>
                <w:sz w:val="21"/>
                <w14:ligatures w14:val="standardContextual"/>
              </w:rPr>
              <w:t>2</w:t>
            </w:r>
          </w:p>
        </w:tc>
        <w:tc>
          <w:tcPr>
            <w:tcW w:w="0" w:type="auto"/>
            <w:shd w:val="clear" w:color="auto" w:fill="auto"/>
            <w:vAlign w:val="center"/>
          </w:tcPr>
          <w:p>
            <w:pPr>
              <w:ind w:firstLine="0" w:firstLineChars="0"/>
              <w:jc w:val="center"/>
              <w:rPr>
                <w:color w:val="auto"/>
                <w:sz w:val="21"/>
                <w14:ligatures w14:val="standardContextual"/>
              </w:rPr>
            </w:pPr>
            <w:r>
              <w:rPr>
                <w:rFonts w:hint="eastAsia"/>
                <w:color w:val="auto"/>
                <w:sz w:val="21"/>
                <w14:ligatures w14:val="standardContextual"/>
              </w:rPr>
              <w:t>3</w:t>
            </w:r>
          </w:p>
        </w:tc>
        <w:tc>
          <w:tcPr>
            <w:tcW w:w="0" w:type="auto"/>
            <w:gridSpan w:val="2"/>
            <w:shd w:val="clear" w:color="auto" w:fill="auto"/>
            <w:vAlign w:val="center"/>
          </w:tcPr>
          <w:p>
            <w:pPr>
              <w:ind w:firstLine="0" w:firstLineChars="0"/>
              <w:jc w:val="center"/>
              <w:rPr>
                <w:color w:val="auto"/>
                <w:sz w:val="21"/>
                <w14:ligatures w14:val="standardContextual"/>
              </w:rPr>
            </w:pPr>
            <w:r>
              <w:rPr>
                <w:rFonts w:hint="eastAsia"/>
                <w:color w:val="auto"/>
                <w:sz w:val="21"/>
                <w14:ligatures w14:val="standardContextual"/>
              </w:rPr>
              <w:t>4</w:t>
            </w:r>
          </w:p>
        </w:tc>
        <w:tc>
          <w:tcPr>
            <w:tcW w:w="0" w:type="auto"/>
            <w:shd w:val="clear" w:color="auto" w:fill="auto"/>
            <w:vAlign w:val="center"/>
          </w:tcPr>
          <w:p>
            <w:pPr>
              <w:ind w:firstLine="0" w:firstLineChars="0"/>
              <w:rPr>
                <w:color w:val="auto"/>
                <w:sz w:val="21"/>
                <w14:ligatures w14:val="standardContextual"/>
              </w:rPr>
            </w:pPr>
            <w:r>
              <w:rPr>
                <w:rFonts w:hint="eastAsia"/>
                <w:color w:val="auto"/>
                <w:sz w:val="21"/>
                <w14:ligatures w14:val="standardContextual"/>
              </w:rPr>
              <w:t>5</w:t>
            </w:r>
          </w:p>
        </w:tc>
        <w:tc>
          <w:tcPr>
            <w:tcW w:w="0" w:type="auto"/>
            <w:shd w:val="clear" w:color="auto" w:fill="auto"/>
            <w:vAlign w:val="center"/>
          </w:tcPr>
          <w:p>
            <w:pPr>
              <w:ind w:firstLine="0" w:firstLineChars="0"/>
              <w:rPr>
                <w:color w:val="auto"/>
                <w:sz w:val="21"/>
                <w14:ligatures w14:val="standardContextual"/>
              </w:rPr>
            </w:pPr>
            <w:r>
              <w:rPr>
                <w:rFonts w:hint="eastAsia"/>
                <w:color w:val="auto"/>
                <w:sz w:val="21"/>
                <w14:ligatures w14:val="standardContextual"/>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119" w:type="dxa"/>
            <w:vMerge w:val="continue"/>
            <w:vAlign w:val="center"/>
          </w:tcPr>
          <w:p>
            <w:pPr>
              <w:ind w:firstLine="420" w:firstLineChars="0"/>
              <w:jc w:val="center"/>
              <w:rPr>
                <w:color w:val="auto"/>
                <w:sz w:val="21"/>
                <w14:ligatures w14:val="standardContextual"/>
              </w:rPr>
            </w:pPr>
          </w:p>
        </w:tc>
        <w:tc>
          <w:tcPr>
            <w:tcW w:w="270" w:type="dxa"/>
            <w:shd w:val="clear" w:color="auto" w:fill="auto"/>
            <w:vAlign w:val="center"/>
          </w:tcPr>
          <w:p>
            <w:pPr>
              <w:ind w:firstLine="0" w:firstLineChars="0"/>
              <w:jc w:val="center"/>
              <w:rPr>
                <w:color w:val="auto"/>
                <w:sz w:val="21"/>
                <w14:ligatures w14:val="standardContextual"/>
              </w:rPr>
            </w:pPr>
            <w:r>
              <w:rPr>
                <w:rFonts w:hint="eastAsia"/>
                <w:color w:val="auto"/>
                <w:sz w:val="21"/>
                <w14:ligatures w14:val="standardContextual"/>
              </w:rPr>
              <w:t>厚度</w:t>
            </w:r>
          </w:p>
          <w:p>
            <w:pPr>
              <w:ind w:firstLine="0" w:firstLineChars="0"/>
              <w:jc w:val="center"/>
              <w:rPr>
                <w:color w:val="auto"/>
                <w:sz w:val="21"/>
                <w14:ligatures w14:val="standardContextual"/>
              </w:rPr>
            </w:pPr>
            <w:r>
              <w:rPr>
                <w:rFonts w:hint="eastAsia"/>
                <w:color w:val="auto"/>
                <w:sz w:val="21"/>
                <w14:ligatures w14:val="standardContextual"/>
              </w:rPr>
              <w:t>检测</w:t>
            </w:r>
          </w:p>
        </w:tc>
        <w:tc>
          <w:tcPr>
            <w:tcW w:w="0" w:type="auto"/>
            <w:shd w:val="clear" w:color="auto" w:fill="auto"/>
            <w:vAlign w:val="center"/>
          </w:tcPr>
          <w:p>
            <w:pPr>
              <w:ind w:firstLine="0" w:firstLineChars="0"/>
              <w:jc w:val="center"/>
              <w:rPr>
                <w:rFonts w:hint="eastAsia" w:ascii="宋体" w:hAnsi="宋体"/>
                <w:color w:val="auto"/>
                <w:sz w:val="21"/>
                <w14:ligatures w14:val="standardContextual"/>
              </w:rPr>
            </w:pPr>
            <w:r>
              <w:rPr>
                <w:rFonts w:hint="eastAsia" w:ascii="宋体" w:hAnsi="宋体"/>
                <w:color w:val="auto"/>
                <w:sz w:val="21"/>
                <w14:ligatures w14:val="standardContextual"/>
              </w:rPr>
              <w:t>≥t</w:t>
            </w:r>
          </w:p>
        </w:tc>
        <w:tc>
          <w:tcPr>
            <w:tcW w:w="0" w:type="auto"/>
            <w:shd w:val="clear" w:color="auto" w:fill="auto"/>
            <w:vAlign w:val="center"/>
          </w:tcPr>
          <w:p>
            <w:pPr>
              <w:ind w:firstLine="0" w:firstLineChars="0"/>
              <w:jc w:val="center"/>
              <w:rPr>
                <w:b/>
                <w:color w:val="auto"/>
                <w14:ligatures w14:val="standardContextual"/>
              </w:rPr>
            </w:pPr>
          </w:p>
        </w:tc>
        <w:tc>
          <w:tcPr>
            <w:tcW w:w="0" w:type="auto"/>
            <w:shd w:val="clear" w:color="auto" w:fill="auto"/>
            <w:vAlign w:val="center"/>
          </w:tcPr>
          <w:p>
            <w:pPr>
              <w:ind w:firstLine="482" w:firstLineChars="0"/>
              <w:jc w:val="center"/>
              <w:rPr>
                <w:b/>
                <w:color w:val="auto"/>
                <w14:ligatures w14:val="standardContextual"/>
              </w:rPr>
            </w:pPr>
          </w:p>
        </w:tc>
        <w:tc>
          <w:tcPr>
            <w:tcW w:w="0" w:type="auto"/>
            <w:gridSpan w:val="2"/>
            <w:shd w:val="clear" w:color="auto" w:fill="auto"/>
            <w:vAlign w:val="center"/>
          </w:tcPr>
          <w:p>
            <w:pPr>
              <w:ind w:firstLine="482" w:firstLineChars="0"/>
              <w:jc w:val="center"/>
              <w:rPr>
                <w:b/>
                <w:color w:val="auto"/>
                <w14:ligatures w14:val="standardContextual"/>
              </w:rPr>
            </w:pPr>
          </w:p>
        </w:tc>
        <w:tc>
          <w:tcPr>
            <w:tcW w:w="0" w:type="auto"/>
            <w:shd w:val="clear" w:color="auto" w:fill="auto"/>
            <w:vAlign w:val="center"/>
          </w:tcPr>
          <w:p>
            <w:pPr>
              <w:ind w:firstLine="482" w:firstLineChars="0"/>
              <w:jc w:val="center"/>
              <w:rPr>
                <w:b/>
                <w:color w:val="auto"/>
                <w14:ligatures w14:val="standardContextual"/>
              </w:rPr>
            </w:pPr>
          </w:p>
        </w:tc>
        <w:tc>
          <w:tcPr>
            <w:tcW w:w="0" w:type="auto"/>
            <w:shd w:val="clear" w:color="auto" w:fill="auto"/>
            <w:vAlign w:val="center"/>
          </w:tcPr>
          <w:p>
            <w:pPr>
              <w:ind w:firstLine="482" w:firstLineChars="0"/>
              <w:jc w:val="center"/>
              <w:rPr>
                <w:b/>
                <w:color w:val="auto"/>
                <w14:ligatures w14:val="standardContextual"/>
              </w:rPr>
            </w:pPr>
          </w:p>
        </w:tc>
        <w:tc>
          <w:tcPr>
            <w:tcW w:w="0" w:type="auto"/>
            <w:shd w:val="clear" w:color="auto" w:fill="auto"/>
            <w:vAlign w:val="center"/>
          </w:tcPr>
          <w:p>
            <w:pPr>
              <w:ind w:firstLine="482" w:firstLineChars="0"/>
              <w:jc w:val="center"/>
              <w:rPr>
                <w:b/>
                <w:color w:val="auto"/>
                <w14:ligatures w14:val="standardContextual"/>
              </w:rPr>
            </w:pPr>
          </w:p>
        </w:tc>
        <w:tc>
          <w:tcPr>
            <w:tcW w:w="0" w:type="auto"/>
            <w:gridSpan w:val="2"/>
            <w:shd w:val="clear" w:color="auto" w:fill="auto"/>
            <w:vAlign w:val="center"/>
          </w:tcPr>
          <w:p>
            <w:pPr>
              <w:ind w:firstLine="482" w:firstLineChars="0"/>
              <w:jc w:val="center"/>
              <w:rPr>
                <w:b/>
                <w:color w:val="auto"/>
                <w14:ligatures w14:val="standardContextual"/>
              </w:rPr>
            </w:pPr>
          </w:p>
        </w:tc>
        <w:tc>
          <w:tcPr>
            <w:tcW w:w="0" w:type="auto"/>
            <w:shd w:val="clear" w:color="auto" w:fill="auto"/>
            <w:vAlign w:val="center"/>
          </w:tcPr>
          <w:p>
            <w:pPr>
              <w:ind w:firstLine="482" w:firstLineChars="0"/>
              <w:jc w:val="center"/>
              <w:rPr>
                <w:b/>
                <w:color w:val="auto"/>
                <w14:ligatures w14:val="standardContextual"/>
              </w:rPr>
            </w:pPr>
          </w:p>
        </w:tc>
        <w:tc>
          <w:tcPr>
            <w:tcW w:w="0" w:type="auto"/>
            <w:shd w:val="clear" w:color="auto" w:fill="auto"/>
            <w:vAlign w:val="center"/>
          </w:tcPr>
          <w:p>
            <w:pPr>
              <w:ind w:firstLine="482" w:firstLineChars="0"/>
              <w:jc w:val="center"/>
              <w:rPr>
                <w:b/>
                <w:color w:val="auto"/>
                <w14:ligatures w14:val="standardContextual"/>
              </w:rPr>
            </w:pPr>
          </w:p>
        </w:tc>
        <w:tc>
          <w:tcPr>
            <w:tcW w:w="0" w:type="auto"/>
            <w:gridSpan w:val="2"/>
            <w:shd w:val="clear" w:color="auto" w:fill="auto"/>
            <w:vAlign w:val="center"/>
          </w:tcPr>
          <w:p>
            <w:pPr>
              <w:ind w:firstLine="482" w:firstLineChars="0"/>
              <w:jc w:val="center"/>
              <w:rPr>
                <w:b/>
                <w:color w:val="auto"/>
                <w14:ligatures w14:val="standardContextual"/>
              </w:rPr>
            </w:pPr>
          </w:p>
        </w:tc>
        <w:tc>
          <w:tcPr>
            <w:tcW w:w="0" w:type="auto"/>
            <w:shd w:val="clear" w:color="auto" w:fill="auto"/>
            <w:vAlign w:val="center"/>
          </w:tcPr>
          <w:p>
            <w:pPr>
              <w:ind w:firstLine="482" w:firstLineChars="0"/>
              <w:jc w:val="center"/>
              <w:rPr>
                <w:b/>
                <w:color w:val="auto"/>
                <w14:ligatures w14:val="standardContextual"/>
              </w:rPr>
            </w:pPr>
          </w:p>
        </w:tc>
        <w:tc>
          <w:tcPr>
            <w:tcW w:w="0" w:type="auto"/>
            <w:shd w:val="clear" w:color="auto" w:fill="auto"/>
            <w:vAlign w:val="center"/>
          </w:tcPr>
          <w:p>
            <w:pPr>
              <w:ind w:firstLine="482" w:firstLineChars="0"/>
              <w:jc w:val="center"/>
              <w:rPr>
                <w:b/>
                <w:color w:val="auto"/>
                <w14:ligatures w14:val="standardContextua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2" w:hRule="atLeast"/>
        </w:trPr>
        <w:tc>
          <w:tcPr>
            <w:tcW w:w="1119" w:type="dxa"/>
            <w:vAlign w:val="center"/>
          </w:tcPr>
          <w:p>
            <w:pPr>
              <w:ind w:firstLine="0" w:firstLineChars="0"/>
              <w:jc w:val="center"/>
              <w:rPr>
                <w:color w:val="auto"/>
                <w:sz w:val="21"/>
                <w14:ligatures w14:val="standardContextual"/>
              </w:rPr>
            </w:pPr>
            <w:r>
              <w:rPr>
                <w:rFonts w:hint="eastAsia"/>
                <w:color w:val="auto"/>
                <w:sz w:val="21"/>
                <w14:ligatures w14:val="standardContextual"/>
              </w:rPr>
              <w:t>6</w:t>
            </w:r>
          </w:p>
        </w:tc>
        <w:tc>
          <w:tcPr>
            <w:tcW w:w="1637" w:type="dxa"/>
            <w:gridSpan w:val="2"/>
            <w:tcBorders>
              <w:right w:val="single" w:color="auto" w:sz="4" w:space="0"/>
            </w:tcBorders>
            <w:vAlign w:val="center"/>
          </w:tcPr>
          <w:p>
            <w:pPr>
              <w:ind w:firstLine="0" w:firstLineChars="0"/>
              <w:rPr>
                <w:color w:val="auto"/>
                <w:sz w:val="21"/>
                <w:lang w:eastAsia="zh-CN"/>
                <w14:ligatures w14:val="standardContextual"/>
              </w:rPr>
            </w:pPr>
            <w:r>
              <w:rPr>
                <w:rFonts w:hint="eastAsia"/>
                <w:color w:val="auto"/>
                <w:sz w:val="21"/>
                <w:lang w:eastAsia="zh-CN"/>
                <w14:ligatures w14:val="standardContextual"/>
              </w:rPr>
              <w:t>修复后管道</w:t>
            </w:r>
          </w:p>
          <w:p>
            <w:pPr>
              <w:ind w:firstLine="0" w:firstLineChars="0"/>
              <w:rPr>
                <w:color w:val="auto"/>
                <w:sz w:val="21"/>
                <w:lang w:eastAsia="zh-CN"/>
                <w14:ligatures w14:val="standardContextual"/>
              </w:rPr>
            </w:pPr>
            <w:r>
              <w:rPr>
                <w:rFonts w:hint="eastAsia"/>
                <w:color w:val="auto"/>
                <w:sz w:val="21"/>
                <w:lang w:eastAsia="zh-CN"/>
                <w14:ligatures w14:val="standardContextual"/>
              </w:rPr>
              <w:t>功能性检查</w:t>
            </w:r>
          </w:p>
        </w:tc>
        <w:tc>
          <w:tcPr>
            <w:tcW w:w="0" w:type="auto"/>
            <w:gridSpan w:val="15"/>
            <w:tcBorders>
              <w:left w:val="single" w:color="auto" w:sz="4" w:space="0"/>
            </w:tcBorders>
            <w:vAlign w:val="center"/>
          </w:tcPr>
          <w:p>
            <w:pPr>
              <w:ind w:firstLine="0" w:firstLineChars="0"/>
              <w:rPr>
                <w:color w:val="auto"/>
                <w:sz w:val="21"/>
                <w:lang w:eastAsia="zh-CN"/>
                <w14:ligatures w14:val="standardContextual"/>
              </w:rPr>
            </w:pPr>
            <w:r>
              <w:rPr>
                <w:rFonts w:hint="eastAsia"/>
                <w:color w:val="auto"/>
                <w:sz w:val="21"/>
                <w:lang w:eastAsia="zh-CN"/>
                <w14:ligatures w14:val="standardContextual"/>
              </w:rPr>
              <w:t>管道修复后，按本文件要求进行严密性试验，并满足本文件要求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119" w:type="dxa"/>
            <w:vAlign w:val="center"/>
          </w:tcPr>
          <w:p>
            <w:pPr>
              <w:ind w:firstLine="0" w:firstLineChars="0"/>
              <w:rPr>
                <w:color w:val="auto"/>
                <w:sz w:val="21"/>
                <w14:ligatures w14:val="standardContextual"/>
              </w:rPr>
            </w:pPr>
            <w:r>
              <w:rPr>
                <w:rFonts w:hint="eastAsia"/>
                <w:color w:val="auto"/>
                <w:sz w:val="21"/>
                <w14:ligatures w14:val="standardContextual"/>
              </w:rPr>
              <w:t>施工单位</w:t>
            </w:r>
          </w:p>
          <w:p>
            <w:pPr>
              <w:ind w:firstLine="0" w:firstLineChars="0"/>
              <w:rPr>
                <w:color w:val="auto"/>
                <w:sz w:val="21"/>
                <w14:ligatures w14:val="standardContextual"/>
              </w:rPr>
            </w:pPr>
            <w:r>
              <w:rPr>
                <w:rFonts w:hint="eastAsia"/>
                <w:color w:val="auto"/>
                <w:sz w:val="21"/>
                <w14:ligatures w14:val="standardContextual"/>
              </w:rPr>
              <w:t>自检情况</w:t>
            </w:r>
          </w:p>
        </w:tc>
        <w:tc>
          <w:tcPr>
            <w:tcW w:w="7157" w:type="dxa"/>
            <w:gridSpan w:val="17"/>
            <w:vAlign w:val="center"/>
          </w:tcPr>
          <w:p>
            <w:pPr>
              <w:ind w:firstLine="420" w:firstLineChars="0"/>
              <w:rPr>
                <w:color w:val="auto"/>
                <w:sz w:val="21"/>
                <w:lang w:eastAsia="zh-CN"/>
                <w14:ligatures w14:val="standardContextual"/>
              </w:rPr>
            </w:pPr>
            <w:r>
              <w:rPr>
                <w:rFonts w:hint="eastAsia"/>
                <w:color w:val="auto"/>
                <w:sz w:val="21"/>
                <w:lang w:eastAsia="zh-CN"/>
                <w14:ligatures w14:val="standardContextual"/>
              </w:rPr>
              <w:t>（盖章）</w:t>
            </w:r>
          </w:p>
          <w:p>
            <w:pPr>
              <w:ind w:firstLine="420" w:firstLineChars="0"/>
              <w:rPr>
                <w:color w:val="auto"/>
                <w:sz w:val="21"/>
                <w:lang w:eastAsia="zh-CN"/>
                <w14:ligatures w14:val="standardContextual"/>
              </w:rPr>
            </w:pPr>
            <w:r>
              <w:rPr>
                <w:rFonts w:hint="eastAsia"/>
                <w:color w:val="auto"/>
                <w:sz w:val="21"/>
                <w:lang w:eastAsia="zh-CN"/>
                <w14:ligatures w14:val="standardContextual"/>
              </w:rPr>
              <w:t xml:space="preserve">施工员：            技术负责人： </w:t>
            </w:r>
            <w:r>
              <w:rPr>
                <w:color w:val="auto"/>
                <w:sz w:val="21"/>
                <w:lang w:eastAsia="zh-CN"/>
                <w14:ligatures w14:val="standardContextual"/>
              </w:rPr>
              <w:t xml:space="preserve">    </w:t>
            </w:r>
            <w:r>
              <w:rPr>
                <w:rFonts w:hint="eastAsia"/>
                <w:color w:val="auto"/>
                <w:sz w:val="21"/>
                <w:lang w:eastAsia="zh-CN"/>
                <w14:ligatures w14:val="standardContextual"/>
              </w:rPr>
              <w:t xml:space="preserve">         日期：</w:t>
            </w:r>
          </w:p>
        </w:tc>
      </w:tr>
    </w:tbl>
    <w:p>
      <w:pPr>
        <w:pStyle w:val="15"/>
        <w:ind w:firstLine="643"/>
        <w:rPr>
          <w:rFonts w:ascii="Times New Roman" w:hAnsi="Times New Roman" w:eastAsia="黑体" w:cs="Times New Roman"/>
          <w:color w:val="000000" w:themeColor="text1"/>
          <w:lang w:eastAsia="zh-CN"/>
          <w14:textFill>
            <w14:solidFill>
              <w14:schemeClr w14:val="tx1"/>
            </w14:solidFill>
          </w14:textFill>
        </w:rPr>
      </w:pPr>
      <w:bookmarkStart w:id="345" w:name="_Toc196915249"/>
      <w:r>
        <w:rPr>
          <w:rFonts w:ascii="Times New Roman" w:hAnsi="Times New Roman" w:eastAsia="黑体" w:cs="Times New Roman"/>
          <w:color w:val="000000" w:themeColor="text1"/>
          <w:lang w:eastAsia="zh-CN"/>
          <w14:textFill>
            <w14:solidFill>
              <w14:schemeClr w14:val="tx1"/>
            </w14:solidFill>
          </w14:textFill>
        </w:rPr>
        <w:t>附录</w:t>
      </w:r>
      <w:r>
        <w:rPr>
          <w:rFonts w:hint="eastAsia" w:ascii="Times New Roman" w:hAnsi="Times New Roman" w:eastAsia="黑体" w:cs="Times New Roman"/>
          <w:color w:val="000000" w:themeColor="text1"/>
          <w:lang w:eastAsia="zh-CN"/>
          <w14:textFill>
            <w14:solidFill>
              <w14:schemeClr w14:val="tx1"/>
            </w14:solidFill>
          </w14:textFill>
        </w:rPr>
        <w:t>C</w:t>
      </w:r>
      <w:bookmarkEnd w:id="345"/>
      <w:r>
        <w:rPr>
          <w:rFonts w:ascii="Times New Roman" w:hAnsi="Times New Roman" w:eastAsia="黑体" w:cs="Times New Roman"/>
          <w:color w:val="000000" w:themeColor="text1"/>
          <w:lang w:eastAsia="zh-CN"/>
          <w14:textFill>
            <w14:solidFill>
              <w14:schemeClr w14:val="tx1"/>
            </w14:solidFill>
          </w14:textFill>
        </w:rPr>
        <w:t xml:space="preserve"> </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C</w:t>
      </w:r>
      <w:r>
        <w:rPr>
          <w:rFonts w:cs="Times New Roman"/>
          <w:b/>
          <w:bCs/>
          <w:color w:val="000000" w:themeColor="text1"/>
          <w:sz w:val="21"/>
          <w:lang w:eastAsia="zh-CN"/>
          <w14:textFill>
            <w14:solidFill>
              <w14:schemeClr w14:val="tx1"/>
            </w14:solidFill>
          </w14:textFill>
        </w:rPr>
        <w:t>.0.1</w:t>
      </w:r>
      <w:r>
        <w:rPr>
          <w:rFonts w:cs="Times New Roman"/>
          <w:color w:val="000000" w:themeColor="text1"/>
          <w:sz w:val="21"/>
          <w:lang w:eastAsia="zh-CN"/>
          <w14:textFill>
            <w14:solidFill>
              <w14:schemeClr w14:val="tx1"/>
            </w14:solidFill>
          </w14:textFill>
        </w:rPr>
        <w:t xml:space="preserve"> 本方法可适用于螺旋缠绕内衬法带状产品的刚度系数检验。</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C</w:t>
      </w:r>
      <w:r>
        <w:rPr>
          <w:rFonts w:cs="Times New Roman"/>
          <w:b/>
          <w:bCs/>
          <w:color w:val="000000" w:themeColor="text1"/>
          <w:sz w:val="21"/>
          <w:lang w:eastAsia="zh-CN"/>
          <w14:textFill>
            <w14:solidFill>
              <w14:schemeClr w14:val="tx1"/>
            </w14:solidFill>
          </w14:textFill>
        </w:rPr>
        <w:t>.0.2</w:t>
      </w:r>
      <w:r>
        <w:rPr>
          <w:rFonts w:cs="Times New Roman"/>
          <w:color w:val="000000" w:themeColor="text1"/>
          <w:sz w:val="21"/>
          <w:lang w:eastAsia="zh-CN"/>
          <w14:textFill>
            <w14:solidFill>
              <w14:schemeClr w14:val="tx1"/>
            </w14:solidFill>
          </w14:textFill>
        </w:rPr>
        <w:t xml:space="preserve"> 应从平整的带状型材中取样。取样时</w:t>
      </w:r>
      <w:r>
        <w:rPr>
          <w:rFonts w:hint="eastAsia" w:cs="Times New Roman" w:asciiTheme="minorEastAsia" w:hAnsiTheme="minorEastAsia" w:eastAsiaTheme="minorEastAsia"/>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不宜切割到肋状物，带状型材的接合处宜处于样品的中间位置。样品应按图</w:t>
      </w:r>
      <w:r>
        <w:rPr>
          <w:rFonts w:hint="eastAsia" w:cs="Times New Roman"/>
          <w:color w:val="000000" w:themeColor="text1"/>
          <w:sz w:val="21"/>
          <w:lang w:eastAsia="zh-CN"/>
          <w14:textFill>
            <w14:solidFill>
              <w14:schemeClr w14:val="tx1"/>
            </w14:solidFill>
          </w14:textFill>
        </w:rPr>
        <w:t>C</w:t>
      </w:r>
      <w:r>
        <w:rPr>
          <w:rFonts w:cs="Times New Roman"/>
          <w:color w:val="000000" w:themeColor="text1"/>
          <w:sz w:val="21"/>
          <w:lang w:eastAsia="zh-CN"/>
          <w14:textFill>
            <w14:solidFill>
              <w14:schemeClr w14:val="tx1"/>
            </w14:solidFill>
          </w14:textFill>
        </w:rPr>
        <w:t>.0.2方式放置。</w:t>
      </w:r>
    </w:p>
    <w:p>
      <w:pPr>
        <w:jc w:val="center"/>
        <w:rPr>
          <w:rFonts w:cs="Times New Roman"/>
          <w:color w:val="000000" w:themeColor="text1"/>
          <w:sz w:val="21"/>
          <w:lang w:eastAsia="zh-CN"/>
          <w14:textFill>
            <w14:solidFill>
              <w14:schemeClr w14:val="tx1"/>
            </w14:solidFill>
          </w14:textFill>
        </w:rPr>
      </w:pPr>
      <w:r>
        <w:rPr>
          <w:rFonts w:cs="Times New Roman"/>
          <w:color w:val="000000" w:themeColor="text1"/>
          <w:lang w:eastAsia="zh-CN"/>
          <w14:textFill>
            <w14:solidFill>
              <w14:schemeClr w14:val="tx1"/>
            </w14:solidFill>
          </w14:textFill>
        </w:rPr>
        <w:drawing>
          <wp:inline distT="0" distB="0" distL="0" distR="0">
            <wp:extent cx="3282315" cy="1844040"/>
            <wp:effectExtent l="0" t="0" r="0" b="3810"/>
            <wp:docPr id="1302610541" name="图片 5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10541" name="图片 51" descr="图示&#10;&#10;AI 生成的内容可能不正确。"/>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282315" cy="1844040"/>
                    </a:xfrm>
                    <a:prstGeom prst="rect">
                      <a:avLst/>
                    </a:prstGeom>
                    <a:noFill/>
                    <a:ln>
                      <a:noFill/>
                    </a:ln>
                  </pic:spPr>
                </pic:pic>
              </a:graphicData>
            </a:graphic>
          </wp:inline>
        </w:drawing>
      </w:r>
    </w:p>
    <w:p>
      <w:pPr>
        <w:ind w:firstLine="422"/>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图 </w:t>
      </w:r>
      <w:r>
        <w:rPr>
          <w:rFonts w:hint="eastAsia" w:cs="Times New Roman"/>
          <w:b/>
          <w:bCs/>
          <w:color w:val="000000" w:themeColor="text1"/>
          <w:sz w:val="21"/>
          <w:lang w:eastAsia="zh-CN"/>
          <w14:textFill>
            <w14:solidFill>
              <w14:schemeClr w14:val="tx1"/>
            </w14:solidFill>
          </w14:textFill>
        </w:rPr>
        <w:t>C</w:t>
      </w:r>
      <w:r>
        <w:rPr>
          <w:rFonts w:cs="Times New Roman"/>
          <w:b/>
          <w:bCs/>
          <w:color w:val="000000" w:themeColor="text1"/>
          <w:sz w:val="21"/>
          <w:lang w:eastAsia="zh-CN"/>
          <w14:textFill>
            <w14:solidFill>
              <w14:schemeClr w14:val="tx1"/>
            </w14:solidFill>
          </w14:textFill>
        </w:rPr>
        <w:t>.0.2 螺旋缠绕内衬修复法带状型材样品测试示意图</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C</w:t>
      </w:r>
      <w:r>
        <w:rPr>
          <w:rFonts w:cs="Times New Roman"/>
          <w:b/>
          <w:bCs/>
          <w:color w:val="000000" w:themeColor="text1"/>
          <w:sz w:val="21"/>
          <w:lang w:eastAsia="zh-CN"/>
          <w14:textFill>
            <w14:solidFill>
              <w14:schemeClr w14:val="tx1"/>
            </w14:solidFill>
          </w14:textFill>
        </w:rPr>
        <w:t>.0.3</w:t>
      </w:r>
      <w:r>
        <w:rPr>
          <w:rFonts w:cs="Times New Roman"/>
          <w:color w:val="000000" w:themeColor="text1"/>
          <w:sz w:val="21"/>
          <w:lang w:eastAsia="zh-CN"/>
          <w14:textFill>
            <w14:solidFill>
              <w14:schemeClr w14:val="tx1"/>
            </w14:solidFill>
          </w14:textFill>
        </w:rPr>
        <w:t xml:space="preserve"> 测试样品的宽度宜为 305 mm。</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C</w:t>
      </w:r>
      <w:r>
        <w:rPr>
          <w:rFonts w:cs="Times New Roman"/>
          <w:b/>
          <w:bCs/>
          <w:color w:val="000000" w:themeColor="text1"/>
          <w:sz w:val="21"/>
          <w:lang w:eastAsia="zh-CN"/>
          <w14:textFill>
            <w14:solidFill>
              <w14:schemeClr w14:val="tx1"/>
            </w14:solidFill>
          </w14:textFill>
        </w:rPr>
        <w:t>.0.4</w:t>
      </w:r>
      <w:r>
        <w:rPr>
          <w:rFonts w:cs="Times New Roman"/>
          <w:color w:val="000000" w:themeColor="text1"/>
          <w:sz w:val="21"/>
          <w:lang w:eastAsia="zh-CN"/>
          <w14:textFill>
            <w14:solidFill>
              <w14:schemeClr w14:val="tx1"/>
            </w14:solidFill>
          </w14:textFill>
        </w:rPr>
        <w:t xml:space="preserve"> 载荷宣施加在样品带有肋状物的一侧。</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C</w:t>
      </w:r>
      <w:r>
        <w:rPr>
          <w:rFonts w:cs="Times New Roman"/>
          <w:b/>
          <w:bCs/>
          <w:color w:val="000000" w:themeColor="text1"/>
          <w:sz w:val="21"/>
          <w:lang w:eastAsia="zh-CN"/>
          <w14:textFill>
            <w14:solidFill>
              <w14:schemeClr w14:val="tx1"/>
            </w14:solidFill>
          </w14:textFill>
        </w:rPr>
        <w:t>.0.5</w:t>
      </w:r>
      <w:r>
        <w:rPr>
          <w:rFonts w:cs="Times New Roman"/>
          <w:color w:val="000000" w:themeColor="text1"/>
          <w:sz w:val="21"/>
          <w:lang w:eastAsia="zh-CN"/>
          <w14:textFill>
            <w14:solidFill>
              <w14:schemeClr w14:val="tx1"/>
            </w14:solidFill>
          </w14:textFill>
        </w:rPr>
        <w:t xml:space="preserve"> 试验步骤应符合现行国家标准</w:t>
      </w:r>
      <w:bookmarkStart w:id="346" w:name="_Hlk196920387"/>
      <w:r>
        <w:rPr>
          <w:rFonts w:cs="Times New Roman"/>
          <w:color w:val="000000" w:themeColor="text1"/>
          <w:sz w:val="21"/>
          <w:lang w:eastAsia="zh-CN"/>
          <w14:textFill>
            <w14:solidFill>
              <w14:schemeClr w14:val="tx1"/>
            </w14:solidFill>
          </w14:textFill>
        </w:rPr>
        <w:t>《塑料弯曲性能的测定》GB/T 9341</w:t>
      </w:r>
      <w:bookmarkEnd w:id="346"/>
      <w:r>
        <w:rPr>
          <w:rFonts w:cs="Times New Roman"/>
          <w:color w:val="000000" w:themeColor="text1"/>
          <w:sz w:val="21"/>
          <w:lang w:eastAsia="zh-CN"/>
          <w14:textFill>
            <w14:solidFill>
              <w14:schemeClr w14:val="tx1"/>
            </w14:solidFill>
          </w14:textFill>
        </w:rPr>
        <w:t>的有关规定。刚度系数应按下式计算:</w:t>
      </w:r>
    </w:p>
    <w:p>
      <w:pPr>
        <w:ind w:firstLine="420"/>
        <w:rPr>
          <w:rFonts w:cs="Times New Roman"/>
          <w:color w:val="000000" w:themeColor="text1"/>
          <w:sz w:val="21"/>
          <w:lang w:eastAsia="zh-CN"/>
          <w14:textFill>
            <w14:solidFill>
              <w14:schemeClr w14:val="tx1"/>
            </w14:solidFill>
          </w14:textFill>
        </w:rPr>
      </w:pPr>
      <m:oMathPara>
        <m:oMath>
          <m:sSub>
            <m:sSubPr>
              <m:ctrlPr>
                <w:rPr>
                  <w:rFonts w:ascii="Cambria Math" w:hAnsi="Cambria Math" w:cs="Times New Roman"/>
                  <w:i/>
                  <w:color w:val="000000" w:themeColor="text1"/>
                  <w:sz w:val="21"/>
                  <w:lang w:eastAsia="zh-CN"/>
                  <w14:textFill>
                    <w14:solidFill>
                      <w14:schemeClr w14:val="tx1"/>
                    </w14:solidFill>
                  </w14:textFill>
                </w:rPr>
              </m:ctrlPr>
            </m:sSubPr>
            <m:e>
              <m:r>
                <m:rPr/>
                <w:rPr>
                  <w:rFonts w:ascii="Cambria Math" w:hAnsi="Cambria Math" w:cs="Times New Roman"/>
                  <w:color w:val="000000" w:themeColor="text1"/>
                  <w:sz w:val="21"/>
                  <w:lang w:eastAsia="zh-CN"/>
                  <w14:textFill>
                    <w14:solidFill>
                      <w14:schemeClr w14:val="tx1"/>
                    </w14:solidFill>
                  </w14:textFill>
                </w:rPr>
                <m:t>E</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I</m:t>
              </m:r>
              <m:ctrlPr>
                <w:rPr>
                  <w:rFonts w:ascii="Cambria Math" w:hAnsi="Cambria Math" w:cs="Times New Roman"/>
                  <w:i/>
                  <w:color w:val="000000" w:themeColor="text1"/>
                  <w:sz w:val="21"/>
                  <w:lang w:eastAsia="zh-CN"/>
                  <w14:textFill>
                    <w14:solidFill>
                      <w14:schemeClr w14:val="tx1"/>
                    </w14:solidFill>
                  </w14:textFill>
                </w:rPr>
              </m:ctrlPr>
            </m:sub>
          </m:sSub>
          <m:r>
            <m:rPr/>
            <w:rPr>
              <w:rFonts w:ascii="Cambria Math" w:hAnsi="Cambria Math" w:cs="Times New Roman"/>
              <w:color w:val="000000" w:themeColor="text1"/>
              <w:sz w:val="21"/>
              <w:lang w:eastAsia="zh-CN"/>
              <w14:textFill>
                <w14:solidFill>
                  <w14:schemeClr w14:val="tx1"/>
                </w14:solidFill>
              </w14:textFill>
            </w:rPr>
            <m:t>=</m:t>
          </m:r>
          <m:f>
            <m:fPr>
              <m:ctrlPr>
                <w:rPr>
                  <w:rFonts w:ascii="Cambria Math" w:hAnsi="Cambria Math" w:cs="Times New Roman"/>
                  <w:i/>
                  <w:color w:val="000000" w:themeColor="text1"/>
                  <w:sz w:val="21"/>
                  <w:lang w:eastAsia="zh-CN"/>
                  <w14:textFill>
                    <w14:solidFill>
                      <w14:schemeClr w14:val="tx1"/>
                    </w14:solidFill>
                  </w14:textFill>
                </w:rPr>
              </m:ctrlPr>
            </m:fPr>
            <m:num>
              <m:sSubSup>
                <m:sSubSupPr>
                  <m:ctrlPr>
                    <w:rPr>
                      <w:rFonts w:ascii="Cambria Math" w:hAnsi="Cambria Math" w:cs="Times New Roman"/>
                      <w:i/>
                      <w:color w:val="000000" w:themeColor="text1"/>
                      <w:sz w:val="21"/>
                      <w:lang w:eastAsia="zh-CN"/>
                      <w14:textFill>
                        <w14:solidFill>
                          <w14:schemeClr w14:val="tx1"/>
                        </w14:solidFill>
                      </w14:textFill>
                    </w:rPr>
                  </m:ctrlPr>
                </m:sSubSupPr>
                <m:e>
                  <m:r>
                    <m:rPr/>
                    <w:rPr>
                      <w:rFonts w:ascii="Cambria Math" w:hAnsi="Cambria Math" w:cs="Times New Roman"/>
                      <w:color w:val="000000" w:themeColor="text1"/>
                      <w:sz w:val="21"/>
                      <w:lang w:eastAsia="zh-CN"/>
                      <w14:textFill>
                        <w14:solidFill>
                          <w14:schemeClr w14:val="tx1"/>
                        </w14:solidFill>
                      </w14:textFill>
                    </w:rPr>
                    <m:t>L</m:t>
                  </m:r>
                  <m:ctrlPr>
                    <w:rPr>
                      <w:rFonts w:ascii="Cambria Math" w:hAnsi="Cambria Math" w:cs="Times New Roman"/>
                      <w:i/>
                      <w:color w:val="000000" w:themeColor="text1"/>
                      <w:sz w:val="21"/>
                      <w:lang w:eastAsia="zh-CN"/>
                      <w14:textFill>
                        <w14:solidFill>
                          <w14:schemeClr w14:val="tx1"/>
                        </w14:solidFill>
                      </w14:textFill>
                    </w:rPr>
                  </m:ctrlPr>
                </m:e>
                <m:sub>
                  <m:r>
                    <m:rPr/>
                    <w:rPr>
                      <w:rFonts w:ascii="Cambria Math" w:hAnsi="Cambria Math" w:cs="Times New Roman"/>
                      <w:color w:val="000000" w:themeColor="text1"/>
                      <w:sz w:val="21"/>
                      <w:lang w:eastAsia="zh-CN"/>
                      <w14:textFill>
                        <w14:solidFill>
                          <w14:schemeClr w14:val="tx1"/>
                        </w14:solidFill>
                      </w14:textFill>
                    </w:rPr>
                    <m:t>d</m:t>
                  </m:r>
                  <m:ctrlPr>
                    <w:rPr>
                      <w:rFonts w:ascii="Cambria Math" w:hAnsi="Cambria Math" w:cs="Times New Roman"/>
                      <w:i/>
                      <w:color w:val="000000" w:themeColor="text1"/>
                      <w:sz w:val="21"/>
                      <w:lang w:eastAsia="zh-CN"/>
                      <w14:textFill>
                        <w14:solidFill>
                          <w14:schemeClr w14:val="tx1"/>
                        </w14:solidFill>
                      </w14:textFill>
                    </w:rPr>
                  </m:ctrlPr>
                </m:sub>
                <m:sup>
                  <m:r>
                    <m:rPr/>
                    <w:rPr>
                      <w:rFonts w:ascii="Cambria Math" w:hAnsi="Cambria Math" w:cs="Times New Roman"/>
                      <w:color w:val="000000" w:themeColor="text1"/>
                      <w:sz w:val="21"/>
                      <w:lang w:eastAsia="zh-CN"/>
                      <w14:textFill>
                        <w14:solidFill>
                          <w14:schemeClr w14:val="tx1"/>
                        </w14:solidFill>
                      </w14:textFill>
                    </w:rPr>
                    <m:t>3</m:t>
                  </m:r>
                  <m:ctrlPr>
                    <w:rPr>
                      <w:rFonts w:ascii="Cambria Math" w:hAnsi="Cambria Math" w:cs="Times New Roman"/>
                      <w:i/>
                      <w:color w:val="000000" w:themeColor="text1"/>
                      <w:sz w:val="21"/>
                      <w:lang w:eastAsia="zh-CN"/>
                      <w14:textFill>
                        <w14:solidFill>
                          <w14:schemeClr w14:val="tx1"/>
                        </w14:solidFill>
                      </w14:textFill>
                    </w:rPr>
                  </m:ctrlPr>
                </m:sup>
              </m:sSubSup>
              <m:r>
                <m:rPr/>
                <w:rPr>
                  <w:rFonts w:ascii="Cambria Math" w:hAnsi="Cambria Math" w:cs="Times New Roman"/>
                  <w:color w:val="000000" w:themeColor="text1"/>
                  <w:sz w:val="21"/>
                  <w:lang w:eastAsia="zh-CN"/>
                  <w14:textFill>
                    <w14:solidFill>
                      <w14:schemeClr w14:val="tx1"/>
                    </w14:solidFill>
                  </w14:textFill>
                </w:rPr>
                <m:t>·m</m:t>
              </m:r>
              <m:ctrlPr>
                <w:rPr>
                  <w:rFonts w:ascii="Cambria Math" w:hAnsi="Cambria Math" w:cs="Times New Roman"/>
                  <w:i/>
                  <w:color w:val="000000" w:themeColor="text1"/>
                  <w:sz w:val="21"/>
                  <w:lang w:eastAsia="zh-CN"/>
                  <w14:textFill>
                    <w14:solidFill>
                      <w14:schemeClr w14:val="tx1"/>
                    </w14:solidFill>
                  </w14:textFill>
                </w:rPr>
              </m:ctrlPr>
            </m:num>
            <m:den>
              <m:r>
                <m:rPr/>
                <w:rPr>
                  <w:rFonts w:ascii="Cambria Math" w:hAnsi="Cambria Math" w:cs="Times New Roman"/>
                  <w:color w:val="000000" w:themeColor="text1"/>
                  <w:sz w:val="21"/>
                  <w:lang w:eastAsia="zh-CN"/>
                  <w14:textFill>
                    <w14:solidFill>
                      <w14:schemeClr w14:val="tx1"/>
                    </w14:solidFill>
                  </w14:textFill>
                </w:rPr>
                <m:t>48b</m:t>
              </m:r>
              <m:ctrlPr>
                <w:rPr>
                  <w:rFonts w:ascii="Cambria Math" w:hAnsi="Cambria Math" w:cs="Times New Roman"/>
                  <w:i/>
                  <w:color w:val="000000" w:themeColor="text1"/>
                  <w:sz w:val="21"/>
                  <w:lang w:eastAsia="zh-CN"/>
                  <w14:textFill>
                    <w14:solidFill>
                      <w14:schemeClr w14:val="tx1"/>
                    </w14:solidFill>
                  </w14:textFill>
                </w:rPr>
              </m:ctrlPr>
            </m:den>
          </m:f>
        </m:oMath>
      </m:oMathPara>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式中：E</w:t>
      </w:r>
      <w:r>
        <w:rPr>
          <w:rFonts w:cs="Times New Roman"/>
          <w:color w:val="000000" w:themeColor="text1"/>
          <w:sz w:val="21"/>
          <w:vertAlign w:val="subscript"/>
          <w:lang w:eastAsia="zh-CN"/>
          <w14:textFill>
            <w14:solidFill>
              <w14:schemeClr w14:val="tx1"/>
            </w14:solidFill>
          </w14:textFill>
        </w:rPr>
        <w:t>I</w:t>
      </w:r>
      <w:r>
        <w:rPr>
          <w:rFonts w:cs="Times New Roman"/>
          <w:color w:val="000000" w:themeColor="text1"/>
          <w:sz w:val="21"/>
          <w:lang w:eastAsia="zh-CN"/>
          <w14:textFill>
            <w14:solidFill>
              <w14:schemeClr w14:val="tx1"/>
            </w14:solidFill>
          </w14:textFill>
        </w:rPr>
        <w:t>—刚度系数（MPa·mm</w:t>
      </w:r>
      <w:r>
        <w:rPr>
          <w:rFonts w:cs="Times New Roman"/>
          <w:color w:val="000000" w:themeColor="text1"/>
          <w:sz w:val="21"/>
          <w:vertAlign w:val="superscript"/>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w:t>
      </w:r>
    </w:p>
    <w:p>
      <w:pPr>
        <w:ind w:left="840" w:firstLine="210" w:firstLineChars="10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L—两支撑点间的距离（m）；</w:t>
      </w:r>
    </w:p>
    <w:p>
      <w:pPr>
        <w:ind w:left="630"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b—测试样品的宽度,等于带状型材的宽度W（m）；</w:t>
      </w:r>
    </w:p>
    <w:p>
      <w:pPr>
        <w:ind w:left="630" w:firstLine="42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m—加载变形曲线初始直线段的切线斜率。</w:t>
      </w:r>
    </w:p>
    <w:p>
      <w:pPr>
        <w:ind w:firstLine="420" w:firstLineChars="0"/>
        <w:rPr>
          <w:rFonts w:cs="Times New Roman"/>
          <w:color w:val="000000" w:themeColor="text1"/>
          <w:sz w:val="21"/>
          <w:lang w:eastAsia="zh-CN"/>
          <w14:textFill>
            <w14:solidFill>
              <w14:schemeClr w14:val="tx1"/>
            </w14:solidFill>
          </w14:textFill>
        </w:rPr>
        <w:sectPr>
          <w:pgSz w:w="11906" w:h="16838"/>
          <w:pgMar w:top="1440" w:right="1800" w:bottom="1440" w:left="1800" w:header="851" w:footer="992" w:gutter="0"/>
          <w:cols w:space="425" w:num="1"/>
          <w:docGrid w:type="lines" w:linePitch="326" w:charSpace="0"/>
        </w:sectPr>
      </w:pPr>
      <w:r>
        <w:rPr>
          <w:rFonts w:hint="eastAsia" w:cs="Times New Roman"/>
          <w:b/>
          <w:bCs/>
          <w:color w:val="000000" w:themeColor="text1"/>
          <w:sz w:val="21"/>
          <w:lang w:eastAsia="zh-CN"/>
          <w14:textFill>
            <w14:solidFill>
              <w14:schemeClr w14:val="tx1"/>
            </w14:solidFill>
          </w14:textFill>
        </w:rPr>
        <w:t>C</w:t>
      </w:r>
      <w:r>
        <w:rPr>
          <w:rFonts w:cs="Times New Roman"/>
          <w:b/>
          <w:bCs/>
          <w:color w:val="000000" w:themeColor="text1"/>
          <w:sz w:val="21"/>
          <w:lang w:eastAsia="zh-CN"/>
          <w14:textFill>
            <w14:solidFill>
              <w14:schemeClr w14:val="tx1"/>
            </w14:solidFill>
          </w14:textFill>
        </w:rPr>
        <w:t>.0.6</w:t>
      </w:r>
      <w:r>
        <w:rPr>
          <w:rFonts w:cs="Times New Roman"/>
          <w:color w:val="000000" w:themeColor="text1"/>
          <w:sz w:val="21"/>
          <w:lang w:eastAsia="zh-CN"/>
          <w14:textFill>
            <w14:solidFill>
              <w14:schemeClr w14:val="tx1"/>
            </w14:solidFill>
          </w14:textFill>
        </w:rPr>
        <w:t xml:space="preserve"> 试验得到的刚度系数不宜用于计算管道整体的刚度系数。</w:t>
      </w:r>
    </w:p>
    <w:p>
      <w:pPr>
        <w:pStyle w:val="15"/>
        <w:ind w:firstLine="643"/>
        <w:rPr>
          <w:rFonts w:ascii="Times New Roman" w:hAnsi="Times New Roman" w:eastAsia="黑体" w:cs="Times New Roman"/>
          <w:color w:val="000000" w:themeColor="text1"/>
          <w:lang w:eastAsia="zh-CN"/>
          <w14:textFill>
            <w14:solidFill>
              <w14:schemeClr w14:val="tx1"/>
            </w14:solidFill>
          </w14:textFill>
        </w:rPr>
      </w:pPr>
      <w:bookmarkStart w:id="347" w:name="_Toc196915250"/>
      <w:bookmarkStart w:id="348" w:name="OLE_LINK5"/>
      <w:r>
        <w:rPr>
          <w:rFonts w:ascii="Times New Roman" w:hAnsi="Times New Roman" w:eastAsia="黑体" w:cs="Times New Roman"/>
          <w:color w:val="000000" w:themeColor="text1"/>
          <w:lang w:eastAsia="zh-CN"/>
          <w14:textFill>
            <w14:solidFill>
              <w14:schemeClr w14:val="tx1"/>
            </w14:solidFill>
          </w14:textFill>
        </w:rPr>
        <w:t>附录</w:t>
      </w:r>
      <w:r>
        <w:rPr>
          <w:rFonts w:hint="eastAsia" w:ascii="Times New Roman" w:hAnsi="Times New Roman" w:eastAsia="黑体" w:cs="Times New Roman"/>
          <w:color w:val="000000" w:themeColor="text1"/>
          <w:lang w:eastAsia="zh-CN"/>
          <w14:textFill>
            <w14:solidFill>
              <w14:schemeClr w14:val="tx1"/>
            </w14:solidFill>
          </w14:textFill>
        </w:rPr>
        <w:t>D</w:t>
      </w:r>
      <w:bookmarkEnd w:id="347"/>
    </w:p>
    <w:bookmarkEnd w:id="348"/>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D</w:t>
      </w:r>
      <w:r>
        <w:rPr>
          <w:rFonts w:cs="Times New Roman"/>
          <w:b/>
          <w:bCs/>
          <w:color w:val="000000" w:themeColor="text1"/>
          <w:sz w:val="21"/>
          <w:lang w:eastAsia="zh-CN"/>
          <w14:textFill>
            <w14:solidFill>
              <w14:schemeClr w14:val="tx1"/>
            </w14:solidFill>
          </w14:textFill>
        </w:rPr>
        <w:t>.0.1</w:t>
      </w:r>
      <w:r>
        <w:rPr>
          <w:rFonts w:cs="Times New Roman"/>
          <w:color w:val="000000" w:themeColor="text1"/>
          <w:sz w:val="21"/>
          <w:lang w:eastAsia="zh-CN"/>
          <w14:textFill>
            <w14:solidFill>
              <w14:schemeClr w14:val="tx1"/>
            </w14:solidFill>
          </w14:textFill>
        </w:rPr>
        <w:t xml:space="preserve"> 闭气设备安装:将进行闭气试验的已修复管道两端用气囊按要求进行密封，然后向管道内冲入空气至特定的压力,在规定压降值的情况下，测定所需要的时间。检测设备安装如图 </w:t>
      </w:r>
      <w:r>
        <w:rPr>
          <w:rFonts w:hint="eastAsia" w:cs="Times New Roman"/>
          <w:color w:val="000000" w:themeColor="text1"/>
          <w:sz w:val="21"/>
          <w:lang w:eastAsia="zh-CN"/>
          <w14:textFill>
            <w14:solidFill>
              <w14:schemeClr w14:val="tx1"/>
            </w14:solidFill>
          </w14:textFill>
        </w:rPr>
        <w:t>D</w:t>
      </w:r>
      <w:r>
        <w:rPr>
          <w:rFonts w:cs="Times New Roman"/>
          <w:color w:val="000000" w:themeColor="text1"/>
          <w:sz w:val="21"/>
          <w:lang w:eastAsia="zh-CN"/>
          <w14:textFill>
            <w14:solidFill>
              <w14:schemeClr w14:val="tx1"/>
            </w14:solidFill>
          </w14:textFill>
        </w:rPr>
        <w:t>.0.1 所示。</w:t>
      </w:r>
    </w:p>
    <w:p>
      <w:pPr>
        <w:jc w:val="center"/>
        <w:rPr>
          <w:rFonts w:cs="Times New Roman"/>
          <w:color w:val="000000" w:themeColor="text1"/>
          <w:sz w:val="21"/>
          <w:lang w:eastAsia="zh-CN"/>
          <w14:textFill>
            <w14:solidFill>
              <w14:schemeClr w14:val="tx1"/>
            </w14:solidFill>
          </w14:textFill>
        </w:rPr>
      </w:pPr>
      <w:r>
        <w:rPr>
          <w:rFonts w:cs="Times New Roman"/>
          <w:color w:val="000000" w:themeColor="text1"/>
          <w:lang w:eastAsia="zh-CN"/>
          <w14:textFill>
            <w14:solidFill>
              <w14:schemeClr w14:val="tx1"/>
            </w14:solidFill>
          </w14:textFill>
        </w:rPr>
        <w:drawing>
          <wp:inline distT="0" distB="0" distL="0" distR="0">
            <wp:extent cx="3728720" cy="2259965"/>
            <wp:effectExtent l="0" t="0" r="5080" b="6985"/>
            <wp:docPr id="184995744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57440" name="图片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739500" cy="2266841"/>
                    </a:xfrm>
                    <a:prstGeom prst="rect">
                      <a:avLst/>
                    </a:prstGeom>
                    <a:noFill/>
                    <a:ln>
                      <a:noFill/>
                    </a:ln>
                  </pic:spPr>
                </pic:pic>
              </a:graphicData>
            </a:graphic>
          </wp:inline>
        </w:drawing>
      </w:r>
    </w:p>
    <w:p>
      <w:pPr>
        <w:ind w:firstLine="422"/>
        <w:jc w:val="center"/>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 xml:space="preserve">图 </w:t>
      </w:r>
      <w:r>
        <w:rPr>
          <w:rFonts w:hint="eastAsia" w:cs="Times New Roman"/>
          <w:b/>
          <w:bCs/>
          <w:color w:val="000000" w:themeColor="text1"/>
          <w:sz w:val="21"/>
          <w:lang w:eastAsia="zh-CN"/>
          <w14:textFill>
            <w14:solidFill>
              <w14:schemeClr w14:val="tx1"/>
            </w14:solidFill>
          </w14:textFill>
        </w:rPr>
        <w:t>D</w:t>
      </w:r>
      <w:r>
        <w:rPr>
          <w:rFonts w:cs="Times New Roman"/>
          <w:b/>
          <w:bCs/>
          <w:color w:val="000000" w:themeColor="text1"/>
          <w:sz w:val="21"/>
          <w:lang w:eastAsia="zh-CN"/>
          <w14:textFill>
            <w14:solidFill>
              <w14:schemeClr w14:val="tx1"/>
            </w14:solidFill>
          </w14:textFill>
        </w:rPr>
        <w:t>.0.1 闭气试验检测设备安装示意图</w:t>
      </w:r>
    </w:p>
    <w:p>
      <w:pPr>
        <w:ind w:firstLine="422"/>
        <w:rPr>
          <w:rFonts w:cs="Times New Roman"/>
          <w:b/>
          <w:bCs/>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1-橡皮泥；2-纯净水；3-试样；4-透明玻璃瓶；5-气管；6-真空泵；7-压力阀；8-压力表</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D</w:t>
      </w:r>
      <w:r>
        <w:rPr>
          <w:rFonts w:cs="Times New Roman"/>
          <w:b/>
          <w:bCs/>
          <w:color w:val="000000" w:themeColor="text1"/>
          <w:sz w:val="21"/>
          <w:lang w:eastAsia="zh-CN"/>
          <w14:textFill>
            <w14:solidFill>
              <w14:schemeClr w14:val="tx1"/>
            </w14:solidFill>
          </w14:textFill>
        </w:rPr>
        <w:t>.0.2</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试压步骤</w:t>
      </w:r>
      <w:r>
        <w:rPr>
          <w:rFonts w:hint="eastAsia" w:cs="Times New Roman"/>
          <w:color w:val="000000" w:themeColor="text1"/>
          <w:sz w:val="21"/>
          <w:lang w:eastAsia="zh-CN"/>
          <w14:textFill>
            <w14:solidFill>
              <w14:schemeClr w14:val="tx1"/>
            </w14:solidFill>
          </w14:textFill>
        </w:rPr>
        <w:t>：</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1</w:t>
      </w:r>
      <w:r>
        <w:rPr>
          <w:rFonts w:cs="Times New Roman"/>
          <w:color w:val="000000" w:themeColor="text1"/>
          <w:sz w:val="21"/>
          <w:lang w:eastAsia="zh-CN"/>
          <w14:textFill>
            <w14:solidFill>
              <w14:schemeClr w14:val="tx1"/>
            </w14:solidFill>
          </w14:textFill>
        </w:rPr>
        <w:t xml:space="preserve"> 管口处理：测试前应使用潜望镜设备对闭气试验的排水管段的两端管口的内壁进行观察，如发现有砂砾、污垢等任何突起物，则应进行清洗和处理，使其洁净无杂物，从而保证气囊的封堵效果。</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2</w:t>
      </w:r>
      <w:r>
        <w:rPr>
          <w:rFonts w:cs="Times New Roman"/>
          <w:color w:val="000000" w:themeColor="text1"/>
          <w:sz w:val="21"/>
          <w:lang w:eastAsia="zh-CN"/>
          <w14:textFill>
            <w14:solidFill>
              <w14:schemeClr w14:val="tx1"/>
            </w14:solidFill>
          </w14:textFill>
        </w:rPr>
        <w:t xml:space="preserve"> 管塞安装与测试：应将封堵气囊安装于测试管道两端，对气囊进行充气、充压至气囊规定的安全压力</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结合气囊情况</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，充气完毕后应检查封堵管口是否封堵好，是否有泄漏点，可在封堵位置喷肥皂沫检查。</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3</w:t>
      </w:r>
      <w:r>
        <w:rPr>
          <w:rFonts w:cs="Times New Roman"/>
          <w:color w:val="000000" w:themeColor="text1"/>
          <w:sz w:val="21"/>
          <w:lang w:eastAsia="zh-CN"/>
          <w14:textFill>
            <w14:solidFill>
              <w14:schemeClr w14:val="tx1"/>
            </w14:solidFill>
          </w14:textFill>
        </w:rPr>
        <w:t xml:space="preserve"> 充压稳定：应从封堵气囊的充气孔向检测管段内冲入低压空气，当气压表读数达到 31 Kpa~32 Kpa 时停止充气</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可根据测试气压适当调整</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并使其稳定至少5 min。</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、测试计时:测试压力应从 30 Kpa 开始</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如测试管段的地下水位较高，可相应提高测试气压，但最高不得超过 60 Kpa</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，当管内气体经过稳定后，将压力缓慢降至 30 Kpa 时开始计时测试。</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5</w:t>
      </w:r>
      <w:r>
        <w:rPr>
          <w:rFonts w:cs="Times New Roman"/>
          <w:color w:val="000000" w:themeColor="text1"/>
          <w:sz w:val="21"/>
          <w:lang w:eastAsia="zh-CN"/>
          <w14:textFill>
            <w14:solidFill>
              <w14:schemeClr w14:val="tx1"/>
            </w14:solidFill>
          </w14:textFill>
        </w:rPr>
        <w:t xml:space="preserve"> 管道严密性判定</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在规定的标准闭气时间（本标准表6.3.3-1或表6.3.3-2）内，被测管段内实测气压降低值小于等于 7 000 Pa（或3500 Pa)时,则该检测管段严密性能合格；反之，则不合格。</w:t>
      </w:r>
    </w:p>
    <w:p>
      <w:pPr>
        <w:ind w:left="420" w:firstLine="422"/>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6</w:t>
      </w:r>
      <w:r>
        <w:rPr>
          <w:rFonts w:cs="Times New Roman"/>
          <w:color w:val="000000" w:themeColor="text1"/>
          <w:sz w:val="21"/>
          <w:lang w:eastAsia="zh-CN"/>
          <w14:textFill>
            <w14:solidFill>
              <w14:schemeClr w14:val="tx1"/>
            </w14:solidFill>
          </w14:textFill>
        </w:rPr>
        <w:t xml:space="preserve"> 管道闭气检验完毕后,应先排除管道内气体，再排除管道封堵气囊内的气体，,最后拆除封堵的气囊，将所有试验设备收放整齐，并清洁现场。</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D</w:t>
      </w:r>
      <w:r>
        <w:rPr>
          <w:rFonts w:cs="Times New Roman"/>
          <w:b/>
          <w:bCs/>
          <w:color w:val="000000" w:themeColor="text1"/>
          <w:sz w:val="21"/>
          <w:lang w:eastAsia="zh-CN"/>
          <w14:textFill>
            <w14:solidFill>
              <w14:schemeClr w14:val="tx1"/>
            </w14:solidFill>
          </w14:textFill>
        </w:rPr>
        <w:t xml:space="preserve">.0.3 </w:t>
      </w:r>
      <w:r>
        <w:rPr>
          <w:rFonts w:cs="Times New Roman"/>
          <w:color w:val="000000" w:themeColor="text1"/>
          <w:sz w:val="21"/>
          <w:lang w:eastAsia="zh-CN"/>
          <w14:textFill>
            <w14:solidFill>
              <w14:schemeClr w14:val="tx1"/>
            </w14:solidFill>
          </w14:textFill>
        </w:rPr>
        <w:t>闭气试验应作记录，记录表格应复符合表</w:t>
      </w:r>
      <w:r>
        <w:rPr>
          <w:rFonts w:hint="eastAsia" w:cs="Times New Roman"/>
          <w:color w:val="000000" w:themeColor="text1"/>
          <w:sz w:val="21"/>
          <w:lang w:eastAsia="zh-CN"/>
          <w14:textFill>
            <w14:solidFill>
              <w14:schemeClr w14:val="tx1"/>
            </w14:solidFill>
          </w14:textFill>
        </w:rPr>
        <w:t>D</w:t>
      </w:r>
      <w:r>
        <w:rPr>
          <w:rFonts w:cs="Times New Roman"/>
          <w:color w:val="000000" w:themeColor="text1"/>
          <w:sz w:val="21"/>
          <w:lang w:eastAsia="zh-CN"/>
          <w14:textFill>
            <w14:solidFill>
              <w14:schemeClr w14:val="tx1"/>
            </w14:solidFill>
          </w14:textFill>
        </w:rPr>
        <w:t>.0.3的规定。</w:t>
      </w:r>
      <w:r>
        <w:rPr>
          <w:rFonts w:cs="Times New Roman"/>
          <w:b/>
          <w:color w:val="000000" w:themeColor="text1"/>
          <w:sz w:val="28"/>
          <w:szCs w:val="22"/>
          <w:lang w:eastAsia="zh-CN"/>
          <w14:textFill>
            <w14:solidFill>
              <w14:schemeClr w14:val="tx1"/>
            </w14:solidFill>
          </w14:textFill>
        </w:rPr>
        <w:br w:type="page"/>
      </w:r>
    </w:p>
    <w:p>
      <w:pPr>
        <w:ind w:firstLine="0" w:firstLineChars="0"/>
        <w:jc w:val="center"/>
        <w:rPr>
          <w:rFonts w:cs="Times New Roman"/>
          <w:b/>
          <w:color w:val="000000" w:themeColor="text1"/>
          <w:sz w:val="21"/>
          <w:lang w:eastAsia="zh-CN"/>
          <w14:textFill>
            <w14:solidFill>
              <w14:schemeClr w14:val="tx1"/>
            </w14:solidFill>
          </w14:textFill>
        </w:rPr>
      </w:pPr>
      <w:r>
        <w:rPr>
          <w:rFonts w:cs="Times New Roman"/>
          <w:b/>
          <w:color w:val="000000" w:themeColor="text1"/>
          <w:sz w:val="21"/>
          <w:lang w:eastAsia="zh-CN"/>
          <w14:textFill>
            <w14:solidFill>
              <w14:schemeClr w14:val="tx1"/>
            </w14:solidFill>
          </w14:textFill>
        </w:rPr>
        <w:t>表D.0.3 管道闭气试验记录表</w:t>
      </w:r>
    </w:p>
    <w:tbl>
      <w:tblPr>
        <w:tblStyle w:val="16"/>
        <w:tblW w:w="5000" w:type="pct"/>
        <w:jc w:val="center"/>
        <w:tblLayout w:type="autofit"/>
        <w:tblCellMar>
          <w:top w:w="0" w:type="dxa"/>
          <w:left w:w="108" w:type="dxa"/>
          <w:bottom w:w="0" w:type="dxa"/>
          <w:right w:w="108" w:type="dxa"/>
        </w:tblCellMar>
      </w:tblPr>
      <w:tblGrid>
        <w:gridCol w:w="844"/>
        <w:gridCol w:w="448"/>
        <w:gridCol w:w="387"/>
        <w:gridCol w:w="390"/>
        <w:gridCol w:w="1965"/>
        <w:gridCol w:w="912"/>
        <w:gridCol w:w="1853"/>
        <w:gridCol w:w="1723"/>
      </w:tblGrid>
      <w:tr>
        <w:tblPrEx>
          <w:tblCellMar>
            <w:top w:w="0" w:type="dxa"/>
            <w:left w:w="108" w:type="dxa"/>
            <w:bottom w:w="0" w:type="dxa"/>
            <w:right w:w="108" w:type="dxa"/>
          </w:tblCellMar>
        </w:tblPrEx>
        <w:trPr>
          <w:trHeight w:val="288" w:hRule="atLeast"/>
          <w:jc w:val="center"/>
        </w:trPr>
        <w:tc>
          <w:tcPr>
            <w:tcW w:w="98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工程名称</w:t>
            </w:r>
          </w:p>
        </w:tc>
        <w:tc>
          <w:tcPr>
            <w:tcW w:w="4015" w:type="pct"/>
            <w:gridSpan w:val="5"/>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98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路段或桩号</w:t>
            </w:r>
          </w:p>
        </w:tc>
        <w:tc>
          <w:tcPr>
            <w:tcW w:w="4015" w:type="pct"/>
            <w:gridSpan w:val="5"/>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98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起始井号</w:t>
            </w:r>
          </w:p>
        </w:tc>
        <w:tc>
          <w:tcPr>
            <w:tcW w:w="4015" w:type="pct"/>
            <w:gridSpan w:val="5"/>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号井段至           号井段，管段长共   m</w:t>
            </w:r>
          </w:p>
        </w:tc>
      </w:tr>
      <w:tr>
        <w:tblPrEx>
          <w:tblCellMar>
            <w:top w:w="0" w:type="dxa"/>
            <w:left w:w="108" w:type="dxa"/>
            <w:bottom w:w="0" w:type="dxa"/>
            <w:right w:w="108" w:type="dxa"/>
          </w:tblCellMar>
        </w:tblPrEx>
        <w:trPr>
          <w:trHeight w:val="288" w:hRule="atLeast"/>
          <w:jc w:val="center"/>
        </w:trPr>
        <w:tc>
          <w:tcPr>
            <w:tcW w:w="98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试验日期</w:t>
            </w:r>
          </w:p>
        </w:tc>
        <w:tc>
          <w:tcPr>
            <w:tcW w:w="1917"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1087"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试验起止时间</w:t>
            </w:r>
          </w:p>
        </w:tc>
        <w:tc>
          <w:tcPr>
            <w:tcW w:w="1011" w:type="pct"/>
            <w:tcBorders>
              <w:top w:val="nil"/>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98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管材种类</w:t>
            </w:r>
          </w:p>
        </w:tc>
        <w:tc>
          <w:tcPr>
            <w:tcW w:w="1917"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1087"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接口种类</w:t>
            </w:r>
          </w:p>
        </w:tc>
        <w:tc>
          <w:tcPr>
            <w:tcW w:w="1011" w:type="pct"/>
            <w:tcBorders>
              <w:top w:val="nil"/>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98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管道内径</w:t>
            </w:r>
            <w:r>
              <w:rPr>
                <w:rFonts w:cs="Times New Roman" w:eastAsiaTheme="minorEastAsia"/>
                <w:snapToGrid/>
                <w:color w:val="000000" w:themeColor="text1"/>
                <w:sz w:val="21"/>
                <w:lang w:eastAsia="zh-CN"/>
                <w14:textFill>
                  <w14:solidFill>
                    <w14:schemeClr w14:val="tx1"/>
                  </w14:solidFill>
                </w14:textFill>
              </w:rPr>
              <w:br w:type="textWrapping"/>
            </w:r>
            <w:r>
              <w:rPr>
                <w:rFonts w:cs="Times New Roman" w:eastAsiaTheme="minorEastAsia"/>
                <w:snapToGrid/>
                <w:color w:val="000000" w:themeColor="text1"/>
                <w:sz w:val="21"/>
                <w:lang w:eastAsia="zh-CN"/>
                <w14:textFill>
                  <w14:solidFill>
                    <w14:schemeClr w14:val="tx1"/>
                  </w14:solidFill>
                </w14:textFill>
              </w:rPr>
              <w:t>D</w:t>
            </w:r>
            <w:r>
              <w:rPr>
                <w:rFonts w:cs="Times New Roman" w:eastAsiaTheme="minorEastAsia"/>
                <w:snapToGrid/>
                <w:color w:val="000000" w:themeColor="text1"/>
                <w:sz w:val="21"/>
                <w:vertAlign w:val="subscript"/>
                <w:lang w:eastAsia="zh-CN"/>
                <w14:textFill>
                  <w14:solidFill>
                    <w14:schemeClr w14:val="tx1"/>
                  </w14:solidFill>
                </w14:textFill>
              </w:rPr>
              <w:t>i</w:t>
            </w:r>
            <w:r>
              <w:rPr>
                <w:rFonts w:cs="Times New Roman" w:eastAsiaTheme="minorEastAsia"/>
                <w:snapToGrid/>
                <w:color w:val="000000" w:themeColor="text1"/>
                <w:sz w:val="21"/>
                <w:lang w:eastAsia="zh-CN"/>
                <w14:textFill>
                  <w14:solidFill>
                    <w14:schemeClr w14:val="tx1"/>
                  </w14:solidFill>
                </w14:textFill>
              </w:rPr>
              <w:t>(mm)</w:t>
            </w:r>
          </w:p>
        </w:tc>
        <w:tc>
          <w:tcPr>
            <w:tcW w:w="1917"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1087"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试验次数</w:t>
            </w:r>
          </w:p>
        </w:tc>
        <w:tc>
          <w:tcPr>
            <w:tcW w:w="1011" w:type="pct"/>
            <w:tcBorders>
              <w:top w:val="nil"/>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98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地下水位</w:t>
            </w:r>
            <w:r>
              <w:rPr>
                <w:rFonts w:cs="Times New Roman" w:eastAsiaTheme="minorEastAsia"/>
                <w:snapToGrid/>
                <w:color w:val="000000" w:themeColor="text1"/>
                <w:sz w:val="21"/>
                <w:lang w:eastAsia="zh-CN"/>
                <w14:textFill>
                  <w14:solidFill>
                    <w14:schemeClr w14:val="tx1"/>
                  </w14:solidFill>
                </w14:textFill>
              </w:rPr>
              <w:br w:type="textWrapping"/>
            </w:r>
            <w:r>
              <w:rPr>
                <w:rFonts w:cs="Times New Roman" w:eastAsiaTheme="minorEastAsia"/>
                <w:snapToGrid/>
                <w:color w:val="000000" w:themeColor="text1"/>
                <w:sz w:val="21"/>
                <w:lang w:eastAsia="zh-CN"/>
                <w14:textFill>
                  <w14:solidFill>
                    <w14:schemeClr w14:val="tx1"/>
                  </w14:solidFill>
                </w14:textFill>
              </w:rPr>
              <w:t>标高H</w:t>
            </w:r>
            <w:r>
              <w:rPr>
                <w:rFonts w:cs="Times New Roman" w:eastAsiaTheme="minorEastAsia"/>
                <w:snapToGrid/>
                <w:color w:val="000000" w:themeColor="text1"/>
                <w:sz w:val="21"/>
                <w:vertAlign w:val="subscript"/>
                <w:lang w:eastAsia="zh-CN"/>
                <w14:textFill>
                  <w14:solidFill>
                    <w14:schemeClr w14:val="tx1"/>
                  </w14:solidFill>
                </w14:textFill>
              </w:rPr>
              <w:t>s</w:t>
            </w:r>
            <w:r>
              <w:rPr>
                <w:rFonts w:cs="Times New Roman" w:eastAsiaTheme="minorEastAsia"/>
                <w:snapToGrid/>
                <w:color w:val="000000" w:themeColor="text1"/>
                <w:sz w:val="21"/>
                <w:lang w:eastAsia="zh-CN"/>
                <w14:textFill>
                  <w14:solidFill>
                    <w14:schemeClr w14:val="tx1"/>
                  </w14:solidFill>
                </w14:textFill>
              </w:rPr>
              <w:t>（m）</w:t>
            </w:r>
          </w:p>
        </w:tc>
        <w:tc>
          <w:tcPr>
            <w:tcW w:w="1917"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1087"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管内底标</w:t>
            </w:r>
            <w:r>
              <w:rPr>
                <w:rFonts w:cs="Times New Roman" w:eastAsiaTheme="minorEastAsia"/>
                <w:snapToGrid/>
                <w:color w:val="000000" w:themeColor="text1"/>
                <w:sz w:val="21"/>
                <w:lang w:eastAsia="zh-CN"/>
                <w14:textFill>
                  <w14:solidFill>
                    <w14:schemeClr w14:val="tx1"/>
                  </w14:solidFill>
                </w14:textFill>
              </w:rPr>
              <w:br w:type="textWrapping"/>
            </w:r>
            <w:r>
              <w:rPr>
                <w:rFonts w:cs="Times New Roman" w:eastAsiaTheme="minorEastAsia"/>
                <w:snapToGrid/>
                <w:color w:val="000000" w:themeColor="text1"/>
                <w:sz w:val="21"/>
                <w:lang w:eastAsia="zh-CN"/>
                <w14:textFill>
                  <w14:solidFill>
                    <w14:schemeClr w14:val="tx1"/>
                  </w14:solidFill>
                </w14:textFill>
              </w:rPr>
              <w:t>高H</w:t>
            </w:r>
            <w:r>
              <w:rPr>
                <w:rFonts w:cs="Times New Roman" w:eastAsiaTheme="minorEastAsia"/>
                <w:snapToGrid/>
                <w:color w:val="000000" w:themeColor="text1"/>
                <w:sz w:val="21"/>
                <w:vertAlign w:val="subscript"/>
                <w:lang w:eastAsia="zh-CN"/>
                <w14:textFill>
                  <w14:solidFill>
                    <w14:schemeClr w14:val="tx1"/>
                  </w14:solidFill>
                </w14:textFill>
              </w:rPr>
              <w:t>g</w:t>
            </w:r>
            <w:r>
              <w:rPr>
                <w:rFonts w:cs="Times New Roman" w:eastAsiaTheme="minorEastAsia"/>
                <w:snapToGrid/>
                <w:color w:val="000000" w:themeColor="text1"/>
                <w:sz w:val="21"/>
                <w:lang w:eastAsia="zh-CN"/>
                <w14:textFill>
                  <w14:solidFill>
                    <w14:schemeClr w14:val="tx1"/>
                  </w14:solidFill>
                </w14:textFill>
              </w:rPr>
              <w:t>（m）</w:t>
            </w:r>
          </w:p>
        </w:tc>
        <w:tc>
          <w:tcPr>
            <w:tcW w:w="1011" w:type="pct"/>
            <w:tcBorders>
              <w:top w:val="nil"/>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98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闭气试验</w:t>
            </w:r>
            <w:r>
              <w:rPr>
                <w:rFonts w:cs="Times New Roman" w:eastAsiaTheme="minorEastAsia"/>
                <w:snapToGrid/>
                <w:color w:val="000000" w:themeColor="text1"/>
                <w:sz w:val="21"/>
                <w:lang w:eastAsia="zh-CN"/>
                <w14:textFill>
                  <w14:solidFill>
                    <w14:schemeClr w14:val="tx1"/>
                  </w14:solidFill>
                </w14:textFill>
              </w:rPr>
              <w:br w:type="textWrapping"/>
            </w:r>
            <w:r>
              <w:rPr>
                <w:rFonts w:cs="Times New Roman" w:eastAsiaTheme="minorEastAsia"/>
                <w:snapToGrid/>
                <w:color w:val="000000" w:themeColor="text1"/>
                <w:sz w:val="21"/>
                <w:lang w:eastAsia="zh-CN"/>
                <w14:textFill>
                  <w14:solidFill>
                    <w14:schemeClr w14:val="tx1"/>
                  </w14:solidFill>
                </w14:textFill>
              </w:rPr>
              <w:t>压力修正</w:t>
            </w:r>
            <w:r>
              <w:rPr>
                <w:rFonts w:cs="Times New Roman" w:eastAsiaTheme="minorEastAsia"/>
                <w:snapToGrid/>
                <w:color w:val="000000" w:themeColor="text1"/>
                <w:sz w:val="21"/>
                <w:lang w:eastAsia="zh-CN"/>
                <w14:textFill>
                  <w14:solidFill>
                    <w14:schemeClr w14:val="tx1"/>
                  </w14:solidFill>
                </w14:textFill>
              </w:rPr>
              <w:br w:type="textWrapping"/>
            </w:r>
            <w:r>
              <w:rPr>
                <w:rFonts w:cs="Times New Roman" w:eastAsiaTheme="minorEastAsia"/>
                <w:snapToGrid/>
                <w:color w:val="000000" w:themeColor="text1"/>
                <w:sz w:val="21"/>
                <w:lang w:eastAsia="zh-CN"/>
                <w14:textFill>
                  <w14:solidFill>
                    <w14:schemeClr w14:val="tx1"/>
                  </w14:solidFill>
                </w14:textFill>
              </w:rPr>
              <w:t>值ΔP（Pa）</w:t>
            </w:r>
          </w:p>
        </w:tc>
        <w:tc>
          <w:tcPr>
            <w:tcW w:w="1917"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1087" w:type="pct"/>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闭气试验的</w:t>
            </w:r>
            <w:r>
              <w:rPr>
                <w:rFonts w:cs="Times New Roman" w:eastAsiaTheme="minorEastAsia"/>
                <w:snapToGrid/>
                <w:color w:val="000000" w:themeColor="text1"/>
                <w:sz w:val="21"/>
                <w:lang w:eastAsia="zh-CN"/>
                <w14:textFill>
                  <w14:solidFill>
                    <w14:schemeClr w14:val="tx1"/>
                  </w14:solidFill>
                </w14:textFill>
              </w:rPr>
              <w:br w:type="textWrapping"/>
            </w:r>
            <w:r>
              <w:rPr>
                <w:rFonts w:cs="Times New Roman" w:eastAsiaTheme="minorEastAsia"/>
                <w:snapToGrid/>
                <w:color w:val="000000" w:themeColor="text1"/>
                <w:sz w:val="21"/>
                <w:lang w:eastAsia="zh-CN"/>
                <w14:textFill>
                  <w14:solidFill>
                    <w14:schemeClr w14:val="tx1"/>
                  </w14:solidFill>
                </w14:textFill>
              </w:rPr>
              <w:t>起始测试气</w:t>
            </w:r>
            <w:r>
              <w:rPr>
                <w:rFonts w:cs="Times New Roman" w:eastAsiaTheme="minorEastAsia"/>
                <w:snapToGrid/>
                <w:color w:val="000000" w:themeColor="text1"/>
                <w:sz w:val="21"/>
                <w:lang w:eastAsia="zh-CN"/>
                <w14:textFill>
                  <w14:solidFill>
                    <w14:schemeClr w14:val="tx1"/>
                  </w14:solidFill>
                </w14:textFill>
              </w:rPr>
              <w:br w:type="textWrapping"/>
            </w:r>
            <w:r>
              <w:rPr>
                <w:rFonts w:cs="Times New Roman" w:eastAsiaTheme="minorEastAsia"/>
                <w:snapToGrid/>
                <w:color w:val="000000" w:themeColor="text1"/>
                <w:sz w:val="21"/>
                <w:lang w:eastAsia="zh-CN"/>
                <w14:textFill>
                  <w14:solidFill>
                    <w14:schemeClr w14:val="tx1"/>
                  </w14:solidFill>
                </w14:textFill>
              </w:rPr>
              <w:t>压值P（Pa）</w:t>
            </w:r>
          </w:p>
        </w:tc>
        <w:tc>
          <w:tcPr>
            <w:tcW w:w="1011" w:type="pct"/>
            <w:tcBorders>
              <w:top w:val="nil"/>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29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该管段对应的压力降值7000Pa的</w:t>
            </w:r>
            <w:r>
              <w:rPr>
                <w:rFonts w:cs="Times New Roman" w:eastAsiaTheme="minorEastAsia"/>
                <w:snapToGrid/>
                <w:color w:val="000000" w:themeColor="text1"/>
                <w:sz w:val="21"/>
                <w:lang w:eastAsia="zh-CN"/>
                <w14:textFill>
                  <w14:solidFill>
                    <w14:schemeClr w14:val="tx1"/>
                  </w14:solidFill>
                </w14:textFill>
              </w:rPr>
              <w:br w:type="textWrapping"/>
            </w:r>
            <w:r>
              <w:rPr>
                <w:rFonts w:cs="Times New Roman" w:eastAsiaTheme="minorEastAsia"/>
                <w:snapToGrid/>
                <w:color w:val="000000" w:themeColor="text1"/>
                <w:sz w:val="21"/>
                <w:lang w:eastAsia="zh-CN"/>
                <w14:textFill>
                  <w14:solidFill>
                    <w14:schemeClr w14:val="tx1"/>
                  </w14:solidFill>
                </w14:textFill>
              </w:rPr>
              <w:t>标准闭气时间T（min；s）</w:t>
            </w:r>
          </w:p>
        </w:tc>
        <w:tc>
          <w:tcPr>
            <w:tcW w:w="2098" w:type="pct"/>
            <w:gridSpan w:val="2"/>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该管段对应的压力降值3500Pa的</w:t>
            </w:r>
            <w:r>
              <w:rPr>
                <w:rFonts w:cs="Times New Roman" w:eastAsiaTheme="minorEastAsia"/>
                <w:snapToGrid/>
                <w:color w:val="000000" w:themeColor="text1"/>
                <w:sz w:val="21"/>
                <w:lang w:eastAsia="zh-CN"/>
                <w14:textFill>
                  <w14:solidFill>
                    <w14:schemeClr w14:val="tx1"/>
                  </w14:solidFill>
                </w14:textFill>
              </w:rPr>
              <w:br w:type="textWrapping"/>
            </w:r>
            <w:r>
              <w:rPr>
                <w:rFonts w:cs="Times New Roman" w:eastAsiaTheme="minorEastAsia"/>
                <w:snapToGrid/>
                <w:color w:val="000000" w:themeColor="text1"/>
                <w:sz w:val="21"/>
                <w:lang w:eastAsia="zh-CN"/>
                <w14:textFill>
                  <w14:solidFill>
                    <w14:schemeClr w14:val="tx1"/>
                  </w14:solidFill>
                </w14:textFill>
              </w:rPr>
              <w:t>标准闭气时间T＇（min：s）</w:t>
            </w:r>
          </w:p>
        </w:tc>
      </w:tr>
      <w:tr>
        <w:tblPrEx>
          <w:tblCellMar>
            <w:top w:w="0" w:type="dxa"/>
            <w:left w:w="108" w:type="dxa"/>
            <w:bottom w:w="0" w:type="dxa"/>
            <w:right w:w="108" w:type="dxa"/>
          </w:tblCellMar>
        </w:tblPrEx>
        <w:trPr>
          <w:trHeight w:val="288" w:hRule="atLeast"/>
          <w:jc w:val="center"/>
        </w:trPr>
        <w:tc>
          <w:tcPr>
            <w:tcW w:w="29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2098" w:type="pct"/>
            <w:gridSpan w:val="2"/>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576" w:hRule="atLeast"/>
          <w:jc w:val="center"/>
        </w:trPr>
        <w:tc>
          <w:tcPr>
            <w:tcW w:w="121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第一个5min检测管段</w:t>
            </w:r>
            <w:r>
              <w:rPr>
                <w:rFonts w:cs="Times New Roman" w:eastAsiaTheme="minorEastAsia"/>
                <w:snapToGrid/>
                <w:color w:val="000000" w:themeColor="text1"/>
                <w:sz w:val="21"/>
                <w:lang w:eastAsia="zh-CN"/>
                <w14:textFill>
                  <w14:solidFill>
                    <w14:schemeClr w14:val="tx1"/>
                  </w14:solidFill>
                </w14:textFill>
              </w:rPr>
              <w:br w:type="textWrapping"/>
            </w:r>
            <w:r>
              <w:rPr>
                <w:rFonts w:cs="Times New Roman" w:eastAsiaTheme="minorEastAsia"/>
                <w:snapToGrid/>
                <w:color w:val="000000" w:themeColor="text1"/>
                <w:sz w:val="21"/>
                <w:lang w:eastAsia="zh-CN"/>
                <w14:textFill>
                  <w14:solidFill>
                    <w14:schemeClr w14:val="tx1"/>
                  </w14:solidFill>
                </w14:textFill>
              </w:rPr>
              <w:t>内的气压降值（Pa）</w:t>
            </w:r>
          </w:p>
        </w:tc>
        <w:tc>
          <w:tcPr>
            <w:tcW w:w="2775"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第二个5min 检测管段</w:t>
            </w:r>
            <w:r>
              <w:rPr>
                <w:rFonts w:cs="Times New Roman" w:eastAsiaTheme="minorEastAsia"/>
                <w:snapToGrid/>
                <w:color w:val="000000" w:themeColor="text1"/>
                <w:sz w:val="21"/>
                <w:lang w:eastAsia="zh-CN"/>
                <w14:textFill>
                  <w14:solidFill>
                    <w14:schemeClr w14:val="tx1"/>
                  </w14:solidFill>
                </w14:textFill>
              </w:rPr>
              <w:br w:type="textWrapping"/>
            </w:r>
            <w:r>
              <w:rPr>
                <w:rFonts w:cs="Times New Roman" w:eastAsiaTheme="minorEastAsia"/>
                <w:snapToGrid/>
                <w:color w:val="000000" w:themeColor="text1"/>
                <w:sz w:val="21"/>
                <w:lang w:eastAsia="zh-CN"/>
                <w14:textFill>
                  <w14:solidFill>
                    <w14:schemeClr w14:val="tx1"/>
                  </w14:solidFill>
                </w14:textFill>
              </w:rPr>
              <w:t>内的气压降值（Pa）</w:t>
            </w:r>
          </w:p>
        </w:tc>
        <w:tc>
          <w:tcPr>
            <w:tcW w:w="1011" w:type="pct"/>
            <w:tcBorders>
              <w:top w:val="nil"/>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第三个5min检测管段</w:t>
            </w:r>
            <w:r>
              <w:rPr>
                <w:rFonts w:cs="Times New Roman" w:eastAsiaTheme="minorEastAsia"/>
                <w:snapToGrid/>
                <w:color w:val="000000" w:themeColor="text1"/>
                <w:sz w:val="21"/>
                <w:lang w:eastAsia="zh-CN"/>
                <w14:textFill>
                  <w14:solidFill>
                    <w14:schemeClr w14:val="tx1"/>
                  </w14:solidFill>
                </w14:textFill>
              </w:rPr>
              <w:br w:type="textWrapping"/>
            </w:r>
            <w:r>
              <w:rPr>
                <w:rFonts w:cs="Times New Roman" w:eastAsiaTheme="minorEastAsia"/>
                <w:snapToGrid/>
                <w:color w:val="000000" w:themeColor="text1"/>
                <w:sz w:val="21"/>
                <w:lang w:eastAsia="zh-CN"/>
                <w14:textFill>
                  <w14:solidFill>
                    <w14:schemeClr w14:val="tx1"/>
                  </w14:solidFill>
                </w14:textFill>
              </w:rPr>
              <w:t>内的气压降值（Pa）</w:t>
            </w:r>
          </w:p>
        </w:tc>
      </w:tr>
      <w:tr>
        <w:tblPrEx>
          <w:tblCellMar>
            <w:top w:w="0" w:type="dxa"/>
            <w:left w:w="108" w:type="dxa"/>
            <w:bottom w:w="0" w:type="dxa"/>
            <w:right w:w="108" w:type="dxa"/>
          </w:tblCellMar>
        </w:tblPrEx>
        <w:trPr>
          <w:trHeight w:val="288" w:hRule="atLeast"/>
          <w:jc w:val="center"/>
        </w:trPr>
        <w:tc>
          <w:tcPr>
            <w:tcW w:w="121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2775"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1011" w:type="pct"/>
            <w:tcBorders>
              <w:top w:val="nil"/>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495" w:type="pct"/>
            <w:vMerge w:val="restar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气压下降及计时记录</w:t>
            </w:r>
          </w:p>
        </w:tc>
        <w:tc>
          <w:tcPr>
            <w:tcW w:w="263" w:type="pct"/>
            <w:vMerge w:val="restart"/>
            <w:tcBorders>
              <w:top w:val="nil"/>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次数</w:t>
            </w:r>
          </w:p>
        </w:tc>
        <w:tc>
          <w:tcPr>
            <w:tcW w:w="1609"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压降值为7000Pa</w:t>
            </w:r>
          </w:p>
        </w:tc>
        <w:tc>
          <w:tcPr>
            <w:tcW w:w="2633"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压降值为3500Pa</w:t>
            </w:r>
          </w:p>
        </w:tc>
      </w:tr>
      <w:tr>
        <w:tblPrEx>
          <w:tblCellMar>
            <w:top w:w="0" w:type="dxa"/>
            <w:left w:w="108" w:type="dxa"/>
            <w:bottom w:w="0" w:type="dxa"/>
            <w:right w:w="108" w:type="dxa"/>
          </w:tblCellMar>
        </w:tblPrEx>
        <w:trPr>
          <w:trHeight w:val="288" w:hRule="atLeast"/>
          <w:jc w:val="center"/>
        </w:trPr>
        <w:tc>
          <w:tcPr>
            <w:tcW w:w="495" w:type="pct"/>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spacing w:line="240" w:lineRule="auto"/>
              <w:ind w:firstLine="0" w:firstLineChars="0"/>
              <w:jc w:val="left"/>
              <w:textAlignment w:val="auto"/>
              <w:rPr>
                <w:rFonts w:cs="Times New Roman" w:eastAsiaTheme="minorEastAsia"/>
                <w:snapToGrid/>
                <w:color w:val="000000" w:themeColor="text1"/>
                <w:sz w:val="21"/>
                <w:lang w:eastAsia="zh-CN"/>
                <w14:textFill>
                  <w14:solidFill>
                    <w14:schemeClr w14:val="tx1"/>
                  </w14:solidFill>
                </w14:textFill>
              </w:rPr>
            </w:pPr>
          </w:p>
        </w:tc>
        <w:tc>
          <w:tcPr>
            <w:tcW w:w="263" w:type="pct"/>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spacing w:line="240" w:lineRule="auto"/>
              <w:ind w:firstLine="0" w:firstLineChars="0"/>
              <w:jc w:val="left"/>
              <w:textAlignment w:val="auto"/>
              <w:rPr>
                <w:rFonts w:cs="Times New Roman" w:eastAsiaTheme="minorEastAsia"/>
                <w:snapToGrid/>
                <w:color w:val="000000" w:themeColor="text1"/>
                <w:sz w:val="21"/>
                <w:lang w:eastAsia="zh-CN"/>
                <w14:textFill>
                  <w14:solidFill>
                    <w14:schemeClr w14:val="tx1"/>
                  </w14:solidFill>
                </w14:textFill>
              </w:rPr>
            </w:pPr>
          </w:p>
        </w:tc>
        <w:tc>
          <w:tcPr>
            <w:tcW w:w="1609"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压降值达到7000 Pa所需时间（min：s）或计时达到T时的压降值（Pa）</w:t>
            </w:r>
          </w:p>
        </w:tc>
        <w:tc>
          <w:tcPr>
            <w:tcW w:w="2633"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压降值达到35000Pa所需时间（min：s）或计时达到T时的压降值（Pa）</w:t>
            </w:r>
          </w:p>
        </w:tc>
      </w:tr>
      <w:tr>
        <w:tblPrEx>
          <w:tblCellMar>
            <w:top w:w="0" w:type="dxa"/>
            <w:left w:w="108" w:type="dxa"/>
            <w:bottom w:w="0" w:type="dxa"/>
            <w:right w:w="108" w:type="dxa"/>
          </w:tblCellMar>
        </w:tblPrEx>
        <w:trPr>
          <w:trHeight w:val="288" w:hRule="atLeast"/>
          <w:jc w:val="center"/>
        </w:trPr>
        <w:tc>
          <w:tcPr>
            <w:tcW w:w="495" w:type="pct"/>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spacing w:line="240" w:lineRule="auto"/>
              <w:ind w:firstLine="0" w:firstLineChars="0"/>
              <w:jc w:val="left"/>
              <w:textAlignment w:val="auto"/>
              <w:rPr>
                <w:rFonts w:cs="Times New Roman" w:eastAsiaTheme="minorEastAsia"/>
                <w:snapToGrid/>
                <w:color w:val="000000" w:themeColor="text1"/>
                <w:sz w:val="21"/>
                <w:lang w:eastAsia="zh-CN"/>
                <w14:textFill>
                  <w14:solidFill>
                    <w14:schemeClr w14:val="tx1"/>
                  </w14:solidFill>
                </w14:textFill>
              </w:rPr>
            </w:pPr>
          </w:p>
        </w:tc>
        <w:tc>
          <w:tcPr>
            <w:tcW w:w="263" w:type="pct"/>
            <w:tcBorders>
              <w:top w:val="nil"/>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1</w:t>
            </w:r>
          </w:p>
        </w:tc>
        <w:tc>
          <w:tcPr>
            <w:tcW w:w="1609"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2633"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495" w:type="pct"/>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spacing w:line="240" w:lineRule="auto"/>
              <w:ind w:firstLine="0" w:firstLineChars="0"/>
              <w:jc w:val="left"/>
              <w:textAlignment w:val="auto"/>
              <w:rPr>
                <w:rFonts w:cs="Times New Roman" w:eastAsiaTheme="minorEastAsia"/>
                <w:snapToGrid/>
                <w:color w:val="000000" w:themeColor="text1"/>
                <w:sz w:val="21"/>
                <w:lang w:eastAsia="zh-CN"/>
                <w14:textFill>
                  <w14:solidFill>
                    <w14:schemeClr w14:val="tx1"/>
                  </w14:solidFill>
                </w14:textFill>
              </w:rPr>
            </w:pPr>
          </w:p>
        </w:tc>
        <w:tc>
          <w:tcPr>
            <w:tcW w:w="263" w:type="pct"/>
            <w:tcBorders>
              <w:top w:val="nil"/>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2</w:t>
            </w:r>
          </w:p>
        </w:tc>
        <w:tc>
          <w:tcPr>
            <w:tcW w:w="1609"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2633"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495" w:type="pct"/>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spacing w:line="240" w:lineRule="auto"/>
              <w:ind w:firstLine="0" w:firstLineChars="0"/>
              <w:jc w:val="left"/>
              <w:textAlignment w:val="auto"/>
              <w:rPr>
                <w:rFonts w:cs="Times New Roman" w:eastAsiaTheme="minorEastAsia"/>
                <w:snapToGrid/>
                <w:color w:val="000000" w:themeColor="text1"/>
                <w:sz w:val="21"/>
                <w:lang w:eastAsia="zh-CN"/>
                <w14:textFill>
                  <w14:solidFill>
                    <w14:schemeClr w14:val="tx1"/>
                  </w14:solidFill>
                </w14:textFill>
              </w:rPr>
            </w:pPr>
          </w:p>
        </w:tc>
        <w:tc>
          <w:tcPr>
            <w:tcW w:w="263" w:type="pct"/>
            <w:tcBorders>
              <w:top w:val="nil"/>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3</w:t>
            </w:r>
          </w:p>
        </w:tc>
        <w:tc>
          <w:tcPr>
            <w:tcW w:w="1609"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2633"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495" w:type="pct"/>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spacing w:line="240" w:lineRule="auto"/>
              <w:ind w:firstLine="0" w:firstLineChars="0"/>
              <w:jc w:val="left"/>
              <w:textAlignment w:val="auto"/>
              <w:rPr>
                <w:rFonts w:cs="Times New Roman" w:eastAsiaTheme="minorEastAsia"/>
                <w:snapToGrid/>
                <w:color w:val="000000" w:themeColor="text1"/>
                <w:sz w:val="21"/>
                <w:lang w:eastAsia="zh-CN"/>
                <w14:textFill>
                  <w14:solidFill>
                    <w14:schemeClr w14:val="tx1"/>
                  </w14:solidFill>
                </w14:textFill>
              </w:rPr>
            </w:pPr>
          </w:p>
        </w:tc>
        <w:tc>
          <w:tcPr>
            <w:tcW w:w="263" w:type="pct"/>
            <w:tcBorders>
              <w:top w:val="nil"/>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textAlignment w:val="auto"/>
              <w:rPr>
                <w:rFonts w:cs="Times New Roman" w:eastAsiaTheme="minorEastAsia"/>
                <w:snapToGrid/>
                <w:color w:val="000000" w:themeColor="text1"/>
                <w:sz w:val="21"/>
                <w:lang w:eastAsia="zh-CN"/>
                <w14:textFill>
                  <w14:solidFill>
                    <w14:schemeClr w14:val="tx1"/>
                  </w14:solidFill>
                </w14:textFill>
              </w:rPr>
            </w:pPr>
          </w:p>
        </w:tc>
        <w:tc>
          <w:tcPr>
            <w:tcW w:w="1609"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2633"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288" w:hRule="atLeast"/>
          <w:jc w:val="center"/>
        </w:trPr>
        <w:tc>
          <w:tcPr>
            <w:tcW w:w="495" w:type="pct"/>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spacing w:line="240" w:lineRule="auto"/>
              <w:ind w:firstLine="0" w:firstLineChars="0"/>
              <w:jc w:val="left"/>
              <w:textAlignment w:val="auto"/>
              <w:rPr>
                <w:rFonts w:cs="Times New Roman" w:eastAsiaTheme="minorEastAsia"/>
                <w:snapToGrid/>
                <w:color w:val="000000" w:themeColor="text1"/>
                <w:sz w:val="21"/>
                <w:lang w:eastAsia="zh-CN"/>
                <w14:textFill>
                  <w14:solidFill>
                    <w14:schemeClr w14:val="tx1"/>
                  </w14:solidFill>
                </w14:textFill>
              </w:rPr>
            </w:pPr>
          </w:p>
        </w:tc>
        <w:tc>
          <w:tcPr>
            <w:tcW w:w="263" w:type="pct"/>
            <w:tcBorders>
              <w:top w:val="nil"/>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textAlignment w:val="auto"/>
              <w:rPr>
                <w:rFonts w:cs="Times New Roman" w:eastAsiaTheme="minorEastAsia"/>
                <w:snapToGrid/>
                <w:color w:val="000000" w:themeColor="text1"/>
                <w:sz w:val="21"/>
                <w:lang w:eastAsia="zh-CN"/>
                <w14:textFill>
                  <w14:solidFill>
                    <w14:schemeClr w14:val="tx1"/>
                  </w14:solidFill>
                </w14:textFill>
              </w:rPr>
            </w:pPr>
          </w:p>
        </w:tc>
        <w:tc>
          <w:tcPr>
            <w:tcW w:w="1609"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c>
          <w:tcPr>
            <w:tcW w:w="2633" w:type="pct"/>
            <w:gridSpan w:val="3"/>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r>
        <w:tblPrEx>
          <w:tblCellMar>
            <w:top w:w="0" w:type="dxa"/>
            <w:left w:w="108" w:type="dxa"/>
            <w:bottom w:w="0" w:type="dxa"/>
            <w:right w:w="108" w:type="dxa"/>
          </w:tblCellMar>
        </w:tblPrEx>
        <w:trPr>
          <w:trHeight w:val="1119" w:hRule="atLeast"/>
          <w:jc w:val="center"/>
        </w:trPr>
        <w:tc>
          <w:tcPr>
            <w:tcW w:w="7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r>
              <w:rPr>
                <w:rFonts w:cs="Times New Roman" w:eastAsiaTheme="minorEastAsia"/>
                <w:snapToGrid/>
                <w:color w:val="000000" w:themeColor="text1"/>
                <w:sz w:val="21"/>
                <w:lang w:eastAsia="zh-CN"/>
                <w14:textFill>
                  <w14:solidFill>
                    <w14:schemeClr w14:val="tx1"/>
                  </w14:solidFill>
                </w14:textFill>
              </w:rPr>
              <w:t>检测结果</w:t>
            </w:r>
          </w:p>
        </w:tc>
        <w:tc>
          <w:tcPr>
            <w:tcW w:w="4242" w:type="pct"/>
            <w:gridSpan w:val="6"/>
            <w:tcBorders>
              <w:top w:val="single" w:color="auto" w:sz="4" w:space="0"/>
              <w:left w:val="nil"/>
              <w:bottom w:val="single" w:color="auto" w:sz="4" w:space="0"/>
              <w:right w:val="single" w:color="auto" w:sz="4" w:space="0"/>
            </w:tcBorders>
            <w:shd w:val="clear" w:color="auto" w:fill="auto"/>
            <w:vAlign w:val="center"/>
          </w:tcPr>
          <w:p>
            <w:pPr>
              <w:kinsoku/>
              <w:autoSpaceDE/>
              <w:autoSpaceDN/>
              <w:adjustRightInd/>
              <w:snapToGrid/>
              <w:spacing w:line="240" w:lineRule="auto"/>
              <w:ind w:firstLine="0" w:firstLineChars="0"/>
              <w:jc w:val="center"/>
              <w:textAlignment w:val="auto"/>
              <w:rPr>
                <w:rFonts w:cs="Times New Roman" w:eastAsiaTheme="minorEastAsia"/>
                <w:snapToGrid/>
                <w:color w:val="000000" w:themeColor="text1"/>
                <w:sz w:val="21"/>
                <w:lang w:eastAsia="zh-CN"/>
                <w14:textFill>
                  <w14:solidFill>
                    <w14:schemeClr w14:val="tx1"/>
                  </w14:solidFill>
                </w14:textFill>
              </w:rPr>
            </w:pPr>
          </w:p>
        </w:tc>
      </w:tr>
    </w:tbl>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施工单位：</w:t>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试验负责人：</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监理单位：</w:t>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设计单位：</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建设单位：</w:t>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ab/>
      </w:r>
      <w:r>
        <w:rPr>
          <w:rFonts w:cs="Times New Roman"/>
          <w:color w:val="000000" w:themeColor="text1"/>
          <w:sz w:val="21"/>
          <w:lang w:eastAsia="zh-CN"/>
          <w14:textFill>
            <w14:solidFill>
              <w14:schemeClr w14:val="tx1"/>
            </w14:solidFill>
          </w14:textFill>
        </w:rPr>
        <w:t>记录员：</w:t>
      </w:r>
    </w:p>
    <w:p>
      <w:pPr>
        <w:kinsoku/>
        <w:autoSpaceDE/>
        <w:autoSpaceDN/>
        <w:adjustRightInd/>
        <w:snapToGrid/>
        <w:spacing w:line="240" w:lineRule="auto"/>
        <w:ind w:firstLine="0" w:firstLineChars="0"/>
        <w:jc w:val="left"/>
        <w:textAlignment w:val="auto"/>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br w:type="page"/>
      </w:r>
    </w:p>
    <w:p>
      <w:pPr>
        <w:keepNext/>
        <w:keepLines/>
        <w:autoSpaceDE/>
        <w:autoSpaceDN/>
        <w:spacing w:before="326" w:beforeLines="100" w:after="326" w:afterLines="100" w:line="240" w:lineRule="auto"/>
        <w:ind w:firstLine="720"/>
        <w:jc w:val="center"/>
        <w:outlineLvl w:val="0"/>
        <w:rPr>
          <w:rFonts w:eastAsia="黑体" w:cs="Times New Roman"/>
          <w:bCs/>
          <w:color w:val="auto"/>
          <w:kern w:val="44"/>
          <w:sz w:val="36"/>
          <w:szCs w:val="36"/>
          <w:lang w:eastAsia="zh-CN"/>
        </w:rPr>
      </w:pPr>
      <w:bookmarkStart w:id="349" w:name="_Toc187611861"/>
      <w:bookmarkStart w:id="350" w:name="_Toc196915251"/>
      <w:bookmarkStart w:id="351" w:name="_Toc186465596"/>
      <w:bookmarkStart w:id="352" w:name="_Toc195818052"/>
      <w:bookmarkStart w:id="353" w:name="_Toc193270279"/>
      <w:r>
        <w:rPr>
          <w:rFonts w:hint="eastAsia" w:eastAsia="黑体" w:cs="Times New Roman"/>
          <w:bCs/>
          <w:color w:val="auto"/>
          <w:kern w:val="44"/>
          <w:sz w:val="36"/>
          <w:szCs w:val="36"/>
          <w:lang w:eastAsia="zh-CN"/>
        </w:rPr>
        <w:t>本规程用词说明</w:t>
      </w:r>
      <w:bookmarkEnd w:id="349"/>
      <w:bookmarkEnd w:id="350"/>
      <w:bookmarkEnd w:id="351"/>
      <w:bookmarkEnd w:id="352"/>
      <w:bookmarkEnd w:id="353"/>
    </w:p>
    <w:p>
      <w:pPr>
        <w:ind w:firstLine="422"/>
        <w:rPr>
          <w:rFonts w:cs="Times New Roman"/>
          <w:sz w:val="21"/>
          <w:lang w:eastAsia="zh-CN"/>
        </w:rPr>
      </w:pPr>
      <w:r>
        <w:rPr>
          <w:rFonts w:cs="Times New Roman"/>
          <w:b/>
          <w:bCs/>
          <w:sz w:val="21"/>
          <w:lang w:eastAsia="zh-CN"/>
        </w:rPr>
        <w:t>1</w:t>
      </w:r>
      <w:r>
        <w:rPr>
          <w:rFonts w:cs="Times New Roman"/>
          <w:sz w:val="21"/>
          <w:lang w:eastAsia="zh-CN"/>
        </w:rPr>
        <w:t xml:space="preserve"> 为便于在执行本规程条文时区别对待，对要求严格程度不同的用词说明如下：</w:t>
      </w:r>
    </w:p>
    <w:p>
      <w:pPr>
        <w:ind w:left="420" w:firstLine="420"/>
        <w:rPr>
          <w:rFonts w:cs="Times New Roman"/>
          <w:sz w:val="21"/>
          <w:lang w:eastAsia="zh-CN"/>
        </w:rPr>
      </w:pPr>
      <w:r>
        <w:rPr>
          <w:rFonts w:cs="Times New Roman"/>
          <w:sz w:val="21"/>
          <w:lang w:eastAsia="zh-CN"/>
        </w:rPr>
        <w:t>1）表示很严格，非这样做不可的：</w:t>
      </w:r>
    </w:p>
    <w:p>
      <w:pPr>
        <w:ind w:firstLine="630" w:firstLineChars="300"/>
        <w:rPr>
          <w:rFonts w:cs="Times New Roman"/>
          <w:sz w:val="21"/>
          <w:lang w:eastAsia="zh-CN"/>
        </w:rPr>
      </w:pPr>
      <w:r>
        <w:rPr>
          <w:rFonts w:cs="Times New Roman"/>
          <w:sz w:val="21"/>
          <w:lang w:eastAsia="zh-CN"/>
        </w:rPr>
        <w:t>正面词采用</w:t>
      </w:r>
      <w:r>
        <w:rPr>
          <w:rFonts w:hint="eastAsia" w:cs="Times New Roman"/>
          <w:sz w:val="21"/>
          <w:lang w:eastAsia="zh-CN"/>
        </w:rPr>
        <w:t>“</w:t>
      </w:r>
      <w:r>
        <w:rPr>
          <w:rFonts w:cs="Times New Roman"/>
          <w:sz w:val="21"/>
          <w:lang w:eastAsia="zh-CN"/>
        </w:rPr>
        <w:t>必须</w:t>
      </w:r>
      <w:r>
        <w:rPr>
          <w:rFonts w:hint="eastAsia" w:cs="Times New Roman"/>
          <w:sz w:val="21"/>
          <w:lang w:eastAsia="zh-CN"/>
        </w:rPr>
        <w:t>”</w:t>
      </w:r>
      <w:r>
        <w:rPr>
          <w:rFonts w:cs="Times New Roman"/>
          <w:sz w:val="21"/>
          <w:lang w:eastAsia="zh-CN"/>
        </w:rPr>
        <w:t>，反面词采用</w:t>
      </w:r>
      <w:r>
        <w:rPr>
          <w:rFonts w:hint="eastAsia" w:cs="Times New Roman"/>
          <w:sz w:val="21"/>
          <w:lang w:eastAsia="zh-CN"/>
        </w:rPr>
        <w:t>“</w:t>
      </w:r>
      <w:r>
        <w:rPr>
          <w:rFonts w:cs="Times New Roman"/>
          <w:sz w:val="21"/>
          <w:lang w:eastAsia="zh-CN"/>
        </w:rPr>
        <w:t>严禁</w:t>
      </w:r>
      <w:r>
        <w:rPr>
          <w:rFonts w:hint="eastAsia" w:cs="Times New Roman"/>
          <w:sz w:val="21"/>
          <w:lang w:eastAsia="zh-CN"/>
        </w:rPr>
        <w:t>”</w:t>
      </w:r>
      <w:r>
        <w:rPr>
          <w:rFonts w:cs="Times New Roman"/>
          <w:sz w:val="21"/>
          <w:lang w:eastAsia="zh-CN"/>
        </w:rPr>
        <w:t>；</w:t>
      </w:r>
    </w:p>
    <w:p>
      <w:pPr>
        <w:ind w:left="420" w:firstLine="420"/>
        <w:rPr>
          <w:rFonts w:cs="Times New Roman"/>
          <w:sz w:val="21"/>
          <w:lang w:eastAsia="zh-CN"/>
        </w:rPr>
      </w:pPr>
      <w:r>
        <w:rPr>
          <w:rFonts w:cs="Times New Roman"/>
          <w:sz w:val="21"/>
          <w:lang w:eastAsia="zh-CN"/>
        </w:rPr>
        <w:t>2）表示严格，在正常情况下均应这样做的：</w:t>
      </w:r>
    </w:p>
    <w:p>
      <w:pPr>
        <w:ind w:firstLine="630" w:firstLineChars="300"/>
        <w:rPr>
          <w:rFonts w:cs="Times New Roman"/>
          <w:sz w:val="21"/>
          <w:lang w:eastAsia="zh-CN"/>
        </w:rPr>
      </w:pPr>
      <w:r>
        <w:rPr>
          <w:rFonts w:cs="Times New Roman"/>
          <w:sz w:val="21"/>
          <w:lang w:eastAsia="zh-CN"/>
        </w:rPr>
        <w:t>正面词采用</w:t>
      </w:r>
      <w:r>
        <w:rPr>
          <w:rFonts w:hint="eastAsia" w:cs="Times New Roman"/>
          <w:sz w:val="21"/>
          <w:lang w:eastAsia="zh-CN"/>
        </w:rPr>
        <w:t>“</w:t>
      </w:r>
      <w:r>
        <w:rPr>
          <w:rFonts w:cs="Times New Roman"/>
          <w:sz w:val="21"/>
          <w:lang w:eastAsia="zh-CN"/>
        </w:rPr>
        <w:t>应</w:t>
      </w:r>
      <w:r>
        <w:rPr>
          <w:rFonts w:hint="eastAsia" w:cs="Times New Roman"/>
          <w:sz w:val="21"/>
          <w:lang w:eastAsia="zh-CN"/>
        </w:rPr>
        <w:t>”</w:t>
      </w:r>
      <w:r>
        <w:rPr>
          <w:rFonts w:cs="Times New Roman"/>
          <w:sz w:val="21"/>
          <w:lang w:eastAsia="zh-CN"/>
        </w:rPr>
        <w:t>，反面词采用</w:t>
      </w:r>
      <w:r>
        <w:rPr>
          <w:rFonts w:hint="eastAsia" w:cs="Times New Roman"/>
          <w:sz w:val="21"/>
          <w:lang w:eastAsia="zh-CN"/>
        </w:rPr>
        <w:t>“</w:t>
      </w:r>
      <w:r>
        <w:rPr>
          <w:rFonts w:cs="Times New Roman"/>
          <w:sz w:val="21"/>
          <w:lang w:eastAsia="zh-CN"/>
        </w:rPr>
        <w:t>不应</w:t>
      </w:r>
      <w:r>
        <w:rPr>
          <w:rFonts w:hint="eastAsia" w:cs="Times New Roman"/>
          <w:sz w:val="21"/>
          <w:lang w:eastAsia="zh-CN"/>
        </w:rPr>
        <w:t>”</w:t>
      </w:r>
      <w:r>
        <w:rPr>
          <w:rFonts w:cs="Times New Roman"/>
          <w:sz w:val="21"/>
          <w:lang w:eastAsia="zh-CN"/>
        </w:rPr>
        <w:t>或</w:t>
      </w:r>
      <w:r>
        <w:rPr>
          <w:rFonts w:hint="eastAsia" w:cs="Times New Roman"/>
          <w:sz w:val="21"/>
          <w:lang w:eastAsia="zh-CN"/>
        </w:rPr>
        <w:t>“</w:t>
      </w:r>
      <w:r>
        <w:rPr>
          <w:rFonts w:cs="Times New Roman"/>
          <w:sz w:val="21"/>
          <w:lang w:eastAsia="zh-CN"/>
        </w:rPr>
        <w:t>不得</w:t>
      </w:r>
      <w:r>
        <w:rPr>
          <w:rFonts w:hint="eastAsia" w:cs="Times New Roman"/>
          <w:sz w:val="21"/>
          <w:lang w:eastAsia="zh-CN"/>
        </w:rPr>
        <w:t>”</w:t>
      </w:r>
      <w:r>
        <w:rPr>
          <w:rFonts w:cs="Times New Roman"/>
          <w:sz w:val="21"/>
          <w:lang w:eastAsia="zh-CN"/>
        </w:rPr>
        <w:t>；</w:t>
      </w:r>
    </w:p>
    <w:p>
      <w:pPr>
        <w:ind w:left="420" w:firstLine="420"/>
        <w:rPr>
          <w:rFonts w:cs="Times New Roman"/>
          <w:sz w:val="21"/>
          <w:lang w:eastAsia="zh-CN"/>
        </w:rPr>
      </w:pPr>
      <w:r>
        <w:rPr>
          <w:rFonts w:cs="Times New Roman"/>
          <w:sz w:val="21"/>
          <w:lang w:eastAsia="zh-CN"/>
        </w:rPr>
        <w:t>3）表示允许稍有选择，在条件许可时首先应这样做的：</w:t>
      </w:r>
    </w:p>
    <w:p>
      <w:pPr>
        <w:ind w:firstLine="630" w:firstLineChars="300"/>
        <w:rPr>
          <w:rFonts w:cs="Times New Roman"/>
          <w:sz w:val="21"/>
          <w:lang w:eastAsia="zh-CN"/>
        </w:rPr>
      </w:pPr>
      <w:r>
        <w:rPr>
          <w:rFonts w:cs="Times New Roman"/>
          <w:sz w:val="21"/>
          <w:lang w:eastAsia="zh-CN"/>
        </w:rPr>
        <w:t>正面词采用</w:t>
      </w:r>
      <w:r>
        <w:rPr>
          <w:rFonts w:hint="eastAsia" w:cs="Times New Roman"/>
          <w:sz w:val="21"/>
          <w:lang w:eastAsia="zh-CN"/>
        </w:rPr>
        <w:t>“</w:t>
      </w:r>
      <w:r>
        <w:rPr>
          <w:rFonts w:cs="Times New Roman"/>
          <w:sz w:val="21"/>
          <w:lang w:eastAsia="zh-CN"/>
        </w:rPr>
        <w:t>宜</w:t>
      </w:r>
      <w:r>
        <w:rPr>
          <w:rFonts w:hint="eastAsia" w:cs="Times New Roman"/>
          <w:sz w:val="21"/>
          <w:lang w:eastAsia="zh-CN"/>
        </w:rPr>
        <w:t>”</w:t>
      </w:r>
      <w:r>
        <w:rPr>
          <w:rFonts w:cs="Times New Roman"/>
          <w:sz w:val="21"/>
          <w:lang w:eastAsia="zh-CN"/>
        </w:rPr>
        <w:t>，反面词采用</w:t>
      </w:r>
      <w:r>
        <w:rPr>
          <w:rFonts w:hint="eastAsia" w:cs="Times New Roman"/>
          <w:sz w:val="21"/>
          <w:lang w:eastAsia="zh-CN"/>
        </w:rPr>
        <w:t>“</w:t>
      </w:r>
      <w:r>
        <w:rPr>
          <w:rFonts w:cs="Times New Roman"/>
          <w:sz w:val="21"/>
          <w:lang w:eastAsia="zh-CN"/>
        </w:rPr>
        <w:t>不宜</w:t>
      </w:r>
      <w:r>
        <w:rPr>
          <w:rFonts w:hint="eastAsia" w:cs="Times New Roman"/>
          <w:sz w:val="21"/>
          <w:lang w:eastAsia="zh-CN"/>
        </w:rPr>
        <w:t>”</w:t>
      </w:r>
      <w:r>
        <w:rPr>
          <w:rFonts w:cs="Times New Roman"/>
          <w:sz w:val="21"/>
          <w:lang w:eastAsia="zh-CN"/>
        </w:rPr>
        <w:t>；</w:t>
      </w:r>
    </w:p>
    <w:p>
      <w:pPr>
        <w:ind w:left="420" w:firstLine="420"/>
        <w:rPr>
          <w:rFonts w:cs="Times New Roman"/>
          <w:sz w:val="21"/>
          <w:lang w:eastAsia="zh-CN"/>
        </w:rPr>
      </w:pPr>
      <w:r>
        <w:rPr>
          <w:rFonts w:cs="Times New Roman"/>
          <w:sz w:val="21"/>
          <w:lang w:eastAsia="zh-CN"/>
        </w:rPr>
        <w:t>4）表示有选择，在一定条件下可以这样做的，采用</w:t>
      </w:r>
      <w:r>
        <w:rPr>
          <w:rFonts w:hint="eastAsia" w:cs="Times New Roman"/>
          <w:sz w:val="21"/>
          <w:lang w:eastAsia="zh-CN"/>
        </w:rPr>
        <w:t>“</w:t>
      </w:r>
      <w:r>
        <w:rPr>
          <w:rFonts w:cs="Times New Roman"/>
          <w:sz w:val="21"/>
          <w:lang w:eastAsia="zh-CN"/>
        </w:rPr>
        <w:t>可</w:t>
      </w:r>
      <w:r>
        <w:rPr>
          <w:rFonts w:hint="eastAsia" w:cs="Times New Roman"/>
          <w:sz w:val="21"/>
          <w:lang w:eastAsia="zh-CN"/>
        </w:rPr>
        <w:t>”</w:t>
      </w:r>
      <w:r>
        <w:rPr>
          <w:rFonts w:cs="Times New Roman"/>
          <w:sz w:val="21"/>
          <w:lang w:eastAsia="zh-CN"/>
        </w:rPr>
        <w:t>。</w:t>
      </w:r>
    </w:p>
    <w:p>
      <w:pPr>
        <w:ind w:firstLine="422"/>
        <w:rPr>
          <w:rFonts w:cs="Times New Roman"/>
          <w:sz w:val="21"/>
          <w:lang w:eastAsia="zh-CN"/>
        </w:rPr>
      </w:pPr>
      <w:r>
        <w:rPr>
          <w:rFonts w:cs="Times New Roman"/>
          <w:b/>
          <w:bCs/>
          <w:sz w:val="21"/>
          <w:lang w:eastAsia="zh-CN"/>
        </w:rPr>
        <w:t>2</w:t>
      </w:r>
      <w:r>
        <w:rPr>
          <w:rFonts w:cs="Times New Roman"/>
          <w:sz w:val="21"/>
          <w:lang w:eastAsia="zh-CN"/>
        </w:rPr>
        <w:t xml:space="preserve"> 条文中指明应按其他有关标准执行的写法为：</w:t>
      </w:r>
      <w:r>
        <w:rPr>
          <w:rFonts w:hint="eastAsia" w:cs="Times New Roman"/>
          <w:sz w:val="21"/>
          <w:lang w:eastAsia="zh-CN"/>
        </w:rPr>
        <w:t>“</w:t>
      </w:r>
      <w:r>
        <w:rPr>
          <w:rFonts w:cs="Times New Roman"/>
          <w:sz w:val="21"/>
          <w:lang w:eastAsia="zh-CN"/>
        </w:rPr>
        <w:t>应符合……的规定</w:t>
      </w:r>
      <w:r>
        <w:rPr>
          <w:rFonts w:hint="eastAsia" w:cs="Times New Roman"/>
          <w:sz w:val="21"/>
          <w:lang w:eastAsia="zh-CN"/>
        </w:rPr>
        <w:t>”</w:t>
      </w:r>
      <w:r>
        <w:rPr>
          <w:rFonts w:cs="Times New Roman"/>
          <w:sz w:val="21"/>
          <w:lang w:eastAsia="zh-CN"/>
        </w:rPr>
        <w:t>或</w:t>
      </w:r>
      <w:r>
        <w:rPr>
          <w:rFonts w:hint="eastAsia" w:cs="Times New Roman"/>
          <w:sz w:val="21"/>
          <w:lang w:eastAsia="zh-CN"/>
        </w:rPr>
        <w:t>“</w:t>
      </w:r>
      <w:r>
        <w:rPr>
          <w:rFonts w:cs="Times New Roman"/>
          <w:sz w:val="21"/>
          <w:lang w:eastAsia="zh-CN"/>
        </w:rPr>
        <w:t>应按……执行</w:t>
      </w:r>
      <w:r>
        <w:rPr>
          <w:rFonts w:hint="eastAsia" w:cs="Times New Roman"/>
          <w:sz w:val="21"/>
          <w:lang w:eastAsia="zh-CN"/>
        </w:rPr>
        <w:t>”</w:t>
      </w:r>
      <w:r>
        <w:rPr>
          <w:rFonts w:cs="Times New Roman"/>
          <w:sz w:val="21"/>
          <w:lang w:eastAsia="zh-CN"/>
        </w:rPr>
        <w:t>。</w:t>
      </w:r>
    </w:p>
    <w:p>
      <w:pPr>
        <w:kinsoku/>
        <w:autoSpaceDE/>
        <w:autoSpaceDN/>
        <w:adjustRightInd/>
        <w:snapToGrid/>
        <w:spacing w:line="240" w:lineRule="auto"/>
        <w:ind w:firstLine="0" w:firstLineChars="0"/>
        <w:jc w:val="left"/>
        <w:textAlignment w:val="auto"/>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br w:type="page"/>
      </w:r>
    </w:p>
    <w:p>
      <w:pPr>
        <w:keepNext/>
        <w:keepLines/>
        <w:autoSpaceDE/>
        <w:autoSpaceDN/>
        <w:spacing w:before="326" w:beforeLines="100" w:after="326" w:afterLines="100" w:line="240" w:lineRule="auto"/>
        <w:ind w:firstLine="720"/>
        <w:jc w:val="center"/>
        <w:outlineLvl w:val="0"/>
        <w:rPr>
          <w:rFonts w:eastAsia="黑体" w:cs="Times New Roman"/>
          <w:bCs/>
          <w:color w:val="auto"/>
          <w:kern w:val="44"/>
          <w:sz w:val="36"/>
          <w:szCs w:val="36"/>
          <w:lang w:eastAsia="zh-CN"/>
        </w:rPr>
      </w:pPr>
      <w:bookmarkStart w:id="354" w:name="_Toc195818053"/>
      <w:bookmarkStart w:id="355" w:name="_Toc196915252"/>
      <w:bookmarkStart w:id="356" w:name="_Toc193270280"/>
      <w:bookmarkStart w:id="357" w:name="_Toc187611862"/>
      <w:bookmarkStart w:id="358" w:name="_Toc186465597"/>
      <w:r>
        <w:rPr>
          <w:rFonts w:hint="eastAsia" w:eastAsia="黑体" w:cs="Times New Roman"/>
          <w:bCs/>
          <w:color w:val="auto"/>
          <w:kern w:val="44"/>
          <w:sz w:val="36"/>
          <w:szCs w:val="36"/>
          <w:lang w:eastAsia="zh-CN"/>
        </w:rPr>
        <w:t>引用标准名录</w:t>
      </w:r>
      <w:bookmarkEnd w:id="354"/>
      <w:bookmarkEnd w:id="355"/>
      <w:bookmarkEnd w:id="356"/>
      <w:bookmarkEnd w:id="357"/>
      <w:bookmarkEnd w:id="358"/>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《漆膜、腻子膜干燥时间测定法》GB 1728</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《塑料管材和管件聚乙烯</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PE</w:t>
      </w:r>
      <w:r>
        <w:rPr>
          <w:rFonts w:hint="eastAsia" w:cs="Times New Roman"/>
          <w:color w:val="000000" w:themeColor="text1"/>
          <w:sz w:val="21"/>
          <w:lang w:eastAsia="zh-CN"/>
          <w14:textFill>
            <w14:solidFill>
              <w14:schemeClr w14:val="tx1"/>
            </w14:solidFill>
          </w14:textFill>
        </w:rPr>
        <w:t>）</w:t>
      </w:r>
      <w:r>
        <w:rPr>
          <w:rFonts w:cs="Times New Roman"/>
          <w:color w:val="000000" w:themeColor="text1"/>
          <w:sz w:val="21"/>
          <w:lang w:eastAsia="zh-CN"/>
          <w14:textFill>
            <w14:solidFill>
              <w14:schemeClr w14:val="tx1"/>
            </w14:solidFill>
          </w14:textFill>
        </w:rPr>
        <w:t>管材/管件热熔对接组件的制备操作规范》GB</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19809</w:t>
      </w:r>
    </w:p>
    <w:p>
      <w:pPr>
        <w:ind w:firstLine="420"/>
        <w:rPr>
          <w:rFonts w:cs="Times New Roman"/>
          <w:color w:val="000000" w:themeColor="text1"/>
          <w:sz w:val="21"/>
          <w:lang w:eastAsia="zh-CN" w:bidi="ar"/>
          <w14:textFill>
            <w14:solidFill>
              <w14:schemeClr w14:val="tx1"/>
            </w14:solidFill>
          </w14:textFill>
        </w:rPr>
      </w:pPr>
      <w:r>
        <w:rPr>
          <w:rFonts w:cs="Times New Roman"/>
          <w:color w:val="000000" w:themeColor="text1"/>
          <w:sz w:val="21"/>
          <w:lang w:eastAsia="zh-CN" w:bidi="ar"/>
          <w14:textFill>
            <w14:solidFill>
              <w14:schemeClr w14:val="tx1"/>
            </w14:solidFill>
          </w14:textFill>
        </w:rPr>
        <w:t>《自动化仪表工程施工及验收规范》GB 50093</w:t>
      </w:r>
    </w:p>
    <w:p>
      <w:pPr>
        <w:ind w:firstLine="420"/>
        <w:rPr>
          <w:rFonts w:cs="Times New Roman"/>
          <w:sz w:val="21"/>
          <w:lang w:eastAsia="zh-CN"/>
        </w:rPr>
      </w:pPr>
      <w:r>
        <w:rPr>
          <w:rFonts w:cs="Times New Roman"/>
          <w:sz w:val="21"/>
          <w:lang w:eastAsia="zh-CN"/>
        </w:rPr>
        <w:t>《给</w:t>
      </w:r>
      <w:bookmarkStart w:id="359" w:name="OLE_LINK123"/>
      <w:r>
        <w:rPr>
          <w:rFonts w:cs="Times New Roman"/>
          <w:sz w:val="21"/>
          <w:lang w:eastAsia="zh-CN"/>
        </w:rPr>
        <w:t>水排水构筑物工程施工及验收规范》GB 50141</w:t>
      </w:r>
    </w:p>
    <w:bookmarkEnd w:id="359"/>
    <w:p>
      <w:pPr>
        <w:ind w:firstLine="420"/>
        <w:rPr>
          <w:rFonts w:cs="Times New Roman"/>
          <w:sz w:val="21"/>
          <w:lang w:eastAsia="zh-CN"/>
        </w:rPr>
      </w:pPr>
      <w:r>
        <w:rPr>
          <w:rFonts w:cs="Times New Roman"/>
          <w:sz w:val="21"/>
          <w:lang w:eastAsia="zh-CN"/>
        </w:rPr>
        <w:t>《建筑地基基础工程施工质量验收标准》GB 50202</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《给水排水管道工程施工及验收规范》GB</w:t>
      </w:r>
      <w:r>
        <w:rPr>
          <w:rFonts w:hint="eastAsia" w:cs="Times New Roman"/>
          <w:color w:val="000000" w:themeColor="text1"/>
          <w:sz w:val="21"/>
          <w:lang w:eastAsia="zh-CN"/>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50268</w:t>
      </w:r>
    </w:p>
    <w:p>
      <w:pPr>
        <w:ind w:firstLine="420"/>
        <w:rPr>
          <w:rFonts w:cs="Times New Roman"/>
          <w:sz w:val="21"/>
          <w:lang w:eastAsia="zh-CN"/>
        </w:rPr>
      </w:pPr>
      <w:r>
        <w:rPr>
          <w:rFonts w:hint="eastAsia" w:cs="Times New Roman"/>
          <w:sz w:val="21"/>
          <w:lang w:eastAsia="zh-CN"/>
        </w:rPr>
        <w:t>《金属材料 拉伸试验 第1部分：室温试验方法》GB/T 228.1</w:t>
      </w:r>
    </w:p>
    <w:p>
      <w:pPr>
        <w:ind w:firstLine="420"/>
        <w:rPr>
          <w:rFonts w:cs="Times New Roman"/>
          <w:sz w:val="21"/>
          <w:lang w:eastAsia="zh-CN"/>
        </w:rPr>
      </w:pPr>
      <w:r>
        <w:rPr>
          <w:rFonts w:hint="eastAsia" w:cs="Times New Roman"/>
          <w:sz w:val="21"/>
          <w:lang w:eastAsia="zh-CN"/>
        </w:rPr>
        <w:t>《硫化橡胶或热塑性橡胶拉伸应力应变性能的测定》GB</w:t>
      </w:r>
      <w:r>
        <w:rPr>
          <w:rFonts w:hint="eastAsia" w:cs="Times New Roman"/>
          <w:sz w:val="21"/>
          <w:lang w:val="en-US" w:eastAsia="zh-CN"/>
        </w:rPr>
        <w:t>/</w:t>
      </w:r>
      <w:r>
        <w:rPr>
          <w:rFonts w:hint="eastAsia" w:cs="Times New Roman"/>
          <w:sz w:val="21"/>
          <w:lang w:eastAsia="zh-CN"/>
        </w:rPr>
        <w:t>T 528</w:t>
      </w:r>
    </w:p>
    <w:p>
      <w:pPr>
        <w:ind w:firstLine="420"/>
        <w:rPr>
          <w:rFonts w:cs="Times New Roman"/>
          <w:sz w:val="21"/>
          <w:lang w:eastAsia="zh-CN"/>
        </w:rPr>
      </w:pPr>
      <w:r>
        <w:rPr>
          <w:rFonts w:hint="eastAsia" w:cs="Times New Roman"/>
          <w:sz w:val="21"/>
          <w:lang w:eastAsia="zh-CN"/>
        </w:rPr>
        <w:t>《硫化橡胶或热塑性橡胶 压入硬度试验方法 第1部分：邵氏硬度计法（邵尔硬度）》GB</w:t>
      </w:r>
      <w:r>
        <w:rPr>
          <w:rFonts w:hint="eastAsia" w:cs="Times New Roman"/>
          <w:sz w:val="21"/>
          <w:lang w:val="en-US" w:eastAsia="zh-CN"/>
        </w:rPr>
        <w:t>/</w:t>
      </w:r>
      <w:r>
        <w:rPr>
          <w:rFonts w:hint="eastAsia" w:cs="Times New Roman"/>
          <w:sz w:val="21"/>
          <w:lang w:eastAsia="zh-CN"/>
        </w:rPr>
        <w:t>T 531.1</w:t>
      </w:r>
    </w:p>
    <w:p>
      <w:pPr>
        <w:ind w:firstLine="420"/>
        <w:rPr>
          <w:rFonts w:cs="Times New Roman"/>
          <w:sz w:val="21"/>
          <w:lang w:eastAsia="zh-CN"/>
        </w:rPr>
      </w:pPr>
      <w:r>
        <w:rPr>
          <w:rFonts w:hint="eastAsia" w:cs="Times New Roman"/>
          <w:sz w:val="21"/>
          <w:lang w:eastAsia="zh-CN"/>
        </w:rPr>
        <w:t>《塑料 拉伸性能的测定 第2部分:模塑和挤塑塑料的试验条件》GB/T 1040.2</w:t>
      </w:r>
    </w:p>
    <w:p>
      <w:pPr>
        <w:ind w:firstLine="420"/>
        <w:rPr>
          <w:rFonts w:cs="Times New Roman"/>
          <w:sz w:val="21"/>
          <w:lang w:eastAsia="zh-CN"/>
        </w:rPr>
      </w:pPr>
      <w:r>
        <w:rPr>
          <w:rFonts w:hint="eastAsia" w:cs="Times New Roman"/>
          <w:sz w:val="21"/>
          <w:lang w:eastAsia="zh-CN"/>
        </w:rPr>
        <w:t>《塑料 拉伸性能的测定 第4部分：各向同性和正交各向异性纤维增强复合材料的试验条件》GB/T 1040.4</w:t>
      </w:r>
    </w:p>
    <w:p>
      <w:pPr>
        <w:ind w:firstLine="420"/>
        <w:rPr>
          <w:rFonts w:cs="Times New Roman"/>
          <w:sz w:val="21"/>
          <w:lang w:eastAsia="zh-CN"/>
        </w:rPr>
      </w:pPr>
      <w:r>
        <w:rPr>
          <w:rFonts w:hint="eastAsia" w:cs="Times New Roman"/>
          <w:sz w:val="21"/>
          <w:lang w:eastAsia="zh-CN"/>
        </w:rPr>
        <w:t>《水泥标准稠度用水量、凝结时间、安定性检验方法》</w:t>
      </w:r>
      <w:r>
        <w:rPr>
          <w:rFonts w:cs="Times New Roman"/>
          <w:sz w:val="21"/>
          <w:lang w:eastAsia="zh-CN"/>
        </w:rPr>
        <w:t>GB/T 1346</w:t>
      </w:r>
    </w:p>
    <w:p>
      <w:pPr>
        <w:ind w:firstLine="420"/>
        <w:rPr>
          <w:rFonts w:cs="Times New Roman"/>
          <w:sz w:val="21"/>
          <w:lang w:eastAsia="zh-CN"/>
        </w:rPr>
      </w:pPr>
      <w:r>
        <w:rPr>
          <w:rFonts w:hint="eastAsia" w:cs="Times New Roman"/>
          <w:sz w:val="21"/>
          <w:lang w:eastAsia="zh-CN"/>
        </w:rPr>
        <w:t>《纤维增强塑料弯曲性能试验方法》GB/T 1449</w:t>
      </w:r>
    </w:p>
    <w:p>
      <w:pPr>
        <w:ind w:firstLine="420"/>
        <w:rPr>
          <w:rFonts w:cs="Times New Roman"/>
          <w:sz w:val="21"/>
          <w:lang w:eastAsia="zh-CN"/>
        </w:rPr>
      </w:pPr>
      <w:r>
        <w:rPr>
          <w:rFonts w:hint="eastAsia" w:cs="Times New Roman"/>
          <w:sz w:val="21"/>
          <w:lang w:eastAsia="zh-CN"/>
        </w:rPr>
        <w:t>《塑料 负荷变形温度的测定 第2部分：塑料和硬橡胶GB/T 1634.4</w:t>
      </w:r>
    </w:p>
    <w:p>
      <w:pPr>
        <w:ind w:firstLine="420"/>
        <w:rPr>
          <w:rFonts w:cs="Times New Roman"/>
          <w:sz w:val="21"/>
          <w:lang w:eastAsia="zh-CN"/>
        </w:rPr>
      </w:pPr>
      <w:r>
        <w:rPr>
          <w:rFonts w:hint="eastAsia" w:cs="Times New Roman"/>
          <w:sz w:val="21"/>
          <w:lang w:eastAsia="zh-CN"/>
        </w:rPr>
        <w:t>《树脂浇铸体性能试验方法》GB/T 2567</w:t>
      </w:r>
    </w:p>
    <w:p>
      <w:pPr>
        <w:ind w:firstLine="420"/>
        <w:rPr>
          <w:rFonts w:cs="Times New Roman"/>
          <w:sz w:val="21"/>
          <w:lang w:eastAsia="zh-CN"/>
        </w:rPr>
      </w:pPr>
      <w:r>
        <w:rPr>
          <w:rFonts w:hint="eastAsia" w:cs="Times New Roman"/>
          <w:sz w:val="21"/>
          <w:lang w:eastAsia="zh-CN"/>
        </w:rPr>
        <w:t>《胶黏剂黏度的测定</w:t>
      </w:r>
      <w:r>
        <w:rPr>
          <w:rFonts w:cs="Times New Roman"/>
          <w:sz w:val="21"/>
          <w:lang w:eastAsia="zh-CN"/>
        </w:rPr>
        <w:t xml:space="preserve"> </w:t>
      </w:r>
      <w:r>
        <w:rPr>
          <w:rFonts w:hint="eastAsia" w:cs="Times New Roman"/>
          <w:sz w:val="21"/>
          <w:lang w:eastAsia="zh-CN"/>
        </w:rPr>
        <w:t>单圆筒旋转黏度计法》</w:t>
      </w:r>
      <w:r>
        <w:rPr>
          <w:rFonts w:cs="Times New Roman"/>
          <w:sz w:val="21"/>
          <w:lang w:eastAsia="zh-CN"/>
        </w:rPr>
        <w:t>GB/T 2794</w:t>
      </w:r>
    </w:p>
    <w:p>
      <w:pPr>
        <w:ind w:firstLine="420"/>
        <w:rPr>
          <w:rFonts w:cs="Times New Roman"/>
          <w:sz w:val="21"/>
          <w:lang w:eastAsia="zh-CN"/>
        </w:rPr>
      </w:pPr>
      <w:r>
        <w:rPr>
          <w:rFonts w:hint="eastAsia" w:cs="Times New Roman"/>
          <w:sz w:val="21"/>
          <w:lang w:eastAsia="zh-CN"/>
        </w:rPr>
        <w:t>《紧固件机械性能 不锈钢螺栓、螺钉和螺柱》GB/T 3098.6</w:t>
      </w:r>
    </w:p>
    <w:p>
      <w:pPr>
        <w:ind w:firstLine="420"/>
        <w:rPr>
          <w:rFonts w:cs="Times New Roman"/>
          <w:sz w:val="21"/>
          <w:lang w:eastAsia="zh-CN"/>
        </w:rPr>
      </w:pPr>
      <w:r>
        <w:rPr>
          <w:rFonts w:hint="eastAsia" w:cs="Times New Roman"/>
          <w:sz w:val="21"/>
          <w:lang w:eastAsia="zh-CN"/>
        </w:rPr>
        <w:t>《紧固件机械性能 不锈钢螺母》GB/T 3098.15</w:t>
      </w:r>
    </w:p>
    <w:p>
      <w:pPr>
        <w:ind w:firstLine="420"/>
        <w:rPr>
          <w:rFonts w:cs="Times New Roman"/>
          <w:sz w:val="21"/>
          <w:lang w:eastAsia="zh-CN"/>
        </w:rPr>
      </w:pPr>
      <w:r>
        <w:rPr>
          <w:rFonts w:hint="eastAsia" w:cs="Times New Roman"/>
          <w:sz w:val="21"/>
          <w:lang w:eastAsia="zh-CN"/>
        </w:rPr>
        <w:t>《不锈钢冷轧钢板和钢带》GB/T 3280</w:t>
      </w:r>
    </w:p>
    <w:p>
      <w:pPr>
        <w:ind w:firstLine="420"/>
        <w:rPr>
          <w:rFonts w:cs="Times New Roman"/>
          <w:sz w:val="21"/>
          <w:lang w:eastAsia="zh-CN"/>
        </w:rPr>
      </w:pPr>
      <w:r>
        <w:rPr>
          <w:rFonts w:hint="eastAsia" w:cs="Times New Roman"/>
          <w:sz w:val="21"/>
          <w:lang w:eastAsia="zh-CN"/>
        </w:rPr>
        <w:t>《增强塑料巴柯尔硬度试验方法》GB/T 3854</w:t>
      </w:r>
    </w:p>
    <w:p>
      <w:pPr>
        <w:ind w:firstLine="420"/>
        <w:rPr>
          <w:rFonts w:cs="Times New Roman"/>
          <w:sz w:val="21"/>
          <w:lang w:eastAsia="zh-CN"/>
        </w:rPr>
      </w:pPr>
      <w:r>
        <w:rPr>
          <w:rFonts w:hint="eastAsia" w:cs="Times New Roman"/>
          <w:sz w:val="21"/>
          <w:lang w:eastAsia="zh-CN"/>
        </w:rPr>
        <w:t>《玻璃纤维增强热固性塑料耐化学介质性能试验方法》GB/T 3857</w:t>
      </w:r>
    </w:p>
    <w:p>
      <w:pPr>
        <w:ind w:firstLine="420"/>
        <w:rPr>
          <w:rFonts w:cs="Times New Roman"/>
          <w:sz w:val="21"/>
          <w:lang w:eastAsia="zh-CN"/>
        </w:rPr>
      </w:pPr>
      <w:r>
        <w:rPr>
          <w:rFonts w:hint="eastAsia" w:cs="Times New Roman"/>
          <w:sz w:val="21"/>
          <w:lang w:eastAsia="zh-CN"/>
        </w:rPr>
        <w:t>《外壳防护等级（IP代码）》GB/T 4208</w:t>
      </w:r>
    </w:p>
    <w:p>
      <w:pPr>
        <w:ind w:firstLine="420"/>
        <w:rPr>
          <w:rFonts w:cs="Times New Roman"/>
          <w:sz w:val="21"/>
          <w:lang w:eastAsia="zh-CN"/>
        </w:rPr>
      </w:pPr>
      <w:r>
        <w:rPr>
          <w:rFonts w:hint="eastAsia" w:cs="Times New Roman"/>
          <w:sz w:val="21"/>
          <w:lang w:eastAsia="zh-CN"/>
        </w:rPr>
        <w:t>《色漆和清漆拉开法附着力试验》GB/T 5210</w:t>
      </w:r>
    </w:p>
    <w:p>
      <w:pPr>
        <w:ind w:firstLine="420"/>
        <w:rPr>
          <w:rFonts w:cs="Times New Roman"/>
          <w:sz w:val="21"/>
          <w:lang w:eastAsia="zh-CN"/>
        </w:rPr>
      </w:pPr>
      <w:r>
        <w:rPr>
          <w:rFonts w:hint="eastAsia" w:cs="Times New Roman"/>
          <w:sz w:val="21"/>
          <w:lang w:eastAsia="zh-CN"/>
        </w:rPr>
        <w:t>《热塑性塑料管材 拉伸性能测定 第2部分: 硬聚氯乙烯（PVC-U）、氯化聚氯乙烯（PVC-C）和高抗冲聚氯乙烯（PVC-HI）管材》GB/T 8804.3</w:t>
      </w:r>
    </w:p>
    <w:p>
      <w:pPr>
        <w:ind w:firstLine="420"/>
        <w:rPr>
          <w:rFonts w:cs="Times New Roman"/>
          <w:sz w:val="21"/>
          <w:lang w:eastAsia="zh-CN"/>
        </w:rPr>
      </w:pPr>
      <w:r>
        <w:rPr>
          <w:rFonts w:hint="eastAsia" w:cs="Times New Roman"/>
          <w:sz w:val="21"/>
          <w:lang w:eastAsia="zh-CN"/>
        </w:rPr>
        <w:t>《塑料管道系统塑料部件尺寸的测定》GB/T 8806</w:t>
      </w:r>
    </w:p>
    <w:p>
      <w:pPr>
        <w:ind w:firstLine="420"/>
        <w:rPr>
          <w:rFonts w:cs="Times New Roman"/>
          <w:sz w:val="21"/>
          <w:lang w:eastAsia="zh-CN"/>
        </w:rPr>
      </w:pPr>
      <w:r>
        <w:rPr>
          <w:rFonts w:hint="eastAsia" w:cs="Times New Roman"/>
          <w:sz w:val="21"/>
          <w:lang w:eastAsia="zh-CN"/>
        </w:rPr>
        <w:t>《纤维增强塑料用液体不饱和聚酯树脂》GB/T 8237</w:t>
      </w:r>
    </w:p>
    <w:p>
      <w:pPr>
        <w:ind w:firstLine="420"/>
        <w:rPr>
          <w:rFonts w:cs="Times New Roman"/>
          <w:sz w:val="21"/>
          <w:lang w:eastAsia="zh-CN"/>
        </w:rPr>
      </w:pPr>
      <w:r>
        <w:rPr>
          <w:rFonts w:hint="eastAsia" w:cs="Times New Roman"/>
          <w:sz w:val="21"/>
          <w:lang w:eastAsia="zh-CN"/>
        </w:rPr>
        <w:t>《色漆和清漆抗流挂性评定》GB/T 9264</w:t>
      </w:r>
    </w:p>
    <w:p>
      <w:pPr>
        <w:ind w:firstLine="420"/>
        <w:rPr>
          <w:rFonts w:cs="Times New Roman"/>
          <w:sz w:val="21"/>
          <w:lang w:eastAsia="zh-CN"/>
        </w:rPr>
      </w:pPr>
      <w:r>
        <w:rPr>
          <w:rFonts w:hint="eastAsia" w:cs="Times New Roman"/>
          <w:sz w:val="21"/>
          <w:lang w:eastAsia="zh-CN"/>
        </w:rPr>
        <w:t>《塑料 弯曲性能的测定》GB/T 9341</w:t>
      </w:r>
    </w:p>
    <w:p>
      <w:pPr>
        <w:ind w:firstLine="420"/>
        <w:rPr>
          <w:rFonts w:cs="Times New Roman"/>
          <w:sz w:val="21"/>
          <w:lang w:eastAsia="zh-CN"/>
        </w:rPr>
      </w:pPr>
      <w:r>
        <w:rPr>
          <w:rFonts w:hint="eastAsia" w:cs="Times New Roman"/>
          <w:sz w:val="21"/>
          <w:lang w:eastAsia="zh-CN"/>
        </w:rPr>
        <w:t>《一般工程用铸造碳钢件》GB/T 11352</w:t>
      </w:r>
    </w:p>
    <w:p>
      <w:pPr>
        <w:ind w:firstLine="420"/>
        <w:rPr>
          <w:rFonts w:cs="Times New Roman"/>
          <w:sz w:val="21"/>
          <w:lang w:eastAsia="zh-CN"/>
        </w:rPr>
      </w:pPr>
      <w:r>
        <w:rPr>
          <w:rFonts w:hint="eastAsia" w:cs="Times New Roman"/>
          <w:sz w:val="21"/>
          <w:lang w:eastAsia="zh-CN"/>
        </w:rPr>
        <w:t>《塑料耐液体化学试剂性能的测定》GB/T 11547</w:t>
      </w:r>
    </w:p>
    <w:p>
      <w:pPr>
        <w:ind w:firstLine="420"/>
        <w:rPr>
          <w:rFonts w:cs="Times New Roman"/>
          <w:sz w:val="21"/>
          <w:lang w:eastAsia="zh-CN"/>
        </w:rPr>
      </w:pPr>
      <w:r>
        <w:rPr>
          <w:rFonts w:hint="eastAsia" w:cs="Times New Roman"/>
          <w:sz w:val="21"/>
          <w:lang w:eastAsia="zh-CN"/>
        </w:rPr>
        <w:t>《纤维绳索 聚酯3股、4股、8股和12股绳索》GB/T 11787</w:t>
      </w:r>
    </w:p>
    <w:p>
      <w:pPr>
        <w:ind w:firstLine="420"/>
        <w:rPr>
          <w:rFonts w:cs="Times New Roman"/>
          <w:sz w:val="21"/>
          <w:lang w:eastAsia="zh-CN"/>
        </w:rPr>
      </w:pPr>
      <w:r>
        <w:rPr>
          <w:rFonts w:hint="eastAsia" w:cs="Times New Roman"/>
          <w:sz w:val="21"/>
          <w:lang w:eastAsia="zh-CN"/>
        </w:rPr>
        <w:t>《不锈钢复合钢板焊接技术要求》GB/T 13148</w:t>
      </w:r>
    </w:p>
    <w:p>
      <w:pPr>
        <w:ind w:firstLine="420"/>
        <w:rPr>
          <w:rFonts w:cs="Times New Roman"/>
          <w:sz w:val="21"/>
          <w:lang w:eastAsia="zh-CN"/>
        </w:rPr>
      </w:pPr>
      <w:r>
        <w:rPr>
          <w:rFonts w:hint="eastAsia" w:cs="Times New Roman"/>
          <w:sz w:val="21"/>
          <w:lang w:eastAsia="zh-CN"/>
        </w:rPr>
        <w:t>《液态胶粘剂密度的测定方法》</w:t>
      </w:r>
      <w:r>
        <w:rPr>
          <w:rFonts w:cs="Times New Roman"/>
          <w:sz w:val="21"/>
          <w:lang w:eastAsia="zh-CN"/>
        </w:rPr>
        <w:t>GB/T 13354</w:t>
      </w:r>
    </w:p>
    <w:p>
      <w:pPr>
        <w:ind w:firstLine="420"/>
        <w:rPr>
          <w:rFonts w:cs="Times New Roman"/>
          <w:sz w:val="21"/>
          <w:lang w:eastAsia="zh-CN"/>
        </w:rPr>
      </w:pPr>
      <w:r>
        <w:rPr>
          <w:rFonts w:hint="eastAsia" w:cs="Times New Roman"/>
          <w:sz w:val="21"/>
          <w:lang w:eastAsia="zh-CN"/>
        </w:rPr>
        <w:t>《给水排水用聚乙烯（PE）管材 第2部分：管材》GB/T 13663.2</w:t>
      </w:r>
    </w:p>
    <w:p>
      <w:pPr>
        <w:ind w:firstLine="420"/>
        <w:rPr>
          <w:rFonts w:cs="Times New Roman"/>
          <w:sz w:val="21"/>
          <w:lang w:eastAsia="zh-CN"/>
        </w:rPr>
      </w:pPr>
      <w:r>
        <w:rPr>
          <w:rFonts w:hint="eastAsia" w:cs="Times New Roman"/>
          <w:sz w:val="21"/>
          <w:lang w:eastAsia="zh-CN"/>
        </w:rPr>
        <w:t>《给水用聚乙烯（PE）管道系统第5部分：系统适用性》GB/T 13663.5</w:t>
      </w:r>
    </w:p>
    <w:p>
      <w:pPr>
        <w:ind w:firstLine="420"/>
        <w:rPr>
          <w:rFonts w:cs="Times New Roman"/>
          <w:sz w:val="21"/>
          <w:lang w:eastAsia="zh-CN"/>
        </w:rPr>
      </w:pPr>
      <w:r>
        <w:rPr>
          <w:rFonts w:hint="eastAsia" w:cs="Times New Roman"/>
          <w:sz w:val="21"/>
          <w:lang w:eastAsia="zh-CN"/>
        </w:rPr>
        <w:t>《土工合成材料聚乙烯土工膜》GB/T 17643</w:t>
      </w:r>
    </w:p>
    <w:p>
      <w:pPr>
        <w:ind w:firstLine="420"/>
        <w:rPr>
          <w:rFonts w:cs="Times New Roman"/>
          <w:sz w:val="21"/>
          <w:lang w:eastAsia="zh-CN"/>
        </w:rPr>
      </w:pPr>
      <w:r>
        <w:rPr>
          <w:rFonts w:hint="eastAsia" w:cs="Times New Roman"/>
          <w:sz w:val="21"/>
          <w:lang w:eastAsia="zh-CN"/>
        </w:rPr>
        <w:t>《水泥胶砂强度检验方法</w:t>
      </w:r>
      <w:r>
        <w:rPr>
          <w:rFonts w:cs="Times New Roman"/>
          <w:sz w:val="21"/>
          <w:lang w:eastAsia="zh-CN"/>
        </w:rPr>
        <w:t xml:space="preserve"> </w:t>
      </w:r>
      <w:r>
        <w:rPr>
          <w:rFonts w:hint="eastAsia" w:cs="Times New Roman"/>
          <w:sz w:val="21"/>
          <w:lang w:eastAsia="zh-CN"/>
        </w:rPr>
        <w:t>（</w:t>
      </w:r>
      <w:r>
        <w:rPr>
          <w:rFonts w:cs="Times New Roman"/>
          <w:sz w:val="21"/>
          <w:lang w:eastAsia="zh-CN"/>
        </w:rPr>
        <w:t>ISO</w:t>
      </w:r>
      <w:r>
        <w:rPr>
          <w:rFonts w:hint="eastAsia" w:cs="Times New Roman"/>
          <w:sz w:val="21"/>
          <w:lang w:eastAsia="zh-CN"/>
        </w:rPr>
        <w:t>法）》</w:t>
      </w:r>
      <w:r>
        <w:rPr>
          <w:rFonts w:cs="Times New Roman"/>
          <w:sz w:val="21"/>
          <w:lang w:eastAsia="zh-CN"/>
        </w:rPr>
        <w:t>GB/T 17671</w:t>
      </w:r>
    </w:p>
    <w:p>
      <w:pPr>
        <w:ind w:firstLine="420"/>
        <w:rPr>
          <w:rFonts w:cs="Times New Roman"/>
          <w:sz w:val="21"/>
          <w:lang w:eastAsia="zh-CN"/>
        </w:rPr>
      </w:pPr>
      <w:r>
        <w:rPr>
          <w:rFonts w:hint="eastAsia" w:cs="Times New Roman"/>
          <w:sz w:val="21"/>
          <w:lang w:eastAsia="zh-CN"/>
        </w:rPr>
        <w:t>《热塑性塑料管材蠕变比率的试验方法》GB/T 18042</w:t>
      </w:r>
    </w:p>
    <w:p>
      <w:pPr>
        <w:ind w:firstLine="420"/>
        <w:rPr>
          <w:rFonts w:cs="Times New Roman"/>
          <w:sz w:val="21"/>
          <w:lang w:eastAsia="zh-CN"/>
        </w:rPr>
      </w:pPr>
      <w:r>
        <w:rPr>
          <w:rFonts w:hint="eastAsia" w:cs="Times New Roman"/>
          <w:sz w:val="21"/>
          <w:lang w:eastAsia="zh-CN"/>
        </w:rPr>
        <w:t>《高分子防水材料 第3部分：遇水膨胀橡胶》GB/T 18173.3</w:t>
      </w:r>
    </w:p>
    <w:p>
      <w:pPr>
        <w:ind w:firstLine="420"/>
        <w:rPr>
          <w:rFonts w:cs="Times New Roman"/>
          <w:sz w:val="21"/>
          <w:lang w:eastAsia="zh-CN"/>
        </w:rPr>
      </w:pPr>
      <w:r>
        <w:rPr>
          <w:rFonts w:hint="eastAsia" w:cs="Times New Roman"/>
          <w:sz w:val="21"/>
          <w:lang w:eastAsia="zh-CN"/>
        </w:rPr>
        <w:t>《埋地用聚乙烯（PE）结构壁管道系统 第2部分聚乙烯缠绕结构壁管材》GB/T 19472.2</w:t>
      </w:r>
    </w:p>
    <w:p>
      <w:pPr>
        <w:ind w:firstLine="420"/>
        <w:rPr>
          <w:rFonts w:cs="Times New Roman"/>
          <w:sz w:val="21"/>
          <w:lang w:eastAsia="zh-CN"/>
        </w:rPr>
      </w:pPr>
      <w:r>
        <w:rPr>
          <w:rFonts w:hint="eastAsia" w:cs="Times New Roman"/>
          <w:sz w:val="21"/>
          <w:lang w:eastAsia="zh-CN"/>
        </w:rPr>
        <w:t>《基础地理信息城市数据库建设规范》 GB/T 21740</w:t>
      </w:r>
    </w:p>
    <w:p>
      <w:pPr>
        <w:ind w:firstLine="420"/>
        <w:rPr>
          <w:rFonts w:cs="Times New Roman"/>
          <w:sz w:val="21"/>
          <w:lang w:eastAsia="zh-CN"/>
        </w:rPr>
      </w:pPr>
      <w:r>
        <w:rPr>
          <w:rFonts w:hint="eastAsia" w:cs="Times New Roman"/>
          <w:sz w:val="21"/>
          <w:lang w:eastAsia="zh-CN"/>
        </w:rPr>
        <w:t>《橡胶密封件 给、排水管及污水管道用接口密封圈 材料规范》GB/T 21873</w:t>
      </w:r>
    </w:p>
    <w:p>
      <w:pPr>
        <w:ind w:firstLine="420"/>
        <w:rPr>
          <w:rFonts w:cs="Times New Roman"/>
          <w:sz w:val="21"/>
          <w:lang w:eastAsia="zh-CN"/>
        </w:rPr>
      </w:pPr>
      <w:r>
        <w:rPr>
          <w:rFonts w:hint="eastAsia" w:cs="Times New Roman"/>
          <w:sz w:val="21"/>
          <w:lang w:eastAsia="zh-CN"/>
        </w:rPr>
        <w:t>《金属材料 弹性模量和泊松比试验方法》GB/T 22315</w:t>
      </w:r>
    </w:p>
    <w:p>
      <w:pPr>
        <w:ind w:firstLine="420"/>
        <w:rPr>
          <w:rFonts w:cs="Times New Roman"/>
          <w:sz w:val="21"/>
          <w:lang w:eastAsia="zh-CN"/>
        </w:rPr>
      </w:pPr>
      <w:r>
        <w:rPr>
          <w:rFonts w:hint="eastAsia" w:cs="Times New Roman"/>
          <w:sz w:val="21"/>
          <w:lang w:eastAsia="zh-CN"/>
        </w:rPr>
        <w:t>《污水用球墨铸铁管、管件和附件》GB/T 26081</w:t>
      </w:r>
    </w:p>
    <w:p>
      <w:pPr>
        <w:ind w:firstLine="420"/>
        <w:rPr>
          <w:rFonts w:cs="Times New Roman"/>
          <w:color w:val="000000" w:themeColor="text1"/>
          <w:sz w:val="21"/>
          <w:highlight w:val="yellow"/>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《高水射流清洗作业安全规范》GB</w:t>
      </w:r>
      <w:r>
        <w:rPr>
          <w:rFonts w:hint="eastAsia" w:cs="Times New Roman"/>
          <w:color w:val="000000" w:themeColor="text1"/>
          <w:sz w:val="21"/>
          <w:lang w:eastAsia="zh-CN"/>
          <w14:textFill>
            <w14:solidFill>
              <w14:schemeClr w14:val="tx1"/>
            </w14:solidFill>
          </w14:textFill>
        </w:rPr>
        <w:t xml:space="preserve">/T </w:t>
      </w:r>
      <w:r>
        <w:rPr>
          <w:rFonts w:cs="Times New Roman"/>
          <w:color w:val="000000" w:themeColor="text1"/>
          <w:sz w:val="21"/>
          <w:lang w:eastAsia="zh-CN"/>
          <w14:textFill>
            <w14:solidFill>
              <w14:schemeClr w14:val="tx1"/>
            </w14:solidFill>
          </w14:textFill>
        </w:rPr>
        <w:t>26148</w:t>
      </w:r>
    </w:p>
    <w:p>
      <w:pPr>
        <w:ind w:firstLine="420"/>
        <w:rPr>
          <w:rFonts w:cs="Times New Roman"/>
          <w:sz w:val="21"/>
          <w:lang w:eastAsia="zh-CN"/>
        </w:rPr>
      </w:pPr>
      <w:r>
        <w:rPr>
          <w:rFonts w:hint="eastAsia" w:cs="Times New Roman"/>
          <w:sz w:val="21"/>
          <w:lang w:eastAsia="zh-CN"/>
        </w:rPr>
        <w:t>《球墨铸铁管线用自锚接口系统设计规定和型式试验》GB/T 36173</w:t>
      </w:r>
    </w:p>
    <w:p>
      <w:pPr>
        <w:ind w:firstLine="420"/>
        <w:rPr>
          <w:rFonts w:cs="Times New Roman"/>
          <w:sz w:val="21"/>
          <w:lang w:eastAsia="zh-CN"/>
        </w:rPr>
      </w:pPr>
      <w:r>
        <w:rPr>
          <w:rFonts w:hint="eastAsia" w:cs="Times New Roman"/>
          <w:sz w:val="21"/>
          <w:lang w:eastAsia="zh-CN"/>
        </w:rPr>
        <w:t>《信息安全技术 物联网感知层接入通信网的安全要求》GB/T 37093</w:t>
      </w:r>
    </w:p>
    <w:p>
      <w:pPr>
        <w:ind w:firstLine="420"/>
        <w:rPr>
          <w:rFonts w:cs="Times New Roman"/>
          <w:sz w:val="21"/>
          <w:lang w:eastAsia="zh-CN"/>
        </w:rPr>
      </w:pPr>
      <w:r>
        <w:rPr>
          <w:rFonts w:hint="eastAsia" w:cs="Times New Roman"/>
          <w:sz w:val="21"/>
          <w:lang w:eastAsia="zh-CN"/>
        </w:rPr>
        <w:t>《地下无压排水管网非开挖修复用塑料管道系统第3部分：紧密贴合内衬法》GB/T 41666.3</w:t>
      </w:r>
    </w:p>
    <w:p>
      <w:pPr>
        <w:ind w:firstLine="420"/>
        <w:rPr>
          <w:rFonts w:cs="Times New Roman"/>
          <w:sz w:val="21"/>
          <w:lang w:eastAsia="zh-CN"/>
        </w:rPr>
      </w:pPr>
      <w:r>
        <w:rPr>
          <w:rFonts w:hint="eastAsia" w:cs="Times New Roman"/>
          <w:sz w:val="21"/>
          <w:lang w:eastAsia="zh-CN"/>
        </w:rPr>
        <w:t>《地下无压排水管网非开挖修复用塑料管道系统第4部分：原位固化内衬法》GB/T 41666.4</w:t>
      </w:r>
    </w:p>
    <w:p>
      <w:pPr>
        <w:ind w:firstLine="420"/>
        <w:rPr>
          <w:rFonts w:cs="Times New Roman"/>
          <w:sz w:val="21"/>
          <w:lang w:eastAsia="zh-CN"/>
        </w:rPr>
      </w:pPr>
      <w:r>
        <w:rPr>
          <w:rFonts w:hint="eastAsia" w:cs="Times New Roman"/>
          <w:sz w:val="21"/>
          <w:lang w:eastAsia="zh-CN"/>
        </w:rPr>
        <w:t>《地下无压排水管网非开挖修复用塑料管道系统 第7部分：螺旋缠绕内衬法》GB/T 41666.7</w:t>
      </w:r>
    </w:p>
    <w:p>
      <w:pPr>
        <w:ind w:firstLine="420"/>
        <w:rPr>
          <w:rFonts w:cs="Times New Roman"/>
          <w:sz w:val="21"/>
          <w:lang w:eastAsia="zh-CN"/>
        </w:rPr>
      </w:pPr>
      <w:r>
        <w:rPr>
          <w:rFonts w:hint="eastAsia" w:cs="Times New Roman"/>
          <w:sz w:val="21"/>
          <w:lang w:eastAsia="zh-CN"/>
        </w:rPr>
        <w:t>《水泥基灌浆材料应用技术规范》GB/T 50448</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《工作场所有害因素职业接触限值 化学有害因素》GBZ 2.1</w:t>
      </w:r>
    </w:p>
    <w:p>
      <w:pPr>
        <w:ind w:firstLine="420"/>
        <w:rPr>
          <w:rFonts w:cs="Times New Roman"/>
          <w:sz w:val="21"/>
          <w:lang w:eastAsia="zh-CN"/>
        </w:rPr>
      </w:pPr>
      <w:r>
        <w:rPr>
          <w:rFonts w:hint="eastAsia" w:cs="Times New Roman"/>
          <w:sz w:val="21"/>
          <w:lang w:eastAsia="zh-CN"/>
        </w:rPr>
        <w:t>《城镇排水管道维护安全技术规程》CJJ 6</w:t>
      </w:r>
    </w:p>
    <w:p>
      <w:pPr>
        <w:ind w:firstLine="420"/>
        <w:rPr>
          <w:rFonts w:cs="Times New Roman"/>
          <w:sz w:val="21"/>
          <w:lang w:eastAsia="zh-CN"/>
        </w:rPr>
      </w:pPr>
      <w:r>
        <w:rPr>
          <w:rFonts w:hint="eastAsia" w:cs="Times New Roman"/>
          <w:sz w:val="21"/>
          <w:lang w:eastAsia="zh-CN"/>
        </w:rPr>
        <w:t>《城镇排水管渠与泵站运行、维护及安全技术规程》CJJ68</w:t>
      </w:r>
    </w:p>
    <w:p>
      <w:pPr>
        <w:ind w:firstLine="420"/>
        <w:rPr>
          <w:rFonts w:cs="Times New Roman"/>
          <w:sz w:val="21"/>
          <w:lang w:eastAsia="zh-CN"/>
        </w:rPr>
      </w:pPr>
      <w:r>
        <w:rPr>
          <w:rFonts w:cs="Times New Roman"/>
          <w:color w:val="auto"/>
          <w:sz w:val="21"/>
          <w:lang w:eastAsia="zh-CN"/>
        </w:rPr>
        <w:t>《城镇排水管道检测与评估技术规程</w:t>
      </w:r>
      <w:r>
        <w:rPr>
          <w:rFonts w:hint="eastAsia" w:cs="Times New Roman"/>
          <w:color w:val="auto"/>
          <w:sz w:val="21"/>
          <w:lang w:eastAsia="zh-CN"/>
        </w:rPr>
        <w:t>》</w:t>
      </w:r>
      <w:r>
        <w:rPr>
          <w:rFonts w:cs="Times New Roman"/>
          <w:color w:val="auto"/>
          <w:sz w:val="21"/>
          <w:lang w:eastAsia="zh-CN"/>
        </w:rPr>
        <w:t>CJJ 181</w:t>
      </w:r>
    </w:p>
    <w:p>
      <w:pPr>
        <w:ind w:firstLine="420"/>
        <w:rPr>
          <w:rFonts w:cs="Times New Roman"/>
          <w:sz w:val="21"/>
          <w:lang w:eastAsia="zh-CN"/>
        </w:rPr>
      </w:pPr>
      <w:r>
        <w:rPr>
          <w:rFonts w:cs="Times New Roman" w:eastAsiaTheme="minorEastAsia"/>
          <w:color w:val="000000" w:themeColor="text1"/>
          <w:sz w:val="21"/>
          <w:lang w:eastAsia="zh-CN"/>
          <w14:textFill>
            <w14:solidFill>
              <w14:schemeClr w14:val="tx1"/>
            </w14:solidFill>
          </w14:textFill>
        </w:rPr>
        <w:t>《城镇排水管道非开挖修复更新工程技术规程》CJJ/T 210</w:t>
      </w:r>
    </w:p>
    <w:p>
      <w:pPr>
        <w:ind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《建筑地基处理技术规范》</w:t>
      </w:r>
      <w:r>
        <w:rPr>
          <w:rFonts w:cs="Times New Roman"/>
          <w:color w:val="000000" w:themeColor="text1"/>
          <w:sz w:val="21"/>
          <w:lang w:eastAsia="zh-CN"/>
          <w14:textFill>
            <w14:solidFill>
              <w14:schemeClr w14:val="tx1"/>
            </w14:solidFill>
          </w14:textFill>
        </w:rPr>
        <w:t>JGJ 79</w:t>
      </w:r>
    </w:p>
    <w:p>
      <w:pPr>
        <w:ind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《建筑基坑支护技术规程》</w:t>
      </w:r>
      <w:r>
        <w:rPr>
          <w:rFonts w:cs="Times New Roman"/>
          <w:color w:val="000000" w:themeColor="text1"/>
          <w:sz w:val="21"/>
          <w:lang w:eastAsia="zh-CN"/>
          <w14:textFill>
            <w14:solidFill>
              <w14:schemeClr w14:val="tx1"/>
            </w14:solidFill>
          </w14:textFill>
        </w:rPr>
        <w:t>JGJ 120</w:t>
      </w:r>
    </w:p>
    <w:p>
      <w:pPr>
        <w:ind w:firstLine="42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《建筑砂浆基本性能试验方法标准》</w:t>
      </w:r>
      <w:r>
        <w:rPr>
          <w:rFonts w:cs="Times New Roman"/>
          <w:color w:val="000000" w:themeColor="text1"/>
          <w:sz w:val="21"/>
          <w:lang w:eastAsia="zh-CN"/>
          <w14:textFill>
            <w14:solidFill>
              <w14:schemeClr w14:val="tx1"/>
            </w14:solidFill>
          </w14:textFill>
        </w:rPr>
        <w:t>JGJ/T 70</w:t>
      </w:r>
    </w:p>
    <w:p>
      <w:pPr>
        <w:ind w:firstLine="420"/>
        <w:rPr>
          <w:rFonts w:cs="Times New Roman"/>
          <w:snapToGrid/>
          <w:sz w:val="21"/>
          <w:lang w:eastAsia="zh-CN"/>
        </w:rPr>
      </w:pPr>
      <w:r>
        <w:rPr>
          <w:rFonts w:cs="Times New Roman"/>
          <w:snapToGrid/>
          <w:sz w:val="21"/>
          <w:lang w:eastAsia="zh-CN"/>
        </w:rPr>
        <w:t>《水性聚氨酯地坪》JC/T 2327</w:t>
      </w:r>
    </w:p>
    <w:p>
      <w:pPr>
        <w:ind w:firstLine="420"/>
        <w:rPr>
          <w:lang w:eastAsia="zh-CN"/>
        </w:rPr>
      </w:pPr>
      <w:r>
        <w:rPr>
          <w:rFonts w:cs="Times New Roman"/>
          <w:color w:val="000000" w:themeColor="text1"/>
          <w:sz w:val="21"/>
          <w:lang w:eastAsia="zh-CN"/>
          <w14:textFill>
            <w14:solidFill>
              <w14:schemeClr w14:val="tx1"/>
            </w14:solidFill>
          </w14:textFill>
        </w:rPr>
        <w:t>《文明施工标准》DG/TJ08—2102</w:t>
      </w:r>
    </w:p>
    <w:p>
      <w:pPr>
        <w:kinsoku/>
        <w:autoSpaceDE/>
        <w:autoSpaceDN/>
        <w:adjustRightInd/>
        <w:snapToGrid/>
        <w:spacing w:line="240" w:lineRule="auto"/>
        <w:ind w:firstLine="0" w:firstLineChars="0"/>
        <w:jc w:val="left"/>
        <w:textAlignment w:val="auto"/>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br w:type="page"/>
      </w:r>
    </w:p>
    <w:p>
      <w:pPr>
        <w:ind w:firstLine="422"/>
        <w:rPr>
          <w:rFonts w:cs="Times New Roman"/>
          <w:b/>
          <w:bCs/>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ICS 号</w:t>
      </w:r>
    </w:p>
    <w:p>
      <w:pPr>
        <w:ind w:firstLine="420"/>
        <w:rPr>
          <w:rFonts w:cs="Times New Roman"/>
          <w:color w:val="000000" w:themeColor="text1"/>
          <w:sz w:val="21"/>
          <w:lang w:eastAsia="zh-CN"/>
          <w14:textFill>
            <w14:solidFill>
              <w14:schemeClr w14:val="tx1"/>
            </w14:solidFill>
          </w14:textFill>
        </w:rPr>
      </w:pPr>
      <w:r>
        <w:rPr>
          <w:rFonts w:cs="Times New Roman"/>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-79375</wp:posOffset>
                </wp:positionH>
                <wp:positionV relativeFrom="paragraph">
                  <wp:posOffset>1271270</wp:posOffset>
                </wp:positionV>
                <wp:extent cx="5298440" cy="12065"/>
                <wp:effectExtent l="0" t="0" r="0" b="0"/>
                <wp:wrapNone/>
                <wp:docPr id="1060282562" name="直接连接符 1060282562"/>
                <wp:cNvGraphicFramePr/>
                <a:graphic xmlns:a="http://schemas.openxmlformats.org/drawingml/2006/main">
                  <a:graphicData uri="http://schemas.microsoft.com/office/word/2010/wordprocessingShape">
                    <wps:wsp>
                      <wps:cNvCnPr/>
                      <wps:spPr>
                        <a:xfrm>
                          <a:off x="1073150" y="3260725"/>
                          <a:ext cx="5298440"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25pt;margin-top:100.1pt;height:0.95pt;width:417.2pt;z-index:251663360;mso-width-relative:page;mso-height-relative:page;" filled="f" stroked="t" coordsize="21600,21600" o:gfxdata="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n5392gAAAAsBAAAPAAAAAAAAAAEAIAAAACIAAABkcnMvZG93bnJl&#10;di54bWxQSwECFAAUAAAACACHTuJAuvPBIPsBAADUAwAADgAAAAAAAAABACAAAAApAQAAZHJzL2Uy&#10;b0RvYy54bWxQSwUGAAAAAAYABgBZAQAAlgUAAAAA&#10;">
                <v:fill on="f" focussize="0,0"/>
                <v:stroke weight="1pt" color="#000000 [3200]" miterlimit="8" joinstyle="miter"/>
                <v:imagedata o:title=""/>
                <o:lock v:ext="edit" aspectratio="f"/>
              </v:line>
            </w:pict>
          </mc:Fallback>
        </mc:AlternateContent>
      </w:r>
    </w:p>
    <w:p>
      <w:pPr>
        <w:widowControl w:val="0"/>
        <w:kinsoku/>
        <w:autoSpaceDE/>
        <w:autoSpaceDN/>
        <w:adjustRightInd/>
        <w:snapToGrid/>
        <w:spacing w:line="240" w:lineRule="auto"/>
        <w:ind w:right="181" w:firstLine="0" w:firstLineChars="0"/>
        <w:jc w:val="center"/>
        <w:textAlignment w:val="auto"/>
        <w:rPr>
          <w:rFonts w:eastAsia="黑体" w:cs="Times New Roman"/>
          <w:b/>
          <w:snapToGrid/>
          <w:color w:val="000000" w:themeColor="text1"/>
          <w:spacing w:val="2"/>
          <w:kern w:val="2"/>
          <w:sz w:val="72"/>
          <w:szCs w:val="72"/>
          <w:lang w:eastAsia="zh-CN"/>
          <w14:textFill>
            <w14:solidFill>
              <w14:schemeClr w14:val="tx1"/>
            </w14:solidFill>
          </w14:textFill>
        </w:rPr>
      </w:pPr>
      <w:r>
        <w:rPr>
          <w:rFonts w:eastAsia="黑体" w:cs="Times New Roman"/>
          <w:b/>
          <w:snapToGrid/>
          <w:color w:val="000000" w:themeColor="text1"/>
          <w:spacing w:val="2"/>
          <w:kern w:val="2"/>
          <w:sz w:val="72"/>
          <w:szCs w:val="72"/>
          <w:lang w:eastAsia="zh-CN"/>
          <w14:textFill>
            <w14:solidFill>
              <w14:schemeClr w14:val="tx1"/>
            </w14:solidFill>
          </w14:textFill>
        </w:rPr>
        <w:t>团  体  标  准</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30" w:type="dxa"/>
            <w:tcBorders>
              <w:top w:val="nil"/>
              <w:left w:val="nil"/>
              <w:bottom w:val="nil"/>
              <w:right w:val="nil"/>
            </w:tcBorders>
            <w:shd w:val="clear" w:color="auto" w:fill="auto"/>
          </w:tcPr>
          <w:p>
            <w:pPr>
              <w:ind w:firstLine="420"/>
              <w:jc w:val="right"/>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T/</w:t>
            </w:r>
            <w:r>
              <w:rPr>
                <w:rFonts w:cs="Times New Roman"/>
                <w:color w:val="000000" w:themeColor="text1"/>
                <w:sz w:val="21"/>
                <w:lang w:eastAsia="zh-CN"/>
                <w14:textFill>
                  <w14:solidFill>
                    <w14:schemeClr w14:val="tx1"/>
                  </w14:solidFill>
                </w14:textFill>
              </w:rPr>
              <w:t>SDUWA</w:t>
            </w:r>
            <w:r>
              <w:rPr>
                <w:rFonts w:cs="Times New Roman"/>
                <w:color w:val="000000" w:themeColor="text1"/>
                <w:sz w:val="21"/>
                <w14:textFill>
                  <w14:solidFill>
                    <w14:schemeClr w14:val="tx1"/>
                  </w14:solidFill>
                </w14:textFill>
              </w:rPr>
              <w:t xml:space="preserve"> </w:t>
            </w:r>
            <w:r>
              <w:rPr>
                <w:rFonts w:cs="Times New Roman"/>
                <w:color w:val="000000" w:themeColor="text1"/>
                <w:sz w:val="21"/>
                <w:lang w:eastAsia="zh-CN"/>
                <w14:textFill>
                  <w14:solidFill>
                    <w14:schemeClr w14:val="tx1"/>
                  </w14:solidFill>
                </w14:textFill>
              </w:rPr>
              <w:t>XXXXXXX</w:t>
            </w:r>
            <w:r>
              <w:rPr>
                <w:rFonts w:cs="Times New Roman"/>
                <w:color w:val="000000" w:themeColor="text1"/>
                <w:sz w:val="21"/>
                <w14:textFill>
                  <w14:solidFill>
                    <w14:schemeClr w14:val="tx1"/>
                  </w14:solidFill>
                </w14:textFill>
              </w:rPr>
              <mc:AlternateContent>
                <mc:Choice Requires="wps">
                  <w:drawing>
                    <wp:anchor distT="0" distB="0" distL="114300" distR="114300" simplePos="0" relativeHeight="251665408" behindDoc="1" locked="0" layoutInCell="1" allowOverlap="1">
                      <wp:simplePos x="0" y="0"/>
                      <wp:positionH relativeFrom="column">
                        <wp:posOffset>4665980</wp:posOffset>
                      </wp:positionH>
                      <wp:positionV relativeFrom="paragraph">
                        <wp:posOffset>34290</wp:posOffset>
                      </wp:positionV>
                      <wp:extent cx="1143000" cy="228600"/>
                      <wp:effectExtent l="0" t="0" r="0" b="0"/>
                      <wp:wrapNone/>
                      <wp:docPr id="1779195555" name="DT"/>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DT" o:spid="_x0000_s1026" o:spt="1" style="position:absolute;left:0pt;margin-left:367.4pt;margin-top:2.7pt;height:18pt;width:90pt;z-index:-251651072;v-text-anchor:middle;mso-width-relative:page;mso-height-relative:page;" fillcolor="#FFFFFF" filled="t" stroked="f" coordsize="21600,21600" o:gfxdata="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Z7k/9MAAAAIAQAA&#10;DwAAAAAAAAABACAAAAAiAAAAZHJzL2Rvd25yZXYueG1sUEsBAhQAFAAAAAgAh07iQAA7XxVXAgAA&#10;xQQAAA4AAAAAAAAAAQAgAAAAIgEAAGRycy9lMm9Eb2MueG1sUEsFBgAAAAAGAAYAWQEAAOsFAAAA&#10;AA==&#10;">
                      <v:fill on="t" focussize="0,0"/>
                      <v:stroke on="f" weight="2pt"/>
                      <v:imagedata o:title=""/>
                      <o:lock v:ext="edit" aspectratio="f"/>
                    </v:rect>
                  </w:pict>
                </mc:Fallback>
              </mc:AlternateContent>
            </w:r>
          </w:p>
        </w:tc>
      </w:tr>
    </w:tbl>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0" w:firstLineChars="0"/>
        <w:rPr>
          <w:rFonts w:cs="Times New Roman"/>
          <w:color w:val="000000" w:themeColor="text1"/>
          <w:sz w:val="21"/>
          <w:lang w:eastAsia="zh-CN"/>
          <w14:textFill>
            <w14:solidFill>
              <w14:schemeClr w14:val="tx1"/>
            </w14:solidFill>
          </w14:textFill>
        </w:rPr>
      </w:pPr>
    </w:p>
    <w:p>
      <w:pPr>
        <w:ind w:firstLine="0" w:firstLineChars="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1052"/>
        <w:jc w:val="center"/>
        <w:rPr>
          <w:rFonts w:eastAsia="黑体" w:cs="Times New Roman"/>
          <w:b/>
          <w:snapToGrid/>
          <w:color w:val="000000" w:themeColor="text1"/>
          <w:spacing w:val="2"/>
          <w:kern w:val="2"/>
          <w:sz w:val="52"/>
          <w:szCs w:val="52"/>
          <w:lang w:eastAsia="zh-CN"/>
          <w14:textFill>
            <w14:solidFill>
              <w14:schemeClr w14:val="tx1"/>
            </w14:solidFill>
          </w14:textFill>
        </w:rPr>
      </w:pPr>
      <w:r>
        <w:rPr>
          <w:rFonts w:eastAsia="黑体" w:cs="Times New Roman"/>
          <w:b/>
          <w:snapToGrid/>
          <w:color w:val="000000" w:themeColor="text1"/>
          <w:spacing w:val="2"/>
          <w:kern w:val="2"/>
          <w:sz w:val="52"/>
          <w:szCs w:val="52"/>
          <w:lang w:eastAsia="zh-CN"/>
          <w14:textFill>
            <w14:solidFill>
              <w14:schemeClr w14:val="tx1"/>
            </w14:solidFill>
          </w14:textFill>
        </w:rPr>
        <w:t>室外埋地排水管道非开挖修复工程技术规程</w:t>
      </w:r>
    </w:p>
    <w:p>
      <w:pPr>
        <w:ind w:firstLine="420"/>
        <w:jc w:val="center"/>
        <w:rPr>
          <w:rFonts w:eastAsia="黑体" w:cs="Times New Roman"/>
          <w:color w:val="000000" w:themeColor="text1"/>
          <w:sz w:val="21"/>
          <w:lang w:eastAsia="zh-CN"/>
          <w14:textFill>
            <w14:solidFill>
              <w14:schemeClr w14:val="tx1"/>
            </w14:solidFill>
          </w14:textFill>
        </w:rPr>
      </w:pPr>
    </w:p>
    <w:p>
      <w:pPr>
        <w:ind w:firstLine="651"/>
        <w:jc w:val="center"/>
        <w:rPr>
          <w:rFonts w:eastAsia="黑体" w:cs="Times New Roman"/>
          <w:b/>
          <w:snapToGrid/>
          <w:color w:val="000000" w:themeColor="text1"/>
          <w:spacing w:val="2"/>
          <w:kern w:val="2"/>
          <w:sz w:val="32"/>
          <w:szCs w:val="32"/>
          <w:lang w:eastAsia="zh-CN"/>
          <w14:textFill>
            <w14:solidFill>
              <w14:schemeClr w14:val="tx1"/>
            </w14:solidFill>
          </w14:textFill>
        </w:rPr>
      </w:pPr>
      <w:r>
        <w:rPr>
          <w:rFonts w:eastAsia="黑体" w:cs="Times New Roman"/>
          <w:b/>
          <w:snapToGrid/>
          <w:color w:val="000000" w:themeColor="text1"/>
          <w:spacing w:val="2"/>
          <w:kern w:val="2"/>
          <w:sz w:val="32"/>
          <w:szCs w:val="32"/>
          <w:lang w:eastAsia="zh-CN"/>
          <w14:textFill>
            <w14:solidFill>
              <w14:schemeClr w14:val="tx1"/>
            </w14:solidFill>
          </w14:textFill>
        </w:rPr>
        <w:t>Technical specification for trenchless repair of outdoor buried drainage pipes</w:t>
      </w:r>
    </w:p>
    <w:p>
      <w:pPr>
        <w:ind w:firstLine="651"/>
        <w:jc w:val="center"/>
        <w:rPr>
          <w:rFonts w:eastAsia="黑体" w:cs="Times New Roman"/>
          <w:b/>
          <w:snapToGrid/>
          <w:color w:val="000000" w:themeColor="text1"/>
          <w:spacing w:val="2"/>
          <w:kern w:val="2"/>
          <w:sz w:val="32"/>
          <w:szCs w:val="32"/>
          <w:lang w:eastAsia="zh-CN"/>
          <w14:textFill>
            <w14:solidFill>
              <w14:schemeClr w14:val="tx1"/>
            </w14:solidFill>
          </w14:textFill>
        </w:rPr>
      </w:pPr>
    </w:p>
    <w:p>
      <w:pPr>
        <w:ind w:firstLine="651"/>
        <w:jc w:val="center"/>
        <w:rPr>
          <w:rFonts w:eastAsia="黑体" w:cs="Times New Roman"/>
          <w:b/>
          <w:snapToGrid/>
          <w:color w:val="000000" w:themeColor="text1"/>
          <w:spacing w:val="2"/>
          <w:kern w:val="2"/>
          <w:sz w:val="32"/>
          <w:szCs w:val="32"/>
          <w:lang w:eastAsia="zh-CN"/>
          <w14:textFill>
            <w14:solidFill>
              <w14:schemeClr w14:val="tx1"/>
            </w14:solidFill>
          </w14:textFill>
        </w:rPr>
      </w:pPr>
    </w:p>
    <w:p>
      <w:pPr>
        <w:spacing w:before="156"/>
        <w:ind w:firstLine="803"/>
        <w:jc w:val="center"/>
        <w:rPr>
          <w:rFonts w:cs="Times New Roman"/>
          <w:b/>
          <w:bCs/>
          <w:color w:val="000000" w:themeColor="text1"/>
          <w:sz w:val="40"/>
          <w:szCs w:val="40"/>
          <w:lang w:eastAsia="zh-CN"/>
          <w14:textFill>
            <w14:solidFill>
              <w14:schemeClr w14:val="tx1"/>
            </w14:solidFill>
          </w14:textFill>
        </w:rPr>
      </w:pPr>
      <w:r>
        <w:rPr>
          <w:rFonts w:cs="Times New Roman"/>
          <w:b/>
          <w:bCs/>
          <w:color w:val="000000" w:themeColor="text1"/>
          <w:sz w:val="40"/>
          <w:szCs w:val="40"/>
          <w:lang w:eastAsia="zh-CN"/>
          <w14:textFill>
            <w14:solidFill>
              <w14:schemeClr w14:val="tx1"/>
            </w14:solidFill>
          </w14:textFill>
        </w:rPr>
        <w:t>条 文 说 明</w:t>
      </w: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ind w:firstLine="0" w:firstLineChars="0"/>
        <w:rPr>
          <w:rFonts w:cs="Times New Roman"/>
          <w:color w:val="000000" w:themeColor="text1"/>
          <w:sz w:val="21"/>
          <w:lang w:eastAsia="zh-CN"/>
          <w14:textFill>
            <w14:solidFill>
              <w14:schemeClr w14:val="tx1"/>
            </w14:solidFill>
          </w14:textFill>
        </w:rPr>
      </w:pPr>
    </w:p>
    <w:p>
      <w:pPr>
        <w:ind w:firstLine="420"/>
        <w:rPr>
          <w:rFonts w:cs="Times New Roman"/>
          <w:color w:val="000000" w:themeColor="text1"/>
          <w:sz w:val="21"/>
          <w:lang w:eastAsia="zh-CN"/>
          <w14:textFill>
            <w14:solidFill>
              <w14:schemeClr w14:val="tx1"/>
            </w14:solidFill>
          </w14:textFill>
        </w:rPr>
      </w:pPr>
    </w:p>
    <w:p>
      <w:pPr>
        <w:widowControl w:val="0"/>
        <w:kinsoku/>
        <w:autoSpaceDE/>
        <w:autoSpaceDN/>
        <w:adjustRightInd/>
        <w:snapToGrid/>
        <w:spacing w:line="360" w:lineRule="exact"/>
        <w:ind w:right="181" w:firstLine="0" w:firstLineChars="0"/>
        <w:jc w:val="left"/>
        <w:textAlignment w:val="auto"/>
        <w:rPr>
          <w:rFonts w:eastAsia="黑体" w:cs="Times New Roman"/>
          <w:b/>
          <w:snapToGrid/>
          <w:color w:val="000000" w:themeColor="text1"/>
          <w:spacing w:val="2"/>
          <w:kern w:val="2"/>
          <w:sz w:val="21"/>
          <w:lang w:eastAsia="zh-CN"/>
          <w14:textFill>
            <w14:solidFill>
              <w14:schemeClr w14:val="tx1"/>
            </w14:solidFill>
          </w14:textFill>
        </w:rPr>
      </w:pPr>
      <w:r>
        <w:rPr>
          <w:rFonts w:eastAsia="黑体" w:cs="Times New Roman"/>
          <w:b/>
          <w:snapToGrid/>
          <w:color w:val="000000" w:themeColor="text1"/>
          <w:spacing w:val="2"/>
          <w:kern w:val="2"/>
          <w:sz w:val="21"/>
          <w:lang w:eastAsia="zh-CN"/>
          <w14:textFill>
            <w14:solidFill>
              <w14:schemeClr w14:val="tx1"/>
            </w14:solidFill>
          </w14:textFill>
        </w:rPr>
        <w:t>2024-XX-XX发布                           2024-XX-XX实施</w:t>
      </w:r>
    </w:p>
    <w:p>
      <w:pPr>
        <w:widowControl w:val="0"/>
        <w:kinsoku/>
        <w:autoSpaceDE/>
        <w:autoSpaceDN/>
        <w:adjustRightInd/>
        <w:snapToGrid/>
        <w:spacing w:line="360" w:lineRule="exact"/>
        <w:ind w:right="181" w:firstLine="0" w:firstLineChars="0"/>
        <w:jc w:val="center"/>
        <w:textAlignment w:val="auto"/>
        <w:rPr>
          <w:rFonts w:eastAsia="华文中宋" w:cs="Times New Roman"/>
          <w:b/>
          <w:snapToGrid/>
          <w:color w:val="000000" w:themeColor="text1"/>
          <w:spacing w:val="2"/>
          <w:kern w:val="2"/>
          <w:sz w:val="21"/>
          <w:lang w:eastAsia="zh-CN"/>
          <w14:textFill>
            <w14:solidFill>
              <w14:schemeClr w14:val="tx1"/>
            </w14:solidFill>
          </w14:textFill>
        </w:rPr>
      </w:pPr>
      <w:r>
        <w:rPr>
          <w:rFonts w:eastAsia="黑体" w:cs="Times New Roman"/>
          <w:b/>
          <w:snapToGrid/>
          <w:color w:val="000000" w:themeColor="text1"/>
          <w:spacing w:val="2"/>
          <w:kern w:val="2"/>
          <w:sz w:val="21"/>
          <w:lang w:eastAsia="zh-CN"/>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margin">
                  <wp:posOffset>-59690</wp:posOffset>
                </wp:positionH>
                <wp:positionV relativeFrom="paragraph">
                  <wp:posOffset>111125</wp:posOffset>
                </wp:positionV>
                <wp:extent cx="5298440" cy="12065"/>
                <wp:effectExtent l="0" t="0" r="35560" b="26035"/>
                <wp:wrapNone/>
                <wp:docPr id="1727938416" name="直接连接符 1727938416"/>
                <wp:cNvGraphicFramePr/>
                <a:graphic xmlns:a="http://schemas.openxmlformats.org/drawingml/2006/main">
                  <a:graphicData uri="http://schemas.microsoft.com/office/word/2010/wordprocessingShape">
                    <wps:wsp>
                      <wps:cNvCnPr/>
                      <wps:spPr>
                        <a:xfrm>
                          <a:off x="0" y="0"/>
                          <a:ext cx="5298440"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7pt;margin-top:8.75pt;height:0.95pt;width:417.2pt;mso-position-horizontal-relative:margin;z-index:251664384;mso-width-relative:page;mso-height-relative:page;" filled="f" stroked="t" coordsize="21600,21600" o:gfxdata="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q4ontcAAAAIAQAADwAAAAAAAAABACAAAAAiAAAAZHJzL2Rvd25yZXYueG1sUEsBAhQAFAAA&#10;AAgAh07iQCMkEXHwAQAAyAMAAA4AAAAAAAAAAQAgAAAAJgEAAGRycy9lMm9Eb2MueG1sUEsFBgAA&#10;AAAGAAYAWQEAAIgFAAAAAA==&#10;">
                <v:fill on="f" focussize="0,0"/>
                <v:stroke weight="1pt" color="#000000 [3200]" miterlimit="8" joinstyle="miter"/>
                <v:imagedata o:title=""/>
                <o:lock v:ext="edit" aspectratio="f"/>
              </v:line>
            </w:pict>
          </mc:Fallback>
        </mc:AlternateContent>
      </w:r>
    </w:p>
    <w:p>
      <w:pPr>
        <w:ind w:firstLine="0" w:firstLineChars="0"/>
        <w:rPr>
          <w:rFonts w:eastAsia="华文中宋" w:cs="Times New Roman"/>
          <w:b/>
          <w:snapToGrid/>
          <w:color w:val="000000" w:themeColor="text1"/>
          <w:spacing w:val="2"/>
          <w:kern w:val="2"/>
          <w:sz w:val="21"/>
          <w:lang w:eastAsia="zh-CN"/>
          <w14:textFill>
            <w14:solidFill>
              <w14:schemeClr w14:val="tx1"/>
            </w14:solidFill>
          </w14:textFill>
        </w:rPr>
      </w:pPr>
      <w:r>
        <w:rPr>
          <w:rFonts w:eastAsia="华文中宋" w:cs="Times New Roman"/>
          <w:b/>
          <w:snapToGrid/>
          <w:color w:val="000000" w:themeColor="text1"/>
          <w:spacing w:val="2"/>
          <w:kern w:val="2"/>
          <w:sz w:val="21"/>
          <w:lang w:eastAsia="zh-CN"/>
          <w14:textFill>
            <w14:solidFill>
              <w14:schemeClr w14:val="tx1"/>
            </w14:solidFill>
          </w14:textFill>
        </w:rPr>
        <w:t>山东省城镇供排水协会    发 布</w:t>
      </w:r>
    </w:p>
    <w:p>
      <w:pPr>
        <w:ind w:firstLine="0" w:firstLineChars="0"/>
        <w:rPr>
          <w:rFonts w:eastAsia="华文中宋" w:cs="Times New Roman"/>
          <w:b/>
          <w:snapToGrid/>
          <w:color w:val="000000" w:themeColor="text1"/>
          <w:spacing w:val="2"/>
          <w:kern w:val="2"/>
          <w:sz w:val="21"/>
          <w:lang w:eastAsia="zh-CN"/>
          <w14:textFill>
            <w14:solidFill>
              <w14:schemeClr w14:val="tx1"/>
            </w14:solidFill>
          </w14:textFill>
        </w:rPr>
      </w:pPr>
    </w:p>
    <w:p>
      <w:pPr>
        <w:pStyle w:val="15"/>
        <w:ind w:firstLine="643"/>
        <w:rPr>
          <w:rFonts w:ascii="Times New Roman" w:hAnsi="Times New Roman" w:eastAsia="黑体" w:cs="Times New Roman"/>
          <w:color w:val="000000" w:themeColor="text1"/>
          <w:lang w:eastAsia="zh-CN"/>
          <w14:textFill>
            <w14:solidFill>
              <w14:schemeClr w14:val="tx1"/>
            </w14:solidFill>
          </w14:textFill>
        </w:rPr>
      </w:pPr>
      <w:bookmarkStart w:id="360" w:name="_Toc196750442"/>
      <w:bookmarkStart w:id="361" w:name="_Toc187611864"/>
      <w:bookmarkStart w:id="362" w:name="_Toc196377653"/>
      <w:bookmarkStart w:id="363" w:name="_Toc196295156"/>
      <w:bookmarkStart w:id="364" w:name="_Toc196915253"/>
      <w:r>
        <w:rPr>
          <w:rFonts w:ascii="Times New Roman" w:hAnsi="Times New Roman" w:eastAsia="黑体" w:cs="Times New Roman"/>
          <w:color w:val="000000" w:themeColor="text1"/>
          <w:lang w:eastAsia="zh-CN"/>
          <w14:textFill>
            <w14:solidFill>
              <w14:schemeClr w14:val="tx1"/>
            </w14:solidFill>
          </w14:textFill>
        </w:rPr>
        <w:t>1 总</w:t>
      </w:r>
      <w:r>
        <w:rPr>
          <w:rFonts w:hint="eastAsia" w:ascii="Times New Roman" w:hAnsi="Times New Roman" w:eastAsia="黑体" w:cs="Times New Roman"/>
          <w:color w:val="000000" w:themeColor="text1"/>
          <w:lang w:eastAsia="zh-CN"/>
          <w14:textFill>
            <w14:solidFill>
              <w14:schemeClr w14:val="tx1"/>
            </w14:solidFill>
          </w14:textFill>
        </w:rPr>
        <w:t xml:space="preserve"> </w:t>
      </w:r>
      <w:r>
        <w:rPr>
          <w:rFonts w:ascii="Times New Roman" w:hAnsi="Times New Roman" w:eastAsia="黑体" w:cs="Times New Roman"/>
          <w:color w:val="000000" w:themeColor="text1"/>
          <w:lang w:eastAsia="zh-CN"/>
          <w14:textFill>
            <w14:solidFill>
              <w14:schemeClr w14:val="tx1"/>
            </w14:solidFill>
          </w14:textFill>
        </w:rPr>
        <w:t>则</w:t>
      </w:r>
      <w:bookmarkEnd w:id="360"/>
      <w:bookmarkEnd w:id="361"/>
      <w:bookmarkEnd w:id="362"/>
      <w:bookmarkEnd w:id="363"/>
      <w:bookmarkEnd w:id="364"/>
    </w:p>
    <w:p>
      <w:pPr>
        <w:ind w:firstLine="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1.0.1</w:t>
      </w:r>
      <w:r>
        <w:rPr>
          <w:rFonts w:cs="Times New Roman" w:eastAsiaTheme="minorEastAsia"/>
          <w:color w:val="000000" w:themeColor="text1"/>
          <w:sz w:val="21"/>
          <w:lang w:eastAsia="zh-CN"/>
          <w14:textFill>
            <w14:solidFill>
              <w14:schemeClr w14:val="tx1"/>
            </w14:solidFill>
          </w14:textFill>
        </w:rPr>
        <w:t xml:space="preserve"> 排水管道及其他市政管线被称为城市的“生命线”，然而随着城市建设的发展，济南市排水管道即将面临老化严重、事故频发的问题。目前，济南市采用非开挖修复技术对排水管道进行修复的工程日趋增多保证修复工程的质量对于排水管道的安全运行显得尤为重要。虽然在</w:t>
      </w:r>
      <w:bookmarkStart w:id="365" w:name="_Hlk196920829"/>
      <w:r>
        <w:rPr>
          <w:rFonts w:cs="Times New Roman" w:eastAsiaTheme="minorEastAsia"/>
          <w:color w:val="000000" w:themeColor="text1"/>
          <w:sz w:val="21"/>
          <w:lang w:eastAsia="zh-CN"/>
          <w14:textFill>
            <w14:solidFill>
              <w14:schemeClr w14:val="tx1"/>
            </w14:solidFill>
          </w14:textFill>
        </w:rPr>
        <w:t>《城镇排水管道非开挖修复更新工程技术规程》CJJ/T 210中</w:t>
      </w:r>
      <w:bookmarkEnd w:id="365"/>
      <w:r>
        <w:rPr>
          <w:rFonts w:cs="Times New Roman" w:eastAsiaTheme="minorEastAsia"/>
          <w:color w:val="000000" w:themeColor="text1"/>
          <w:sz w:val="21"/>
          <w:lang w:eastAsia="zh-CN"/>
          <w14:textFill>
            <w14:solidFill>
              <w14:schemeClr w14:val="tx1"/>
            </w14:solidFill>
          </w14:textFill>
        </w:rPr>
        <w:t>提及了多种修复方法，有些不适应济南市的工况条件，有的在天津市应用不多，而有的济南应用成熟的工法行标没有纳入，本标准与行业标准CJJ/T 210对照表见表1。</w:t>
      </w:r>
    </w:p>
    <w:p>
      <w:pPr>
        <w:pStyle w:val="6"/>
        <w:ind w:firstLine="120"/>
        <w:jc w:val="center"/>
        <w:rPr>
          <w:rFonts w:ascii="Times New Roman" w:hAnsi="Times New Roman" w:cs="Times New Roman" w:eastAsiaTheme="majorEastAsia"/>
          <w:b/>
          <w:bCs/>
          <w:color w:val="000000" w:themeColor="text1"/>
          <w:sz w:val="21"/>
          <w:szCs w:val="21"/>
          <w14:textFill>
            <w14:solidFill>
              <w14:schemeClr w14:val="tx1"/>
            </w14:solidFill>
          </w14:textFill>
        </w:rPr>
      </w:pPr>
      <w:r>
        <w:rPr>
          <w:rFonts w:ascii="Times New Roman" w:hAnsi="Times New Roman" w:cs="Times New Roman" w:eastAsiaTheme="majorEastAsia"/>
          <w:b/>
          <w:bCs/>
          <w:color w:val="000000" w:themeColor="text1"/>
          <w:sz w:val="21"/>
          <w:szCs w:val="21"/>
          <w14:textFill>
            <w14:solidFill>
              <w14:schemeClr w14:val="tx1"/>
            </w14:solidFill>
          </w14:textFill>
        </w:rPr>
        <w:t xml:space="preserve">表 </w:t>
      </w:r>
      <w:r>
        <w:rPr>
          <w:rFonts w:ascii="Times New Roman" w:hAnsi="Times New Roman" w:cs="Times New Roman" w:eastAsiaTheme="majorEastAsia"/>
          <w:b/>
          <w:bCs/>
          <w:color w:val="000000" w:themeColor="text1"/>
          <w:sz w:val="21"/>
          <w:szCs w:val="21"/>
          <w14:textFill>
            <w14:solidFill>
              <w14:schemeClr w14:val="tx1"/>
            </w14:solidFill>
          </w14:textFill>
        </w:rPr>
        <w:fldChar w:fldCharType="begin"/>
      </w:r>
      <w:r>
        <w:rPr>
          <w:rFonts w:ascii="Times New Roman" w:hAnsi="Times New Roman" w:cs="Times New Roman" w:eastAsiaTheme="majorEastAsia"/>
          <w:b/>
          <w:bCs/>
          <w:color w:val="000000" w:themeColor="text1"/>
          <w:sz w:val="21"/>
          <w:szCs w:val="21"/>
          <w14:textFill>
            <w14:solidFill>
              <w14:schemeClr w14:val="tx1"/>
            </w14:solidFill>
          </w14:textFill>
        </w:rPr>
        <w:instrText xml:space="preserve"> SEQ 表 \* ARABIC </w:instrText>
      </w:r>
      <w:r>
        <w:rPr>
          <w:rFonts w:ascii="Times New Roman" w:hAnsi="Times New Roman" w:cs="Times New Roman" w:eastAsiaTheme="majorEastAsia"/>
          <w:b/>
          <w:bCs/>
          <w:color w:val="000000" w:themeColor="text1"/>
          <w:sz w:val="21"/>
          <w:szCs w:val="21"/>
          <w14:textFill>
            <w14:solidFill>
              <w14:schemeClr w14:val="tx1"/>
            </w14:solidFill>
          </w14:textFill>
        </w:rPr>
        <w:fldChar w:fldCharType="separate"/>
      </w:r>
      <w:r>
        <w:rPr>
          <w:rFonts w:ascii="Times New Roman" w:hAnsi="Times New Roman" w:cs="Times New Roman" w:eastAsiaTheme="majorEastAsia"/>
          <w:b/>
          <w:bCs/>
          <w:color w:val="000000" w:themeColor="text1"/>
          <w:sz w:val="21"/>
          <w:szCs w:val="21"/>
          <w14:textFill>
            <w14:solidFill>
              <w14:schemeClr w14:val="tx1"/>
            </w14:solidFill>
          </w14:textFill>
        </w:rPr>
        <w:t>1</w:t>
      </w:r>
      <w:r>
        <w:rPr>
          <w:rFonts w:ascii="Times New Roman" w:hAnsi="Times New Roman" w:cs="Times New Roman" w:eastAsiaTheme="majorEastAsia"/>
          <w:b/>
          <w:bCs/>
          <w:color w:val="000000" w:themeColor="text1"/>
          <w:sz w:val="21"/>
          <w:szCs w:val="21"/>
          <w14:textFill>
            <w14:solidFill>
              <w14:schemeClr w14:val="tx1"/>
            </w14:solidFill>
          </w14:textFill>
        </w:rPr>
        <w:fldChar w:fldCharType="end"/>
      </w:r>
      <w:r>
        <w:rPr>
          <w:rFonts w:ascii="Times New Roman" w:hAnsi="Times New Roman" w:cs="Times New Roman" w:eastAsiaTheme="majorEastAsia"/>
          <w:b/>
          <w:bCs/>
          <w:color w:val="000000" w:themeColor="text1"/>
          <w:sz w:val="21"/>
          <w:szCs w:val="21"/>
          <w14:textFill>
            <w14:solidFill>
              <w14:schemeClr w14:val="tx1"/>
            </w14:solidFill>
          </w14:textFill>
        </w:rPr>
        <w:t xml:space="preserve"> 本标准与行业标准CJJ/T 210 对照表</w:t>
      </w:r>
    </w:p>
    <w:tbl>
      <w:tblPr>
        <w:tblStyle w:val="17"/>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054"/>
        <w:gridCol w:w="1287"/>
        <w:gridCol w:w="759"/>
        <w:gridCol w:w="3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序号</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修复方法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行业标准CJJ/T 210</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本标准修改情况</w:t>
            </w:r>
          </w:p>
        </w:tc>
        <w:tc>
          <w:tcPr>
            <w:tcW w:w="3838" w:type="dxa"/>
            <w:vAlign w:val="center"/>
          </w:tcPr>
          <w:p>
            <w:pPr>
              <w:ind w:firstLine="0" w:firstLineChars="0"/>
              <w:jc w:val="center"/>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修改原因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无机防腐砂浆喷涂修复法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无</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新增</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根据本市工程实际应用情况新增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2</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液态聚合物模注法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无</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新增</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根据本市工程实际应用情况新增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3</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不锈钢双胀环法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无</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新增</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根据本市工程实际应用情况新增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4</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裂缝嵌补法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无</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新增</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根据本市工程实际应用情况新增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5</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注浆法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无</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新增</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根据本市工程实际应用情况新增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6</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紫外光原位固化法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拉入式原位固化</w:t>
            </w:r>
            <w:r>
              <w:rPr>
                <w:rFonts w:hint="eastAsia" w:cs="Times New Roman"/>
                <w:color w:val="000000" w:themeColor="text1"/>
                <w:sz w:val="21"/>
                <w:lang w:eastAsia="zh-CN"/>
                <w14:textFill>
                  <w14:solidFill>
                    <w14:schemeClr w14:val="tx1"/>
                  </w14:solidFill>
                </w14:textFill>
              </w:rPr>
              <w:t>修复</w:t>
            </w:r>
            <w:r>
              <w:rPr>
                <w:rFonts w:cs="Times New Roman"/>
                <w:color w:val="000000" w:themeColor="text1"/>
                <w:sz w:val="21"/>
                <w:lang w:eastAsia="zh-CN"/>
                <w14:textFill>
                  <w14:solidFill>
                    <w14:schemeClr w14:val="tx1"/>
                  </w14:solidFill>
                </w14:textFill>
              </w:rPr>
              <w:t>法</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细化</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 xml:space="preserve">根据本市工程实际应用情况，细化紫外光原位固化修复法的材料、施工、验收要求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7</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翻转式原位固化法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翻转式原位固化</w:t>
            </w:r>
            <w:r>
              <w:rPr>
                <w:rFonts w:hint="eastAsia" w:cs="Times New Roman"/>
                <w:color w:val="000000" w:themeColor="text1"/>
                <w:sz w:val="21"/>
                <w:lang w:eastAsia="zh-CN"/>
                <w14:textFill>
                  <w14:solidFill>
                    <w14:schemeClr w14:val="tx1"/>
                  </w14:solidFill>
                </w14:textFill>
              </w:rPr>
              <w:t>修复</w:t>
            </w:r>
            <w:r>
              <w:rPr>
                <w:rFonts w:cs="Times New Roman"/>
                <w:color w:val="000000" w:themeColor="text1"/>
                <w:sz w:val="21"/>
                <w:lang w:eastAsia="zh-CN"/>
                <w14:textFill>
                  <w14:solidFill>
                    <w14:schemeClr w14:val="tx1"/>
                  </w14:solidFill>
                </w14:textFill>
              </w:rPr>
              <w:t>法</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细化</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根据本市工程实际应用情况，结合《给水排水管道原位固化修复法修复工程技术规程》T/CECS 559、在编团体标准及其他城市地方标准进行补充深化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8</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原位热塑成型法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折叠内衬法</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细化</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根据本市工程实际应用情况，细化</w:t>
            </w:r>
            <w:r>
              <w:rPr>
                <w:rFonts w:hint="eastAsia" w:cs="Times New Roman"/>
                <w:color w:val="000000" w:themeColor="text1"/>
                <w:sz w:val="21"/>
                <w:lang w:eastAsia="zh-CN"/>
                <w14:textFill>
                  <w14:solidFill>
                    <w14:schemeClr w14:val="tx1"/>
                  </w14:solidFill>
                </w14:textFill>
              </w:rPr>
              <w:t>原位热塑成型法</w:t>
            </w:r>
            <w:r>
              <w:rPr>
                <w:rFonts w:cs="Times New Roman"/>
                <w:color w:val="000000" w:themeColor="text1"/>
                <w:sz w:val="21"/>
                <w:lang w:eastAsia="zh-CN"/>
                <w14:textFill>
                  <w14:solidFill>
                    <w14:schemeClr w14:val="tx1"/>
                  </w14:solidFill>
                </w14:textFill>
              </w:rPr>
              <w:t>的材料、施工、验收要求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9</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螺旋缠绕内衬法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机械制螺旋缠绕法</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bookmarkStart w:id="366" w:name="OLE_LINK119"/>
            <w:r>
              <w:rPr>
                <w:rFonts w:cs="Times New Roman"/>
                <w:color w:val="000000" w:themeColor="text1"/>
                <w:sz w:val="21"/>
                <w:lang w:eastAsia="zh-CN"/>
                <w14:textFill>
                  <w14:solidFill>
                    <w14:schemeClr w14:val="tx1"/>
                  </w14:solidFill>
                </w14:textFill>
              </w:rPr>
              <w:t>细化</w:t>
            </w:r>
            <w:bookmarkEnd w:id="366"/>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根据本市工程实际应用情况，细化钢带增强工艺螺旋缠绕内衬法的材料、施工、验收要求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10</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短管内衬法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穿插法</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细化</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bookmarkStart w:id="367" w:name="OLE_LINK122"/>
            <w:r>
              <w:rPr>
                <w:rFonts w:cs="Times New Roman"/>
                <w:color w:val="000000" w:themeColor="text1"/>
                <w:sz w:val="21"/>
                <w:lang w:eastAsia="zh-CN"/>
                <w14:textFill>
                  <w14:solidFill>
                    <w14:schemeClr w14:val="tx1"/>
                  </w14:solidFill>
                </w14:textFill>
              </w:rPr>
              <w:t>根据本市工程实际应用情况，细化短管内衬法的材料、施工、验收要求</w:t>
            </w:r>
            <w:bookmarkEnd w:id="3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11</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碎裂管法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碎（裂）管法</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细化</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根据本市工程实际应用情况，细化碎裂管法的材料、施工、验收要求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12</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点状原位固化修复法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点状原位固化修复法</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bookmarkStart w:id="368" w:name="OLE_LINK106"/>
            <w:r>
              <w:rPr>
                <w:rFonts w:hint="eastAsia" w:cs="Times New Roman"/>
                <w:color w:val="000000" w:themeColor="text1"/>
                <w:sz w:val="21"/>
                <w:lang w:eastAsia="zh-CN"/>
                <w14:textFill>
                  <w14:solidFill>
                    <w14:schemeClr w14:val="tx1"/>
                  </w14:solidFill>
                </w14:textFill>
              </w:rPr>
              <w:t>取消</w:t>
            </w:r>
            <w:bookmarkEnd w:id="368"/>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在济南应用很少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13</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管片拼装内衬修复法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管片内衬法</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取消</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在济南应用很少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14</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不锈钢内衬修复法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管片内衬法</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取消</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在</w:t>
            </w:r>
            <w:r>
              <w:rPr>
                <w:rFonts w:cs="Times New Roman" w:eastAsiaTheme="minorEastAsia"/>
                <w:color w:val="000000" w:themeColor="text1"/>
                <w:sz w:val="21"/>
                <w:lang w:eastAsia="zh-CN"/>
                <w14:textFill>
                  <w14:solidFill>
                    <w14:schemeClr w14:val="tx1"/>
                  </w14:solidFill>
                </w14:textFill>
              </w:rPr>
              <w:t>济南</w:t>
            </w:r>
            <w:r>
              <w:rPr>
                <w:rFonts w:cs="Times New Roman"/>
                <w:color w:val="000000" w:themeColor="text1"/>
                <w:sz w:val="21"/>
                <w:lang w:eastAsia="zh-CN"/>
                <w14:textFill>
                  <w14:solidFill>
                    <w14:schemeClr w14:val="tx1"/>
                  </w14:solidFill>
                </w14:textFill>
              </w:rPr>
              <w:t>应用很少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5</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缩径内衬修复法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缩径内衬法</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取消</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bookmarkStart w:id="369" w:name="OLE_LINK124"/>
            <w:r>
              <w:rPr>
                <w:rFonts w:cs="Times New Roman"/>
                <w:color w:val="000000" w:themeColor="text1"/>
                <w:sz w:val="21"/>
                <w:lang w:eastAsia="zh-CN"/>
                <w14:textFill>
                  <w14:solidFill>
                    <w14:schemeClr w14:val="tx1"/>
                  </w14:solidFill>
                </w14:textFill>
              </w:rPr>
              <w:t>在</w:t>
            </w:r>
            <w:r>
              <w:rPr>
                <w:rFonts w:cs="Times New Roman" w:eastAsiaTheme="minorEastAsia"/>
                <w:color w:val="000000" w:themeColor="text1"/>
                <w:sz w:val="21"/>
                <w:lang w:eastAsia="zh-CN"/>
                <w14:textFill>
                  <w14:solidFill>
                    <w14:schemeClr w14:val="tx1"/>
                  </w14:solidFill>
                </w14:textFill>
              </w:rPr>
              <w:t>济南</w:t>
            </w:r>
            <w:r>
              <w:rPr>
                <w:rFonts w:cs="Times New Roman"/>
                <w:color w:val="000000" w:themeColor="text1"/>
                <w:sz w:val="21"/>
                <w:lang w:eastAsia="zh-CN"/>
                <w14:textFill>
                  <w14:solidFill>
                    <w14:schemeClr w14:val="tx1"/>
                  </w14:solidFill>
                </w14:textFill>
              </w:rPr>
              <w:t>应用很少</w:t>
            </w:r>
            <w:bookmarkEnd w:id="3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1</w:t>
            </w:r>
            <w:r>
              <w:rPr>
                <w:rFonts w:hint="eastAsia" w:cs="Times New Roman"/>
                <w:color w:val="000000" w:themeColor="text1"/>
                <w:sz w:val="21"/>
                <w:lang w:eastAsia="zh-CN"/>
                <w14:textFill>
                  <w14:solidFill>
                    <w14:schemeClr w14:val="tx1"/>
                  </w14:solidFill>
                </w14:textFill>
              </w:rPr>
              <w:t>6</w:t>
            </w:r>
          </w:p>
        </w:tc>
        <w:tc>
          <w:tcPr>
            <w:tcW w:w="2054"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不锈钢套筒法</w:t>
            </w:r>
          </w:p>
        </w:tc>
        <w:tc>
          <w:tcPr>
            <w:tcW w:w="1287"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不锈钢套筒法</w:t>
            </w:r>
          </w:p>
        </w:tc>
        <w:tc>
          <w:tcPr>
            <w:tcW w:w="759" w:type="dxa"/>
            <w:vAlign w:val="center"/>
          </w:tcPr>
          <w:p>
            <w:pPr>
              <w:ind w:firstLine="0" w:firstLineChars="0"/>
              <w:rPr>
                <w:rFonts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取消</w:t>
            </w:r>
          </w:p>
        </w:tc>
        <w:tc>
          <w:tcPr>
            <w:tcW w:w="3838" w:type="dxa"/>
            <w:vAlign w:val="center"/>
          </w:tcPr>
          <w:p>
            <w:pPr>
              <w:ind w:firstLine="0" w:firstLineChars="0"/>
              <w:rPr>
                <w:rFonts w:cs="Times New Roman"/>
                <w:color w:val="000000" w:themeColor="text1"/>
                <w:sz w:val="21"/>
                <w:lang w:eastAsia="zh-CN"/>
                <w14:textFill>
                  <w14:solidFill>
                    <w14:schemeClr w14:val="tx1"/>
                  </w14:solidFill>
                </w14:textFill>
              </w:rPr>
            </w:pPr>
            <w:r>
              <w:rPr>
                <w:rFonts w:cs="Times New Roman"/>
                <w:color w:val="000000" w:themeColor="text1"/>
                <w:sz w:val="21"/>
                <w:lang w:eastAsia="zh-CN"/>
                <w14:textFill>
                  <w14:solidFill>
                    <w14:schemeClr w14:val="tx1"/>
                  </w14:solidFill>
                </w14:textFill>
              </w:rPr>
              <w:t>施工质量难以控制</w:t>
            </w:r>
          </w:p>
        </w:tc>
      </w:tr>
    </w:tbl>
    <w:p>
      <w:pPr>
        <w:ind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 xml:space="preserve">1.0.2 </w:t>
      </w:r>
      <w:r>
        <w:rPr>
          <w:rFonts w:cs="Times New Roman" w:eastAsiaTheme="minorEastAsia"/>
          <w:color w:val="000000" w:themeColor="text1"/>
          <w:sz w:val="21"/>
          <w:lang w:eastAsia="zh-CN"/>
          <w14:textFill>
            <w14:solidFill>
              <w14:schemeClr w14:val="tx1"/>
            </w14:solidFill>
          </w14:textFill>
        </w:rPr>
        <w:t>本标准中的排水管道是指收集、输送污水或雨水的管道和检查井，包括压力等级不大于0.1 MPa 的压力输送污水或雨水管道，管道断面形式包括圆形、矩形、拱形等。对于内压超过0.1 MPa 的排水管道，应参照有关压力管道规范进行设计、施工及验收。</w:t>
      </w:r>
    </w:p>
    <w:p>
      <w:pPr>
        <w:ind w:firstLine="420" w:firstLineChars="0"/>
        <w:rPr>
          <w:rFonts w:cs="Times New Roman"/>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 xml:space="preserve">1.0.3 </w:t>
      </w:r>
      <w:r>
        <w:rPr>
          <w:rFonts w:cs="Times New Roman" w:eastAsiaTheme="minorEastAsia"/>
          <w:color w:val="000000" w:themeColor="text1"/>
          <w:sz w:val="21"/>
          <w:lang w:eastAsia="zh-CN"/>
          <w14:textFill>
            <w14:solidFill>
              <w14:schemeClr w14:val="tx1"/>
            </w14:solidFill>
          </w14:textFill>
        </w:rPr>
        <w:t>本标准设计、施工和验收应按照《室外排水设计规范》GB50014、《城镇排水管道非开挖修复更新工程技术规程》CJJ/T 210、《城镇排水管道检测与评估技术规程》CJJ181、《排水管道电视和声纳检测评估技术规程》DB31/T 444、《给排水管道工程施工及验收规范》GB50268及《给水排水工程管道结构设计规范》GB50332等标准的有关规定执行。</w:t>
      </w:r>
    </w:p>
    <w:p>
      <w:pPr>
        <w:ind w:firstLine="482"/>
        <w:rPr>
          <w:rFonts w:cs="Times New Roman"/>
          <w:b/>
          <w:bCs/>
          <w:color w:val="000000" w:themeColor="text1"/>
          <w:lang w:eastAsia="zh-CN"/>
          <w14:textFill>
            <w14:solidFill>
              <w14:schemeClr w14:val="tx1"/>
            </w14:solidFill>
          </w14:textFill>
        </w:rPr>
      </w:pPr>
    </w:p>
    <w:p>
      <w:pPr>
        <w:kinsoku/>
        <w:autoSpaceDE/>
        <w:autoSpaceDN/>
        <w:adjustRightInd/>
        <w:snapToGrid/>
        <w:spacing w:line="240" w:lineRule="auto"/>
        <w:ind w:firstLine="482"/>
        <w:jc w:val="left"/>
        <w:textAlignment w:val="auto"/>
        <w:rPr>
          <w:rFonts w:cs="Times New Roman"/>
          <w:b/>
          <w:bCs/>
          <w:color w:val="000000" w:themeColor="text1"/>
          <w:lang w:eastAsia="zh-CN"/>
          <w14:textFill>
            <w14:solidFill>
              <w14:schemeClr w14:val="tx1"/>
            </w14:solidFill>
          </w14:textFill>
        </w:rPr>
      </w:pPr>
      <w:r>
        <w:rPr>
          <w:rFonts w:cs="Times New Roman"/>
          <w:b/>
          <w:bCs/>
          <w:color w:val="000000" w:themeColor="text1"/>
          <w:lang w:eastAsia="zh-CN"/>
          <w14:textFill>
            <w14:solidFill>
              <w14:schemeClr w14:val="tx1"/>
            </w14:solidFill>
          </w14:textFill>
        </w:rPr>
        <w:br w:type="page"/>
      </w:r>
    </w:p>
    <w:p>
      <w:pPr>
        <w:pStyle w:val="15"/>
        <w:ind w:firstLine="643"/>
        <w:rPr>
          <w:rFonts w:ascii="Times New Roman" w:hAnsi="Times New Roman" w:eastAsia="黑体" w:cs="Times New Roman"/>
          <w:color w:val="000000" w:themeColor="text1"/>
          <w:lang w:eastAsia="zh-CN"/>
          <w14:textFill>
            <w14:solidFill>
              <w14:schemeClr w14:val="tx1"/>
            </w14:solidFill>
          </w14:textFill>
        </w:rPr>
      </w:pPr>
      <w:bookmarkStart w:id="370" w:name="_Toc196295157"/>
      <w:bookmarkStart w:id="371" w:name="_Toc187611865"/>
      <w:bookmarkStart w:id="372" w:name="_Toc196750443"/>
      <w:bookmarkStart w:id="373" w:name="_Toc196915254"/>
      <w:bookmarkStart w:id="374" w:name="_Toc196377654"/>
      <w:r>
        <w:rPr>
          <w:rFonts w:ascii="Times New Roman" w:hAnsi="Times New Roman" w:eastAsia="黑体" w:cs="Times New Roman"/>
          <w:color w:val="000000" w:themeColor="text1"/>
          <w:lang w:eastAsia="zh-CN"/>
          <w14:textFill>
            <w14:solidFill>
              <w14:schemeClr w14:val="tx1"/>
            </w14:solidFill>
          </w14:textFill>
        </w:rPr>
        <w:t>2 术语和符号</w:t>
      </w:r>
      <w:bookmarkEnd w:id="370"/>
      <w:bookmarkEnd w:id="371"/>
      <w:bookmarkEnd w:id="372"/>
      <w:bookmarkEnd w:id="373"/>
      <w:bookmarkEnd w:id="374"/>
    </w:p>
    <w:p>
      <w:pPr>
        <w:ind w:firstLine="560"/>
        <w:jc w:val="center"/>
        <w:rPr>
          <w:rFonts w:eastAsia="黑体" w:cs="Times New Roman"/>
          <w:color w:val="000000" w:themeColor="text1"/>
          <w:sz w:val="28"/>
          <w:szCs w:val="28"/>
          <w:lang w:eastAsia="zh-CN"/>
          <w14:textFill>
            <w14:solidFill>
              <w14:schemeClr w14:val="tx1"/>
            </w14:solidFill>
          </w14:textFill>
        </w:rPr>
      </w:pPr>
      <w:bookmarkStart w:id="375" w:name="_Toc187611866"/>
      <w:r>
        <w:rPr>
          <w:rFonts w:eastAsia="黑体" w:cs="Times New Roman"/>
          <w:color w:val="000000" w:themeColor="text1"/>
          <w:sz w:val="28"/>
          <w:szCs w:val="28"/>
          <w:lang w:eastAsia="zh-CN"/>
          <w14:textFill>
            <w14:solidFill>
              <w14:schemeClr w14:val="tx1"/>
            </w14:solidFill>
          </w14:textFill>
        </w:rPr>
        <w:t>2.1 术语</w:t>
      </w:r>
      <w:bookmarkEnd w:id="375"/>
    </w:p>
    <w:p>
      <w:pPr>
        <w:ind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 xml:space="preserve">2.1.1 </w:t>
      </w:r>
      <w:r>
        <w:rPr>
          <w:rFonts w:cs="Times New Roman" w:eastAsiaTheme="minorEastAsia"/>
          <w:color w:val="000000" w:themeColor="text1"/>
          <w:sz w:val="21"/>
          <w:lang w:eastAsia="zh-CN"/>
          <w14:textFill>
            <w14:solidFill>
              <w14:schemeClr w14:val="tx1"/>
            </w14:solidFill>
          </w14:textFill>
        </w:rPr>
        <w:t>排水管道系统包括排水管道及检查井等附属构筑物。</w:t>
      </w:r>
    </w:p>
    <w:p>
      <w:pPr>
        <w:ind w:firstLine="420" w:firstLineChars="0"/>
        <w:rPr>
          <w:lang w:eastAsia="zh-CN"/>
        </w:rPr>
      </w:pPr>
      <w:r>
        <w:rPr>
          <w:rFonts w:cs="Times New Roman" w:eastAsiaTheme="minorEastAsia"/>
          <w:b/>
          <w:bCs/>
          <w:color w:val="000000" w:themeColor="text1"/>
          <w:sz w:val="21"/>
          <w:lang w:eastAsia="zh-CN"/>
          <w14:textFill>
            <w14:solidFill>
              <w14:schemeClr w14:val="tx1"/>
            </w14:solidFill>
          </w14:textFill>
        </w:rPr>
        <w:t xml:space="preserve">2.1.2 </w:t>
      </w:r>
      <w:r>
        <w:rPr>
          <w:rFonts w:cs="Times New Roman" w:eastAsiaTheme="minorEastAsia"/>
          <w:color w:val="000000" w:themeColor="text1"/>
          <w:sz w:val="21"/>
          <w:lang w:eastAsia="zh-CN"/>
          <w14:textFill>
            <w14:solidFill>
              <w14:schemeClr w14:val="tx1"/>
            </w14:solidFill>
          </w14:textFill>
        </w:rPr>
        <w:t>本标准规定的非开挖修复方法分为整体修复、局部修复。整体修复主要包括</w:t>
      </w:r>
      <w:r>
        <w:rPr>
          <w:rFonts w:hint="eastAsia" w:cs="Times New Roman" w:eastAsiaTheme="minorEastAsia"/>
          <w:color w:val="000000" w:themeColor="text1"/>
          <w:sz w:val="21"/>
          <w:lang w:eastAsia="zh-CN"/>
          <w14:textFill>
            <w14:solidFill>
              <w14:schemeClr w14:val="tx1"/>
            </w14:solidFill>
          </w14:textFill>
        </w:rPr>
        <w:t>紫外光原位固化法、翻转式原位固化法、原位热塑成型法、螺旋缠绕内衬法、短管内衬法</w:t>
      </w:r>
      <w:r>
        <w:rPr>
          <w:rFonts w:hint="eastAsia"/>
          <w:lang w:eastAsia="zh-CN"/>
        </w:rPr>
        <w:t>、</w:t>
      </w:r>
      <w:r>
        <w:rPr>
          <w:rFonts w:hint="eastAsia" w:cs="Times New Roman" w:eastAsiaTheme="minorEastAsia"/>
          <w:color w:val="000000" w:themeColor="text1"/>
          <w:sz w:val="21"/>
          <w:lang w:eastAsia="zh-CN"/>
          <w14:textFill>
            <w14:solidFill>
              <w14:schemeClr w14:val="tx1"/>
            </w14:solidFill>
          </w14:textFill>
        </w:rPr>
        <w:t>喷涂法、碎裂管法</w:t>
      </w:r>
      <w:r>
        <w:rPr>
          <w:rFonts w:hint="eastAsia"/>
          <w:lang w:eastAsia="zh-CN"/>
        </w:rPr>
        <w:t>。</w:t>
      </w:r>
    </w:p>
    <w:p>
      <w:pPr>
        <w:ind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 xml:space="preserve">2.1.3 </w:t>
      </w:r>
      <w:r>
        <w:rPr>
          <w:rFonts w:cs="Times New Roman" w:eastAsiaTheme="minorEastAsia"/>
          <w:color w:val="000000" w:themeColor="text1"/>
          <w:sz w:val="21"/>
          <w:lang w:eastAsia="zh-CN"/>
          <w14:textFill>
            <w14:solidFill>
              <w14:schemeClr w14:val="tx1"/>
            </w14:solidFill>
          </w14:textFill>
        </w:rPr>
        <w:t>本标准局部修复主要包括</w:t>
      </w:r>
      <w:r>
        <w:rPr>
          <w:rFonts w:hint="eastAsia" w:cs="Times New Roman" w:eastAsiaTheme="minorEastAsia"/>
          <w:color w:val="000000" w:themeColor="text1"/>
          <w:sz w:val="21"/>
          <w:lang w:eastAsia="zh-CN"/>
          <w14:textFill>
            <w14:solidFill>
              <w14:schemeClr w14:val="tx1"/>
            </w14:solidFill>
          </w14:textFill>
        </w:rPr>
        <w:t>不锈钢快速锁法</w:t>
      </w:r>
      <w:r>
        <w:rPr>
          <w:rFonts w:cs="Times New Roman" w:eastAsiaTheme="minorEastAsia"/>
          <w:color w:val="000000" w:themeColor="text1"/>
          <w:sz w:val="21"/>
          <w:lang w:eastAsia="zh-CN"/>
          <w14:textFill>
            <w14:solidFill>
              <w14:schemeClr w14:val="tx1"/>
            </w14:solidFill>
          </w14:textFill>
        </w:rPr>
        <w:t>和不锈钢双胀环法。</w:t>
      </w:r>
    </w:p>
    <w:p>
      <w:pPr>
        <w:kinsoku/>
        <w:autoSpaceDE/>
        <w:autoSpaceDN/>
        <w:adjustRightInd/>
        <w:snapToGrid/>
        <w:spacing w:line="240" w:lineRule="auto"/>
        <w:ind w:firstLine="0" w:firstLineChars="0"/>
        <w:jc w:val="left"/>
        <w:textAlignment w:val="auto"/>
        <w:rPr>
          <w:rFonts w:cs="Times New Roman"/>
          <w:color w:val="000000" w:themeColor="text1"/>
          <w:lang w:eastAsia="zh-CN"/>
          <w14:textFill>
            <w14:solidFill>
              <w14:schemeClr w14:val="tx1"/>
            </w14:solidFill>
          </w14:textFill>
        </w:rPr>
      </w:pPr>
      <w:r>
        <w:rPr>
          <w:rFonts w:cs="Times New Roman"/>
          <w:color w:val="000000" w:themeColor="text1"/>
          <w:lang w:eastAsia="zh-CN"/>
          <w14:textFill>
            <w14:solidFill>
              <w14:schemeClr w14:val="tx1"/>
            </w14:solidFill>
          </w14:textFill>
        </w:rPr>
        <w:br w:type="page"/>
      </w:r>
    </w:p>
    <w:p>
      <w:pPr>
        <w:pStyle w:val="15"/>
        <w:ind w:firstLine="643"/>
        <w:rPr>
          <w:rFonts w:ascii="Times New Roman" w:hAnsi="Times New Roman" w:eastAsia="黑体" w:cs="Times New Roman"/>
          <w:color w:val="000000" w:themeColor="text1"/>
          <w:lang w:eastAsia="zh-CN"/>
          <w14:textFill>
            <w14:solidFill>
              <w14:schemeClr w14:val="tx1"/>
            </w14:solidFill>
          </w14:textFill>
        </w:rPr>
      </w:pPr>
      <w:bookmarkStart w:id="376" w:name="_Toc187611867"/>
      <w:bookmarkStart w:id="377" w:name="_Toc196377655"/>
      <w:bookmarkStart w:id="378" w:name="_Toc196750444"/>
      <w:bookmarkStart w:id="379" w:name="_Toc196915255"/>
      <w:bookmarkStart w:id="380" w:name="_Toc196295158"/>
      <w:r>
        <w:rPr>
          <w:rFonts w:ascii="Times New Roman" w:hAnsi="Times New Roman" w:eastAsia="黑体" w:cs="Times New Roman"/>
          <w:color w:val="000000" w:themeColor="text1"/>
          <w:lang w:eastAsia="zh-CN"/>
          <w14:textFill>
            <w14:solidFill>
              <w14:schemeClr w14:val="tx1"/>
            </w14:solidFill>
          </w14:textFill>
        </w:rPr>
        <w:t>3 设</w:t>
      </w:r>
      <w:r>
        <w:rPr>
          <w:rFonts w:hint="eastAsia" w:ascii="Times New Roman" w:hAnsi="Times New Roman" w:eastAsia="黑体" w:cs="Times New Roman"/>
          <w:color w:val="000000" w:themeColor="text1"/>
          <w:lang w:eastAsia="zh-CN"/>
          <w14:textFill>
            <w14:solidFill>
              <w14:schemeClr w14:val="tx1"/>
            </w14:solidFill>
          </w14:textFill>
        </w:rPr>
        <w:t xml:space="preserve"> </w:t>
      </w:r>
      <w:r>
        <w:rPr>
          <w:rFonts w:ascii="Times New Roman" w:hAnsi="Times New Roman" w:eastAsia="黑体" w:cs="Times New Roman"/>
          <w:color w:val="000000" w:themeColor="text1"/>
          <w:lang w:eastAsia="zh-CN"/>
          <w14:textFill>
            <w14:solidFill>
              <w14:schemeClr w14:val="tx1"/>
            </w14:solidFill>
          </w14:textFill>
        </w:rPr>
        <w:t>计</w:t>
      </w:r>
      <w:bookmarkEnd w:id="376"/>
      <w:bookmarkEnd w:id="377"/>
      <w:bookmarkEnd w:id="378"/>
      <w:bookmarkEnd w:id="379"/>
      <w:bookmarkEnd w:id="380"/>
    </w:p>
    <w:p>
      <w:pPr>
        <w:pStyle w:val="3"/>
        <w:ind w:firstLine="560"/>
      </w:pPr>
      <w:bookmarkStart w:id="381" w:name="_Toc187611868"/>
      <w:r>
        <w:t>3.1 一般规定</w:t>
      </w:r>
      <w:bookmarkEnd w:id="381"/>
    </w:p>
    <w:p>
      <w:pPr>
        <w:ind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 xml:space="preserve">3.1.4 </w:t>
      </w:r>
      <w:r>
        <w:rPr>
          <w:rFonts w:cs="Times New Roman" w:eastAsiaTheme="minorEastAsia"/>
          <w:color w:val="000000" w:themeColor="text1"/>
          <w:sz w:val="21"/>
          <w:lang w:eastAsia="zh-CN"/>
          <w14:textFill>
            <w14:solidFill>
              <w14:schemeClr w14:val="tx1"/>
            </w14:solidFill>
          </w14:textFill>
        </w:rPr>
        <w:t>本条规定了修复工程的设计原则，原有管道地基承载力不满足要求主要是指管道地基失稳或发生不均匀沉降的情况。</w:t>
      </w:r>
    </w:p>
    <w:p>
      <w:pPr>
        <w:pStyle w:val="3"/>
        <w:ind w:firstLine="560"/>
      </w:pPr>
      <w:r>
        <w:t>3.2 修复方法选择</w:t>
      </w:r>
    </w:p>
    <w:p>
      <w:pPr>
        <w:ind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3.2.</w:t>
      </w:r>
      <w:r>
        <w:rPr>
          <w:rFonts w:hint="eastAsia" w:cs="Times New Roman" w:eastAsiaTheme="minorEastAsia"/>
          <w:b/>
          <w:bCs/>
          <w:color w:val="000000" w:themeColor="text1"/>
          <w:sz w:val="21"/>
          <w:lang w:eastAsia="zh-CN"/>
          <w14:textFill>
            <w14:solidFill>
              <w14:schemeClr w14:val="tx1"/>
            </w14:solidFill>
          </w14:textFill>
        </w:rPr>
        <w:t>2</w:t>
      </w:r>
      <w:r>
        <w:rPr>
          <w:rFonts w:cs="Times New Roman" w:eastAsiaTheme="minorEastAsia"/>
          <w:b/>
          <w:bCs/>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裂缝嵌补法现主要用于管道渗漏、接口轻微脱节等缺陷管内注浆法是在管预处理。注浆法主要用于土体加固和止水。管道内部直接向裂缝或接口部位钻孔注浆来防止管道渗漏，管外注浆法是在地面钻孔至管道周边进行注浆，形成管道外侧隔水。</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3.2.3</w:t>
      </w:r>
      <w:r>
        <w:rPr>
          <w:rFonts w:hint="eastAsia" w:cs="Times New Roman" w:eastAsiaTheme="minorEastAsia"/>
          <w:color w:val="000000" w:themeColor="text1"/>
          <w:sz w:val="21"/>
          <w:lang w:eastAsia="zh-CN"/>
          <w14:textFill>
            <w14:solidFill>
              <w14:schemeClr w14:val="tx1"/>
            </w14:solidFill>
          </w14:textFill>
        </w:rPr>
        <w:t xml:space="preserve"> 各类非开挖修复技术均在一定条件下可使用，应根据修屏障。复后管道的流量、强度及现状管道的损坏情况进行选择。</w:t>
      </w:r>
    </w:p>
    <w:p>
      <w:pPr>
        <w:pStyle w:val="3"/>
        <w:ind w:firstLine="560"/>
      </w:pPr>
      <w:r>
        <w:t>3.</w:t>
      </w:r>
      <w:r>
        <w:rPr>
          <w:rFonts w:hint="eastAsia"/>
        </w:rPr>
        <w:t>3</w:t>
      </w:r>
      <w:r>
        <w:t xml:space="preserve"> </w:t>
      </w:r>
      <w:r>
        <w:rPr>
          <w:rFonts w:hint="eastAsia"/>
        </w:rPr>
        <w:t>内衬管壁厚</w:t>
      </w:r>
      <w:r>
        <w:t>设计</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3.3.1</w:t>
      </w:r>
      <w:r>
        <w:rPr>
          <w:rFonts w:hint="eastAsia" w:cs="Times New Roman" w:eastAsiaTheme="minorEastAsia"/>
          <w:color w:val="000000" w:themeColor="text1"/>
          <w:sz w:val="21"/>
          <w:lang w:eastAsia="zh-CN"/>
          <w14:textFill>
            <w14:solidFill>
              <w14:schemeClr w14:val="tx1"/>
            </w14:solidFill>
          </w14:textFill>
        </w:rPr>
        <w:t xml:space="preserve"> 非开挖修复中的内衬管与新建埋地管道受力的区别是很大的，修复后内衬管主要由原有管道与周围土体进行支撑，其变形可认为非常微小；若在长期、足够的压力作用下，内衬管可能会发生变形，继而发生严重的屈曲破坏。因此，非开挖修复柔性内衬管的设计采用屈曲破坏准则。第Ⅱ类内衬修复的设计们Timoshenko等人的屈曲理论为基础，考虑到长期蠕变效应Timoshenko屈曲方程中的弹性模量改为长期弹性模量，另外考虑了安全系数和椭圆度的影响。</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color w:val="000000" w:themeColor="text1"/>
          <w:sz w:val="21"/>
          <w:lang w:eastAsia="zh-CN"/>
          <w14:textFill>
            <w14:solidFill>
              <w14:schemeClr w14:val="tx1"/>
            </w14:solidFill>
          </w14:textFill>
        </w:rPr>
        <w:t>当采用第Ⅱ类内衬修复方法时，</w:t>
      </w:r>
      <w:bookmarkStart w:id="382" w:name="OLE_LINK100"/>
      <w:r>
        <w:rPr>
          <w:rFonts w:hint="eastAsia" w:cs="Times New Roman" w:eastAsiaTheme="minorEastAsia"/>
          <w:color w:val="000000" w:themeColor="text1"/>
          <w:sz w:val="21"/>
          <w:lang w:eastAsia="zh-CN"/>
          <w14:textFill>
            <w14:solidFill>
              <w14:schemeClr w14:val="tx1"/>
            </w14:solidFill>
          </w14:textFill>
        </w:rPr>
        <w:t>紫外光原位固化法、翻转式原位固化法及原位热塑成型法内衬管</w:t>
      </w:r>
      <w:bookmarkEnd w:id="382"/>
      <w:r>
        <w:rPr>
          <w:rFonts w:hint="eastAsia" w:cs="Times New Roman" w:eastAsiaTheme="minorEastAsia"/>
          <w:color w:val="000000" w:themeColor="text1"/>
          <w:sz w:val="21"/>
          <w:lang w:eastAsia="zh-CN"/>
          <w14:textFill>
            <w14:solidFill>
              <w14:schemeClr w14:val="tx1"/>
            </w14:solidFill>
          </w14:textFill>
        </w:rPr>
        <w:t>壁厚t采用式（3.3.1-1）进行计算；短管内衬法及螺旋缠绕内衬法采用公式（3.3.1-2）进行刚度验算。</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color w:val="000000" w:themeColor="text1"/>
          <w:sz w:val="21"/>
          <w:lang w:eastAsia="zh-CN"/>
          <w14:textFill>
            <w14:solidFill>
              <w14:schemeClr w14:val="tx1"/>
            </w14:solidFill>
          </w14:textFill>
        </w:rPr>
        <w:t>关于管道椭圆度，考虑非开挖工艺的不同，当采用</w:t>
      </w:r>
      <w:bookmarkStart w:id="383" w:name="OLE_LINK105"/>
      <w:r>
        <w:rPr>
          <w:rFonts w:hint="eastAsia" w:cs="Times New Roman" w:eastAsiaTheme="minorEastAsia"/>
          <w:color w:val="000000" w:themeColor="text1"/>
          <w:sz w:val="21"/>
          <w:lang w:eastAsia="zh-CN"/>
          <w14:textFill>
            <w14:solidFill>
              <w14:schemeClr w14:val="tx1"/>
            </w14:solidFill>
          </w14:textFill>
        </w:rPr>
        <w:t>紫外光原位固化法、翻转式原位固化法及原位热塑成型法</w:t>
      </w:r>
      <w:bookmarkEnd w:id="383"/>
      <w:r>
        <w:rPr>
          <w:rFonts w:hint="eastAsia" w:cs="Times New Roman" w:eastAsiaTheme="minorEastAsia"/>
          <w:color w:val="000000" w:themeColor="text1"/>
          <w:sz w:val="21"/>
          <w:lang w:eastAsia="zh-CN"/>
          <w14:textFill>
            <w14:solidFill>
              <w14:schemeClr w14:val="tx1"/>
            </w14:solidFill>
          </w14:textFill>
        </w:rPr>
        <w:t>时，内衬管和原有管道紧密贴合，内衬管道的椭圆度采用原有管道椭圆度的实测值，当无实测值时，可按2%取值；当采用短管内衬法时，内衬管和原有管道间存有空隙，内衬管道的椭圆度采用内衬管道允许椭圆度，即2%。</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color w:val="000000" w:themeColor="text1"/>
          <w:sz w:val="21"/>
          <w:lang w:eastAsia="zh-CN"/>
          <w14:textFill>
            <w14:solidFill>
              <w14:schemeClr w14:val="tx1"/>
            </w14:solidFill>
          </w14:textFill>
        </w:rPr>
        <w:t>内衬管长期力学性能的取值，美国ASTM标准中规定应咨询各制造商，通过试验确定。德国标准中则是通过对样品内衬管的顶压试验，在一定形变情况下保持10000h的试验，最后确定其长期性能。工程实际中，紫外光原位固化法、翻转式原位固化法及原位热塑成型法长期性能一般取初始性能的一半，短管内衬法的长期力学性能由产品制造商提供。</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color w:val="000000" w:themeColor="text1"/>
          <w:sz w:val="21"/>
          <w:lang w:eastAsia="zh-CN"/>
          <w14:textFill>
            <w14:solidFill>
              <w14:schemeClr w14:val="tx1"/>
            </w14:solidFill>
          </w14:textFill>
        </w:rPr>
        <w:t>内衬管刚度折减系数的取值需考虑内衬拼装方法、待修复管道管径、埋深和原有管道承载能力等因素，短管内衬法一般取 1.0。</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3.3.2</w:t>
      </w:r>
      <w:r>
        <w:rPr>
          <w:rFonts w:hint="eastAsia" w:cs="Times New Roman" w:eastAsiaTheme="minorEastAsia"/>
          <w:color w:val="000000" w:themeColor="text1"/>
          <w:sz w:val="21"/>
          <w:lang w:eastAsia="zh-CN"/>
          <w14:textFill>
            <w14:solidFill>
              <w14:schemeClr w14:val="tx1"/>
            </w14:solidFill>
          </w14:textFill>
        </w:rPr>
        <w:t xml:space="preserve"> 当采用第Ⅲ类内衬修复方法进行管道结构性修复（全部损坏）时，对于处于该种工况下的内衬管受到的是上部土体自重、地下水自重及地面活荷载之和，参考美国ASTM标准按Luscher'sBuckling Equation 进行设计。</w:t>
      </w:r>
    </w:p>
    <w:p>
      <w:pPr>
        <w:pStyle w:val="3"/>
        <w:ind w:firstLine="560"/>
      </w:pPr>
      <w:r>
        <w:t>3.5 水力设计</w:t>
      </w:r>
    </w:p>
    <w:p>
      <w:pPr>
        <w:ind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 xml:space="preserve">3.5.1 </w:t>
      </w:r>
      <w:r>
        <w:rPr>
          <w:rFonts w:cs="Times New Roman" w:eastAsiaTheme="minorEastAsia"/>
          <w:color w:val="000000" w:themeColor="text1"/>
          <w:sz w:val="21"/>
          <w:lang w:eastAsia="zh-CN"/>
          <w14:textFill>
            <w14:solidFill>
              <w14:schemeClr w14:val="tx1"/>
            </w14:solidFill>
          </w14:textFill>
        </w:rPr>
        <w:t>管道过流量的计算方式，管道内衬修复后，过流断面会有不同程度的减小。但是内衬管的粗糙系数较原有管道小，因此管道经内衬修复后的过流量一般可以满足原有管道的设计流量要求，或者大于原有管道的设计流量。</w:t>
      </w:r>
    </w:p>
    <w:p>
      <w:pPr>
        <w:ind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 xml:space="preserve">3.5.3 </w:t>
      </w:r>
      <w:r>
        <w:rPr>
          <w:rFonts w:cs="Times New Roman" w:eastAsiaTheme="minorEastAsia"/>
          <w:color w:val="000000" w:themeColor="text1"/>
          <w:sz w:val="21"/>
          <w:lang w:eastAsia="zh-CN"/>
          <w14:textFill>
            <w14:solidFill>
              <w14:schemeClr w14:val="tx1"/>
            </w14:solidFill>
          </w14:textFill>
        </w:rPr>
        <w:t>管道修复后过流能力小于原有管道设计过流能力时，宜复核修复的管道运行时的排水效果，若不能满足排水要求，需采取措施，如上游分流、敷设双管等。</w:t>
      </w:r>
    </w:p>
    <w:p>
      <w:pPr>
        <w:kinsoku/>
        <w:autoSpaceDE/>
        <w:autoSpaceDN/>
        <w:adjustRightInd/>
        <w:snapToGrid/>
        <w:spacing w:line="240" w:lineRule="auto"/>
        <w:ind w:firstLine="0" w:firstLineChars="0"/>
        <w:jc w:val="left"/>
        <w:textAlignment w:val="auto"/>
        <w:rPr>
          <w:rFonts w:cs="Times New Roman"/>
          <w:color w:val="000000" w:themeColor="text1"/>
          <w:lang w:eastAsia="zh-CN"/>
          <w14:textFill>
            <w14:solidFill>
              <w14:schemeClr w14:val="tx1"/>
            </w14:solidFill>
          </w14:textFill>
        </w:rPr>
      </w:pPr>
      <w:r>
        <w:rPr>
          <w:rFonts w:cs="Times New Roman"/>
          <w:color w:val="000000" w:themeColor="text1"/>
          <w:lang w:eastAsia="zh-CN"/>
          <w14:textFill>
            <w14:solidFill>
              <w14:schemeClr w14:val="tx1"/>
            </w14:solidFill>
          </w14:textFill>
        </w:rPr>
        <w:br w:type="page"/>
      </w:r>
    </w:p>
    <w:p>
      <w:pPr>
        <w:pStyle w:val="15"/>
        <w:ind w:firstLine="643"/>
        <w:rPr>
          <w:rFonts w:ascii="Times New Roman" w:hAnsi="Times New Roman" w:eastAsia="黑体" w:cs="Times New Roman"/>
          <w:color w:val="000000" w:themeColor="text1"/>
          <w:lang w:eastAsia="zh-CN"/>
          <w14:textFill>
            <w14:solidFill>
              <w14:schemeClr w14:val="tx1"/>
            </w14:solidFill>
          </w14:textFill>
        </w:rPr>
      </w:pPr>
      <w:bookmarkStart w:id="384" w:name="_Toc187611869"/>
      <w:bookmarkStart w:id="385" w:name="_Toc196295159"/>
      <w:bookmarkStart w:id="386" w:name="_Toc196750445"/>
      <w:bookmarkStart w:id="387" w:name="_Toc196915256"/>
      <w:bookmarkStart w:id="388" w:name="_Toc196377656"/>
      <w:r>
        <w:rPr>
          <w:rFonts w:ascii="Times New Roman" w:hAnsi="Times New Roman" w:eastAsia="黑体" w:cs="Times New Roman"/>
          <w:color w:val="000000" w:themeColor="text1"/>
          <w:lang w:eastAsia="zh-CN"/>
          <w14:textFill>
            <w14:solidFill>
              <w14:schemeClr w14:val="tx1"/>
            </w14:solidFill>
          </w14:textFill>
        </w:rPr>
        <w:t xml:space="preserve">4 </w:t>
      </w:r>
      <w:bookmarkEnd w:id="384"/>
      <w:r>
        <w:rPr>
          <w:rFonts w:ascii="Times New Roman" w:hAnsi="Times New Roman" w:eastAsia="黑体" w:cs="Times New Roman"/>
          <w:color w:val="000000" w:themeColor="text1"/>
          <w:lang w:eastAsia="zh-CN"/>
          <w14:textFill>
            <w14:solidFill>
              <w14:schemeClr w14:val="tx1"/>
            </w14:solidFill>
          </w14:textFill>
        </w:rPr>
        <w:t>材</w:t>
      </w:r>
      <w:r>
        <w:rPr>
          <w:rFonts w:hint="eastAsia" w:ascii="Times New Roman" w:hAnsi="Times New Roman" w:eastAsia="黑体" w:cs="Times New Roman"/>
          <w:color w:val="000000" w:themeColor="text1"/>
          <w:lang w:eastAsia="zh-CN"/>
          <w14:textFill>
            <w14:solidFill>
              <w14:schemeClr w14:val="tx1"/>
            </w14:solidFill>
          </w14:textFill>
        </w:rPr>
        <w:t xml:space="preserve"> </w:t>
      </w:r>
      <w:r>
        <w:rPr>
          <w:rFonts w:ascii="Times New Roman" w:hAnsi="Times New Roman" w:eastAsia="黑体" w:cs="Times New Roman"/>
          <w:color w:val="000000" w:themeColor="text1"/>
          <w:lang w:eastAsia="zh-CN"/>
          <w14:textFill>
            <w14:solidFill>
              <w14:schemeClr w14:val="tx1"/>
            </w14:solidFill>
          </w14:textFill>
        </w:rPr>
        <w:t>料</w:t>
      </w:r>
      <w:bookmarkEnd w:id="385"/>
      <w:bookmarkEnd w:id="386"/>
      <w:bookmarkEnd w:id="387"/>
      <w:bookmarkEnd w:id="388"/>
    </w:p>
    <w:p>
      <w:pPr>
        <w:pStyle w:val="3"/>
        <w:ind w:firstLine="560"/>
      </w:pPr>
      <w:bookmarkStart w:id="389" w:name="_Toc187611870"/>
      <w:bookmarkStart w:id="390" w:name="_Toc196295160"/>
      <w:bookmarkStart w:id="391" w:name="_Toc196377657"/>
      <w:bookmarkStart w:id="392" w:name="_Toc196915257"/>
      <w:bookmarkStart w:id="393" w:name="_Toc196750446"/>
      <w:r>
        <w:t>4.</w:t>
      </w:r>
      <w:bookmarkEnd w:id="389"/>
      <w:r>
        <w:t>1 一般规定</w:t>
      </w:r>
      <w:bookmarkEnd w:id="390"/>
      <w:bookmarkEnd w:id="391"/>
      <w:bookmarkEnd w:id="392"/>
      <w:bookmarkEnd w:id="393"/>
    </w:p>
    <w:p>
      <w:pPr>
        <w:ind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4.1.1</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每批成品软管进入施工现场前应进行验收，验收应包括以下内容：</w:t>
      </w:r>
    </w:p>
    <w:p>
      <w:pPr>
        <w:ind w:left="420"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1</w:t>
      </w:r>
      <w:r>
        <w:rPr>
          <w:rFonts w:hint="eastAsia" w:cs="Times New Roman" w:eastAsiaTheme="minorEastAsia"/>
          <w:color w:val="000000" w:themeColor="text1"/>
          <w:sz w:val="21"/>
          <w:lang w:eastAsia="zh-CN"/>
          <w14:textFill>
            <w14:solidFill>
              <w14:schemeClr w14:val="tx1"/>
            </w14:solidFill>
          </w14:textFill>
        </w:rPr>
        <w:t xml:space="preserve"> 型号与批次，包括名称、类别（成分）、编号（批次）、产地、生产日期等；</w:t>
      </w:r>
    </w:p>
    <w:p>
      <w:pPr>
        <w:ind w:left="420"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2</w:t>
      </w:r>
      <w:r>
        <w:rPr>
          <w:rFonts w:hint="eastAsia" w:cs="Times New Roman" w:eastAsiaTheme="minorEastAsia"/>
          <w:color w:val="000000" w:themeColor="text1"/>
          <w:sz w:val="21"/>
          <w:lang w:eastAsia="zh-CN"/>
          <w14:textFill>
            <w14:solidFill>
              <w14:schemeClr w14:val="tx1"/>
            </w14:solidFill>
          </w14:textFill>
        </w:rPr>
        <w:t xml:space="preserve"> 规格与数量，包括外径、壁厚、长度等；</w:t>
      </w:r>
    </w:p>
    <w:p>
      <w:pPr>
        <w:ind w:left="420"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3</w:t>
      </w:r>
      <w:r>
        <w:rPr>
          <w:rFonts w:hint="eastAsia" w:cs="Times New Roman" w:eastAsiaTheme="minorEastAsia"/>
          <w:color w:val="000000" w:themeColor="text1"/>
          <w:sz w:val="21"/>
          <w:lang w:eastAsia="zh-CN"/>
          <w14:textFill>
            <w14:solidFill>
              <w14:schemeClr w14:val="tx1"/>
            </w14:solidFill>
          </w14:textFill>
        </w:rPr>
        <w:t xml:space="preserve"> 外观检查，不得有干斑、气泡等缺陷；</w:t>
      </w:r>
    </w:p>
    <w:p>
      <w:pPr>
        <w:ind w:left="420"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4</w:t>
      </w:r>
      <w:r>
        <w:rPr>
          <w:rFonts w:hint="eastAsia" w:cs="Times New Roman" w:eastAsiaTheme="minorEastAsia"/>
          <w:color w:val="000000" w:themeColor="text1"/>
          <w:sz w:val="21"/>
          <w:lang w:eastAsia="zh-CN"/>
          <w14:textFill>
            <w14:solidFill>
              <w14:schemeClr w14:val="tx1"/>
            </w14:solidFill>
          </w14:textFill>
        </w:rPr>
        <w:t xml:space="preserve"> 质量证明文件，包括合格证书、性能检测报告、所依据的标准等；</w:t>
      </w:r>
    </w:p>
    <w:p>
      <w:pPr>
        <w:ind w:left="420"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5</w:t>
      </w:r>
      <w:r>
        <w:rPr>
          <w:rFonts w:hint="eastAsia" w:cs="Times New Roman" w:eastAsiaTheme="minorEastAsia"/>
          <w:color w:val="000000" w:themeColor="text1"/>
          <w:sz w:val="21"/>
          <w:lang w:eastAsia="zh-CN"/>
          <w14:textFill>
            <w14:solidFill>
              <w14:schemeClr w14:val="tx1"/>
            </w14:solidFill>
          </w14:textFill>
        </w:rPr>
        <w:t xml:space="preserve"> 使用说明文件，包括储运条件、施工要求等。</w:t>
      </w:r>
    </w:p>
    <w:p>
      <w:pPr>
        <w:ind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4.1.2</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在进行非开挖修复之前，应重新对管径进行测量。在同修复管段内，同一种损坏类型的工程宜使用同一生产厂家的相同型号的管材或型材进行修复。如果内衬材料管径大于待修复管道实际管径，则会导致材料在原管道内无法完全舒展，管壁内部容易引起褶皱，影响管道的强度和使用寿命。如果内衬材料管径小于待修复管道实际管径，或将引起材料过度膨胀；管道厚度低于设计要求，影响管道弹性模量，同时，内衬管道与原管壁无法紧密贴合存在夹层，这不仅会造成管道过流面积的损失，更无法与原有管道复合受力。排水管道管径可以采用以下方式进行测量：用卷尺分别垂直和水平测量上下游检查井中的管道尺寸。如果管道外形不是圆形或标准的卵形，可用卷尺或内径卡尺在管道内部测量管道周长。</w:t>
      </w:r>
    </w:p>
    <w:p>
      <w:pPr>
        <w:ind w:firstLine="420" w:firstLineChars="0"/>
        <w:rPr>
          <w:rFonts w:cs="Times New Roman" w:eastAsiaTheme="minorEastAsia"/>
          <w:b/>
          <w:bCs/>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4.1.6</w:t>
      </w:r>
      <w:r>
        <w:rPr>
          <w:rFonts w:cs="Times New Roman" w:eastAsiaTheme="minorEastAsia"/>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施工设备应根据实际工程的需要合理的选用调配，其动力与性能要求也应根据实际的工程方案合理的使用。长期停用的施工设备在重新使用前，应检查各部件，并测量绝缘电阻值，认安全后方可使用</w:t>
      </w:r>
      <w:r>
        <w:rPr>
          <w:rFonts w:cs="Times New Roman" w:eastAsiaTheme="minorEastAsia"/>
          <w:color w:val="000000" w:themeColor="text1"/>
          <w:sz w:val="21"/>
          <w:lang w:eastAsia="zh-CN"/>
          <w14:textFill>
            <w14:solidFill>
              <w14:schemeClr w14:val="tx1"/>
            </w14:solidFill>
          </w14:textFill>
        </w:rPr>
        <w:t>;</w:t>
      </w:r>
      <w:r>
        <w:rPr>
          <w:rFonts w:hint="eastAsia" w:cs="Times New Roman" w:eastAsiaTheme="minorEastAsia"/>
          <w:color w:val="000000" w:themeColor="text1"/>
          <w:sz w:val="21"/>
          <w:lang w:eastAsia="zh-CN"/>
          <w14:textFill>
            <w14:solidFill>
              <w14:schemeClr w14:val="tx1"/>
            </w14:solidFill>
          </w14:textFill>
        </w:rPr>
        <w:t>设备应定期进行维修保养，并应有相应的运行维修保养记录</w:t>
      </w:r>
      <w:r>
        <w:rPr>
          <w:rFonts w:cs="Times New Roman" w:eastAsiaTheme="minorEastAsia"/>
          <w:color w:val="000000" w:themeColor="text1"/>
          <w:sz w:val="21"/>
          <w:lang w:eastAsia="zh-CN"/>
          <w14:textFill>
            <w14:solidFill>
              <w14:schemeClr w14:val="tx1"/>
            </w14:solidFill>
          </w14:textFill>
        </w:rPr>
        <w:t>;</w:t>
      </w:r>
      <w:r>
        <w:rPr>
          <w:rFonts w:hint="eastAsia" w:cs="Times New Roman" w:eastAsiaTheme="minorEastAsia"/>
          <w:color w:val="000000" w:themeColor="text1"/>
          <w:sz w:val="21"/>
          <w:lang w:eastAsia="zh-CN"/>
          <w14:textFill>
            <w14:solidFill>
              <w14:schemeClr w14:val="tx1"/>
            </w14:solidFill>
          </w14:textFill>
        </w:rPr>
        <w:t>运转时，操作人员应经常检查仪表，如发现异常声响、过热等情况时，应立即停机检查</w:t>
      </w:r>
      <w:r>
        <w:rPr>
          <w:rFonts w:cs="Times New Roman" w:eastAsiaTheme="minorEastAsia"/>
          <w:color w:val="000000" w:themeColor="text1"/>
          <w:sz w:val="21"/>
          <w:lang w:eastAsia="zh-CN"/>
          <w14:textFill>
            <w14:solidFill>
              <w14:schemeClr w14:val="tx1"/>
            </w14:solidFill>
          </w14:textFill>
        </w:rPr>
        <w:t>;</w:t>
      </w:r>
      <w:r>
        <w:rPr>
          <w:rFonts w:hint="eastAsia" w:cs="Times New Roman" w:eastAsiaTheme="minorEastAsia"/>
          <w:color w:val="000000" w:themeColor="text1"/>
          <w:sz w:val="21"/>
          <w:lang w:eastAsia="zh-CN"/>
          <w14:textFill>
            <w14:solidFill>
              <w14:schemeClr w14:val="tx1"/>
            </w14:solidFill>
          </w14:textFill>
        </w:rPr>
        <w:t>设备使用场所比较潮湿时应做好防潮措施，做好移动式发电机组接地接零工作，保障设备和用电安全。</w:t>
      </w:r>
    </w:p>
    <w:p>
      <w:pPr>
        <w:pStyle w:val="3"/>
        <w:ind w:firstLine="560"/>
      </w:pPr>
      <w:bookmarkStart w:id="394" w:name="_Toc196377658"/>
      <w:bookmarkStart w:id="395" w:name="_Toc196750447"/>
      <w:bookmarkStart w:id="396" w:name="_Toc196915258"/>
      <w:bookmarkStart w:id="397" w:name="_Toc196295161"/>
      <w:r>
        <w:rPr>
          <w:rFonts w:hint="eastAsia"/>
        </w:rPr>
        <w:t>4.2</w:t>
      </w:r>
      <w:r>
        <w:t xml:space="preserve"> 预处理</w:t>
      </w:r>
      <w:bookmarkEnd w:id="394"/>
      <w:bookmarkEnd w:id="395"/>
      <w:bookmarkEnd w:id="396"/>
      <w:bookmarkEnd w:id="397"/>
      <w:r>
        <w:rPr>
          <w:rFonts w:hint="eastAsia"/>
        </w:rPr>
        <w:t>材料</w:t>
      </w:r>
    </w:p>
    <w:p>
      <w:pPr>
        <w:ind w:firstLine="422"/>
        <w:rPr>
          <w:rFonts w:cs="Times New Roman"/>
          <w:sz w:val="21"/>
          <w:lang w:eastAsia="zh-CN"/>
        </w:rPr>
      </w:pPr>
      <w:bookmarkStart w:id="398" w:name="_Toc196915259"/>
      <w:bookmarkStart w:id="399" w:name="_Toc196377659"/>
      <w:bookmarkStart w:id="400" w:name="_Toc196295162"/>
      <w:bookmarkStart w:id="401" w:name="_Toc196750448"/>
      <w:r>
        <w:rPr>
          <w:rFonts w:hint="eastAsia" w:cs="Times New Roman"/>
          <w:b/>
          <w:bCs/>
          <w:sz w:val="21"/>
          <w:lang w:eastAsia="zh-CN"/>
        </w:rPr>
        <w:t xml:space="preserve">4.2.2 </w:t>
      </w:r>
      <w:r>
        <w:rPr>
          <w:rFonts w:hint="eastAsia" w:cs="Times New Roman"/>
          <w:sz w:val="21"/>
          <w:lang w:eastAsia="zh-CN"/>
        </w:rPr>
        <w:t>国家现行标准《高压喷射注浆施工技术规范》HG/T20691、《注浆技术规程》YS/T5211、《建筑地基基础工程施工质量验收标准》GB50202和《既有建筑地基基础加固技术规范》JGJ123，对于水泥基类与硅化浆液的注浆工程都适用。</w:t>
      </w:r>
    </w:p>
    <w:p>
      <w:pPr>
        <w:ind w:firstLine="422"/>
        <w:rPr>
          <w:rFonts w:cs="Times New Roman"/>
          <w:sz w:val="21"/>
          <w:lang w:eastAsia="zh-CN"/>
        </w:rPr>
      </w:pPr>
      <w:r>
        <w:rPr>
          <w:rFonts w:hint="eastAsia" w:cs="Times New Roman"/>
          <w:b/>
          <w:bCs/>
          <w:sz w:val="21"/>
          <w:lang w:eastAsia="zh-CN"/>
        </w:rPr>
        <w:t>4.2.3</w:t>
      </w:r>
      <w:r>
        <w:rPr>
          <w:rFonts w:hint="eastAsia" w:cs="Times New Roman"/>
          <w:sz w:val="21"/>
          <w:lang w:eastAsia="zh-CN"/>
        </w:rPr>
        <w:t xml:space="preserve"> 注浆材料的干混料组成材料中包含水泥、矿物掺合料,和各种外加剂,使用时,水固比因干混料的组成和配合比不同,加水量(或水固比)有差异。注浆材料的水固比可根据管道渗漏情况、漏水处缝隙大小等情况进行调整。现场配制时,为了加快结速率并提高早期强度,宜掺加占水泥用量0.5%~3.0%的水玻璃。</w:t>
      </w:r>
    </w:p>
    <w:p>
      <w:pPr>
        <w:ind w:firstLine="422"/>
        <w:rPr>
          <w:sz w:val="21"/>
          <w:lang w:eastAsia="zh-CN"/>
        </w:rPr>
      </w:pPr>
      <w:r>
        <w:rPr>
          <w:rFonts w:hint="eastAsia" w:cs="Times New Roman"/>
          <w:b/>
          <w:bCs/>
          <w:sz w:val="21"/>
          <w:lang w:eastAsia="zh-CN"/>
        </w:rPr>
        <w:t>4.2.9</w:t>
      </w:r>
      <w:r>
        <w:rPr>
          <w:rFonts w:hint="eastAsia" w:cs="Times New Roman"/>
          <w:sz w:val="21"/>
          <w:lang w:eastAsia="zh-CN"/>
        </w:rPr>
        <w:t xml:space="preserve"> </w:t>
      </w:r>
      <w:r>
        <w:rPr>
          <w:rFonts w:hint="eastAsia"/>
          <w:sz w:val="21"/>
          <w:lang w:eastAsia="zh-CN"/>
        </w:rPr>
        <w:t>根据产品的安装方式，不锈钢快速锁可分为气囊安装型和人工安装型两种分类。</w:t>
      </w:r>
    </w:p>
    <w:p>
      <w:pPr>
        <w:ind w:firstLine="420"/>
        <w:rPr>
          <w:sz w:val="21"/>
          <w:lang w:eastAsia="zh-CN"/>
        </w:rPr>
      </w:pPr>
      <w:r>
        <w:rPr>
          <w:rFonts w:hint="eastAsia"/>
          <w:sz w:val="21"/>
          <w:lang w:eastAsia="zh-CN"/>
        </w:rPr>
        <w:t>气囊安装型：适用于管径范围为DN300~DN700的管道。这种类型的快速锁使用气囊进行安装，通过气囊膨胀扩张，实现修复装置的固定和密封。</w:t>
      </w:r>
    </w:p>
    <w:p>
      <w:pPr>
        <w:ind w:firstLine="420"/>
        <w:rPr>
          <w:sz w:val="21"/>
          <w:lang w:eastAsia="zh-CN"/>
        </w:rPr>
      </w:pPr>
      <w:r>
        <w:rPr>
          <w:rFonts w:hint="eastAsia"/>
          <w:sz w:val="21"/>
          <w:lang w:eastAsia="zh-CN"/>
        </w:rPr>
        <w:t>人工安装型：适用于管径范围为DN800~DN2400的管道。这种类型的快速锁需要人工安装，通常使用专用的安装工具和技术，确保装置正确安装在管道上，并达到密封和修复的效果。</w:t>
      </w:r>
    </w:p>
    <w:p>
      <w:pPr>
        <w:ind w:firstLine="420"/>
        <w:rPr>
          <w:sz w:val="21"/>
          <w:lang w:eastAsia="zh-CN"/>
        </w:rPr>
      </w:pPr>
      <w:r>
        <w:rPr>
          <w:rFonts w:hint="eastAsia"/>
          <w:sz w:val="21"/>
          <w:lang w:eastAsia="zh-CN"/>
        </w:rPr>
        <w:t>通过对快速锁的分类，可以更好地适应不同管道规格和安装环境的需求，提供更灵活、有效的修复方案。</w:t>
      </w:r>
    </w:p>
    <w:p>
      <w:pPr>
        <w:ind w:firstLine="422"/>
        <w:rPr>
          <w:sz w:val="21"/>
          <w:lang w:eastAsia="zh-CN"/>
        </w:rPr>
      </w:pPr>
      <w:r>
        <w:rPr>
          <w:rFonts w:hint="eastAsia"/>
          <w:b/>
          <w:bCs/>
          <w:sz w:val="21"/>
          <w:lang w:eastAsia="zh-CN"/>
        </w:rPr>
        <w:t xml:space="preserve">4.2.10 </w:t>
      </w:r>
      <w:r>
        <w:rPr>
          <w:rFonts w:hint="eastAsia"/>
          <w:sz w:val="21"/>
          <w:lang w:eastAsia="zh-CN"/>
        </w:rPr>
        <w:t>组合套筒的钢板原材料应选用316或316L不锈钢板，并且必须符合GB/T 3280标准的规定。这保证了不锈钢快速锁的材料质量和耐腐蚀性能，满足产品的使用要求。</w:t>
      </w:r>
    </w:p>
    <w:p>
      <w:pPr>
        <w:ind w:firstLine="422"/>
        <w:rPr>
          <w:sz w:val="21"/>
          <w:lang w:eastAsia="zh-CN"/>
        </w:rPr>
      </w:pPr>
      <w:r>
        <w:rPr>
          <w:rFonts w:hint="eastAsia"/>
          <w:b/>
          <w:bCs/>
          <w:sz w:val="21"/>
          <w:lang w:eastAsia="zh-CN"/>
        </w:rPr>
        <w:t>4.2.11</w:t>
      </w:r>
      <w:r>
        <w:rPr>
          <w:rFonts w:hint="eastAsia"/>
          <w:sz w:val="21"/>
          <w:lang w:eastAsia="zh-CN"/>
        </w:rPr>
        <w:t xml:space="preserve"> 橡胶套应采用三元乙丙或丁晴材质，确保了橡胶套具有良好的耐用性和密封性能，能够有效地承受管道内部的压力和环境的影响。采用符合规定的橡胶材料，能够保证修复装置的稳定性和长期可靠性。</w:t>
      </w:r>
    </w:p>
    <w:p>
      <w:pPr>
        <w:ind w:firstLine="422"/>
        <w:rPr>
          <w:sz w:val="21"/>
          <w:lang w:eastAsia="zh-CN"/>
        </w:rPr>
      </w:pPr>
      <w:r>
        <w:rPr>
          <w:rFonts w:hint="eastAsia" w:cs="Times New Roman"/>
          <w:b/>
          <w:bCs/>
          <w:sz w:val="21"/>
          <w:lang w:eastAsia="zh-CN"/>
        </w:rPr>
        <w:t xml:space="preserve">4.2.12 </w:t>
      </w:r>
      <w:r>
        <w:rPr>
          <w:rFonts w:hint="eastAsia"/>
          <w:sz w:val="21"/>
          <w:lang w:eastAsia="zh-CN"/>
        </w:rPr>
        <w:t>气囊安装型快速锁的锁紧机构应采用316不锈钢材质，确保了锁紧机构具有优良的耐腐蚀性能和强度，能够在各种环境条件下保持稳定的工作状态。采用316不锈钢材质，符合对于气囊安装型快速锁高品质、长期可靠性的要求。</w:t>
      </w:r>
    </w:p>
    <w:p>
      <w:pPr>
        <w:ind w:firstLine="422"/>
        <w:rPr>
          <w:rFonts w:cs="Times New Roman"/>
          <w:sz w:val="21"/>
          <w:lang w:eastAsia="zh-CN"/>
        </w:rPr>
      </w:pPr>
      <w:r>
        <w:rPr>
          <w:rFonts w:hint="eastAsia" w:cs="Times New Roman"/>
          <w:b/>
          <w:bCs/>
          <w:sz w:val="21"/>
          <w:lang w:eastAsia="zh-CN"/>
        </w:rPr>
        <w:t>4.2.14</w:t>
      </w:r>
      <w:r>
        <w:rPr>
          <w:rFonts w:hint="eastAsia" w:cs="Times New Roman"/>
          <w:sz w:val="21"/>
          <w:lang w:eastAsia="zh-CN"/>
        </w:rPr>
        <w:t xml:space="preserve"> </w:t>
      </w:r>
      <w:r>
        <w:rPr>
          <w:rFonts w:hint="eastAsia"/>
          <w:sz w:val="21"/>
          <w:lang w:eastAsia="zh-CN"/>
        </w:rPr>
        <w:t>扩张工具要求采用碳钢及以上的材质，确保能够满足快速锁的扩张需求。</w:t>
      </w:r>
    </w:p>
    <w:p>
      <w:pPr>
        <w:pStyle w:val="3"/>
        <w:ind w:firstLine="560"/>
      </w:pPr>
      <w:bookmarkStart w:id="402" w:name="OLE_LINK57"/>
      <w:r>
        <w:t xml:space="preserve">4.3 </w:t>
      </w:r>
      <w:bookmarkEnd w:id="398"/>
      <w:bookmarkEnd w:id="399"/>
      <w:bookmarkEnd w:id="400"/>
      <w:bookmarkEnd w:id="401"/>
      <w:r>
        <w:rPr>
          <w:rFonts w:hint="eastAsia"/>
        </w:rPr>
        <w:t>紫外光原位固化法</w:t>
      </w:r>
    </w:p>
    <w:bookmarkEnd w:id="402"/>
    <w:p>
      <w:pPr>
        <w:ind w:firstLine="422"/>
        <w:rPr>
          <w:sz w:val="21"/>
          <w:lang w:eastAsia="zh-CN"/>
        </w:rPr>
      </w:pPr>
      <w:r>
        <w:rPr>
          <w:rFonts w:hint="eastAsia" w:cs="Times New Roman"/>
          <w:b/>
          <w:bCs/>
          <w:sz w:val="21"/>
          <w:lang w:eastAsia="zh-CN"/>
        </w:rPr>
        <w:t xml:space="preserve">4.3.2 </w:t>
      </w:r>
      <w:r>
        <w:rPr>
          <w:rFonts w:hint="eastAsia"/>
          <w:sz w:val="21"/>
          <w:lang w:eastAsia="zh-CN"/>
        </w:rPr>
        <w:t>玻纤软管应在恒温恒湿的环境下存储，应避免空气及水分进人树脂，稳定的环境有助于内衬材料的性能稳定。在运输拆卸和保管过程中，也应时刻注意避光和控温措施，防止玻纤软管提前固化。如果施工现场的温度超过 30℃或者低于10℃，则不能将材料长时间存放在施工现场，应在配备空调的集装箱或临时库房内暂存，或临近施工将其运送至施工现场，可采用保温车运输。</w:t>
      </w:r>
    </w:p>
    <w:p>
      <w:pPr>
        <w:ind w:firstLine="422"/>
        <w:rPr>
          <w:sz w:val="21"/>
          <w:lang w:eastAsia="zh-CN"/>
        </w:rPr>
      </w:pPr>
      <w:r>
        <w:rPr>
          <w:rFonts w:hint="eastAsia" w:cs="Times New Roman"/>
          <w:b/>
          <w:bCs/>
          <w:sz w:val="21"/>
          <w:lang w:eastAsia="zh-CN"/>
        </w:rPr>
        <w:t xml:space="preserve">4.3.3 </w:t>
      </w:r>
      <w:r>
        <w:rPr>
          <w:rFonts w:hint="eastAsia"/>
          <w:sz w:val="21"/>
          <w:lang w:eastAsia="zh-CN"/>
        </w:rPr>
        <w:t>灌胶均匀时，玻纤软管材料显示透光性好，整段材料内部树脂均清晰可见，无阴影，无黑斑。灌胶不均匀时，玻纤软管会出现大面积阴影（黑斑），而且阴影面积越大，导致光线无法通过，从而出现固化缺陷。如果灌胶不均匀，在加压过程中，由于部分材料没有被树脂浸润，无法产生固化反应，材料局部内壁呈现泛白现象。</w:t>
      </w:r>
    </w:p>
    <w:p>
      <w:pPr>
        <w:ind w:firstLine="422"/>
        <w:rPr>
          <w:rFonts w:cs="Times New Roman"/>
          <w:b/>
          <w:bCs/>
          <w:sz w:val="21"/>
          <w:lang w:eastAsia="zh-CN"/>
        </w:rPr>
      </w:pPr>
      <w:r>
        <w:rPr>
          <w:rFonts w:hint="eastAsia" w:cs="Times New Roman"/>
          <w:b/>
          <w:bCs/>
          <w:sz w:val="21"/>
          <w:lang w:eastAsia="zh-CN"/>
        </w:rPr>
        <w:t xml:space="preserve">4.3.4 </w:t>
      </w:r>
      <w:r>
        <w:rPr>
          <w:rFonts w:hint="eastAsia"/>
          <w:sz w:val="21"/>
          <w:lang w:eastAsia="zh-CN"/>
        </w:rPr>
        <w:t>玻纤软管使用说明书应包括满足内衬管有效固化的光源种类、波长、辐照强度和剂量、工作压力及紫外光灯前进速度。</w:t>
      </w:r>
    </w:p>
    <w:p>
      <w:pPr>
        <w:ind w:firstLine="422"/>
        <w:rPr>
          <w:sz w:val="21"/>
          <w:lang w:eastAsia="zh-CN"/>
        </w:rPr>
      </w:pPr>
      <w:r>
        <w:rPr>
          <w:rFonts w:hint="eastAsia" w:cs="Times New Roman"/>
          <w:b/>
          <w:bCs/>
          <w:sz w:val="21"/>
          <w:lang w:eastAsia="zh-CN"/>
        </w:rPr>
        <w:t xml:space="preserve">4.3.5 </w:t>
      </w:r>
      <w:r>
        <w:rPr>
          <w:rFonts w:hint="eastAsia"/>
          <w:sz w:val="21"/>
          <w:lang w:eastAsia="zh-CN"/>
        </w:rPr>
        <w:t>替换绳需要预埋在软管内，用于在施工过程中替换紫外光灯架牵引绳。替换绳宜采用芳纶材料，并应符合现行国家标准《纤维绳索聚酯3股、4股、8股和12 股绳索》GB/T 11787 的规定。</w:t>
      </w:r>
    </w:p>
    <w:p>
      <w:pPr>
        <w:ind w:firstLine="422"/>
        <w:rPr>
          <w:sz w:val="21"/>
          <w:lang w:eastAsia="zh-CN"/>
        </w:rPr>
      </w:pPr>
      <w:r>
        <w:rPr>
          <w:rFonts w:hint="eastAsia" w:cs="Times New Roman"/>
          <w:b/>
          <w:bCs/>
          <w:sz w:val="21"/>
          <w:lang w:eastAsia="zh-CN"/>
        </w:rPr>
        <w:t xml:space="preserve">4.3.6 </w:t>
      </w:r>
      <w:r>
        <w:rPr>
          <w:rFonts w:hint="eastAsia"/>
          <w:sz w:val="21"/>
          <w:lang w:eastAsia="zh-CN"/>
        </w:rPr>
        <w:t>垫膜宜采用高密度聚乙烯材料，提前放入原有管道底部防止玻纤软管在拉人过程中受到损伤，垫膜应符合现行国家标准《土工合成材料 聚乙烯土工膜》GB/T 17643 的规定。</w:t>
      </w:r>
    </w:p>
    <w:p>
      <w:pPr>
        <w:ind w:firstLine="422"/>
        <w:rPr>
          <w:rFonts w:cs="Times New Roman"/>
          <w:b/>
          <w:bCs/>
          <w:sz w:val="21"/>
          <w:lang w:eastAsia="zh-CN"/>
        </w:rPr>
      </w:pPr>
      <w:r>
        <w:rPr>
          <w:rFonts w:hint="eastAsia" w:cs="Times New Roman"/>
          <w:b/>
          <w:bCs/>
          <w:sz w:val="21"/>
          <w:lang w:eastAsia="zh-CN"/>
        </w:rPr>
        <w:t xml:space="preserve">4.3.7 </w:t>
      </w:r>
      <w:r>
        <w:rPr>
          <w:rFonts w:hint="eastAsia"/>
          <w:sz w:val="21"/>
          <w:lang w:eastAsia="zh-CN"/>
        </w:rPr>
        <w:t>灯膜与软管一端连接，在灯架送入时，用于保护灯架宜采用与玻纤软管内膜相同材质的简膜。</w:t>
      </w:r>
    </w:p>
    <w:p>
      <w:pPr>
        <w:ind w:firstLine="422"/>
        <w:rPr>
          <w:sz w:val="21"/>
          <w:lang w:eastAsia="zh-CN"/>
        </w:rPr>
      </w:pPr>
      <w:r>
        <w:rPr>
          <w:rFonts w:hint="eastAsia" w:cs="Times New Roman"/>
          <w:b/>
          <w:bCs/>
          <w:sz w:val="21"/>
          <w:lang w:eastAsia="zh-CN"/>
        </w:rPr>
        <w:t xml:space="preserve">4.3.8 </w:t>
      </w:r>
      <w:r>
        <w:rPr>
          <w:rFonts w:hint="eastAsia"/>
          <w:sz w:val="21"/>
          <w:lang w:eastAsia="zh-CN"/>
        </w:rPr>
        <w:t>扎头布宜采用聚乙烯复合材料，并应符合现行国家标准《土工合成材料 聚乙烯土工膜》GB/T 17643 的规定。</w:t>
      </w:r>
    </w:p>
    <w:p>
      <w:pPr>
        <w:ind w:firstLine="422"/>
        <w:rPr>
          <w:sz w:val="21"/>
          <w:lang w:eastAsia="zh-CN"/>
        </w:rPr>
      </w:pPr>
      <w:r>
        <w:rPr>
          <w:rFonts w:hint="eastAsia"/>
          <w:b/>
          <w:bCs/>
          <w:sz w:val="21"/>
          <w:lang w:eastAsia="zh-CN"/>
        </w:rPr>
        <w:t xml:space="preserve">4.3.9 </w:t>
      </w:r>
      <w:r>
        <w:rPr>
          <w:rFonts w:hint="eastAsia"/>
          <w:sz w:val="21"/>
          <w:lang w:eastAsia="zh-CN"/>
        </w:rPr>
        <w:t>目前国内工程内衬管的短期弯曲强度普遍能超过5000MPa这种情况下，可适当提高内衬管的固化指标，以确保内衬管有效固化。本规程参考了国内外标准，在《紫外光固化修复技术规程》ASTM F2019标准的基础上适当提高，采纳了弯曲强度、曲模量和抗拉强度指标限值为125MPa，8000MPa和80MPa。</w:t>
      </w:r>
    </w:p>
    <w:p>
      <w:pPr>
        <w:ind w:firstLine="422"/>
        <w:rPr>
          <w:sz w:val="21"/>
          <w:lang w:eastAsia="zh-CN"/>
        </w:rPr>
      </w:pPr>
      <w:r>
        <w:rPr>
          <w:rFonts w:hint="eastAsia" w:cs="Times New Roman"/>
          <w:b/>
          <w:bCs/>
          <w:sz w:val="21"/>
          <w:lang w:eastAsia="zh-CN"/>
        </w:rPr>
        <w:t xml:space="preserve">4.3.10 </w:t>
      </w:r>
      <w:r>
        <w:rPr>
          <w:rFonts w:hint="eastAsia"/>
          <w:sz w:val="21"/>
          <w:lang w:eastAsia="zh-CN"/>
        </w:rPr>
        <w:t>不饱和聚酯树脂具有良好的耐化学腐蚀性和物理性能是最早用于原位固化修复的树脂，多为热固性树脂。乙烯树脂和环氧树脂由于具有较强的耐腐蚀能力、抗溶解性和高温稳定性能，多用于工业管道和压力管道。紫外光固化树脂系统包含树脂、增稠剂、固化剂和光引发剂，树脂的用量应根据软管规格以及所用材料的孔隙率综合计算。树脂系统应以黏度为控制性指标，较低的黏度可以减少浸润过程中吞入的气泡，使树脂具有良好的浸润性和触变性能，拥有更好的力学性能和外观。玻璃纤维还可以通过添加浸润剂来增进与树脂之间的相容性与黏结性。本部分规定了树脂类型选用依据、树脂浇注体性能和树脂耐化学腐蚀性能，与现行行业标准《城镇排水管道非开挖修复更新工程技术规程》CJJ/T 210 保持一致。</w:t>
      </w:r>
    </w:p>
    <w:p>
      <w:pPr>
        <w:ind w:firstLine="422"/>
        <w:rPr>
          <w:b/>
          <w:bCs/>
          <w:sz w:val="21"/>
          <w:lang w:eastAsia="zh-CN"/>
        </w:rPr>
      </w:pPr>
      <w:r>
        <w:rPr>
          <w:rFonts w:hint="eastAsia"/>
          <w:b/>
          <w:bCs/>
          <w:sz w:val="21"/>
          <w:lang w:eastAsia="zh-CN"/>
        </w:rPr>
        <w:t xml:space="preserve">4.3.12 </w:t>
      </w:r>
      <w:r>
        <w:rPr>
          <w:rFonts w:hint="eastAsia"/>
          <w:sz w:val="21"/>
          <w:lang w:eastAsia="zh-CN"/>
        </w:rPr>
        <w:t>每隔150h就检查一次紫外光灯检测应由监理执行。利用带有经过检测的标准紫外光灯和测量传感器的测量系统进行比较测量。每只紫外光灯管的检测记录可参考同类型紫外光灯管的批号、编码代号等。</w:t>
      </w:r>
    </w:p>
    <w:p>
      <w:pPr>
        <w:ind w:firstLine="422"/>
        <w:rPr>
          <w:sz w:val="21"/>
          <w:lang w:eastAsia="zh-CN"/>
        </w:rPr>
      </w:pPr>
      <w:r>
        <w:rPr>
          <w:rFonts w:hint="eastAsia"/>
          <w:b/>
          <w:bCs/>
          <w:sz w:val="21"/>
          <w:lang w:eastAsia="zh-CN"/>
        </w:rPr>
        <w:t>4.3.14</w:t>
      </w:r>
      <w:r>
        <w:rPr>
          <w:rFonts w:hint="eastAsia"/>
          <w:sz w:val="21"/>
          <w:lang w:eastAsia="zh-CN"/>
        </w:rPr>
        <w:t xml:space="preserve"> 扎头盖板应由扎头、开槽圈、盖板三部分组成，扎头上应配备高压气体接口，辅助气体接口及压力感应接口，应在使用时和软管尺寸相匹配，扎头绑扎时在两端应各用2~3根轧带固定，防止扎头滑出。</w:t>
      </w:r>
    </w:p>
    <w:p>
      <w:pPr>
        <w:ind w:firstLine="422"/>
        <w:rPr>
          <w:sz w:val="21"/>
          <w:lang w:eastAsia="zh-CN"/>
        </w:rPr>
      </w:pPr>
      <w:r>
        <w:rPr>
          <w:rFonts w:hint="eastAsia"/>
          <w:b/>
          <w:bCs/>
          <w:sz w:val="21"/>
          <w:lang w:eastAsia="zh-CN"/>
        </w:rPr>
        <w:t>4.3.15</w:t>
      </w:r>
      <w:r>
        <w:rPr>
          <w:rFonts w:hint="eastAsia"/>
          <w:sz w:val="21"/>
          <w:lang w:eastAsia="zh-CN"/>
        </w:rPr>
        <w:t xml:space="preserve"> 管径为 DN300~ DN1600 的玻纤软管的操作压力范围为20 KPa~ 60 KPa，一般风机的最大正排气压为 100KPa，风机在工作中需要缓慢鼓气，应具备变频调节的功能，从而控制出风量。为满足管径范围内玻纤软管的充分涨开，本条规定空气压缩机的可调气压范围应为 20 KPa~ 100 KPa。</w:t>
      </w:r>
    </w:p>
    <w:p>
      <w:pPr>
        <w:ind w:firstLine="420"/>
        <w:rPr>
          <w:sz w:val="21"/>
          <w:lang w:eastAsia="zh-CN"/>
        </w:rPr>
      </w:pPr>
      <w:r>
        <w:rPr>
          <w:rFonts w:hint="eastAsia"/>
          <w:sz w:val="21"/>
          <w:lang w:eastAsia="zh-CN"/>
        </w:rPr>
        <w:t>压力记录可以监控施工团队是否按施工手册的要求分梯度加压、保压时间是否足够、目标压力是否达到、固化结束以后是否按要求缓慢降压降温等。</w:t>
      </w:r>
    </w:p>
    <w:p>
      <w:pPr>
        <w:ind w:firstLine="422"/>
        <w:rPr>
          <w:sz w:val="21"/>
          <w:lang w:eastAsia="zh-CN"/>
        </w:rPr>
      </w:pPr>
      <w:r>
        <w:rPr>
          <w:rFonts w:hint="eastAsia"/>
          <w:b/>
          <w:bCs/>
          <w:sz w:val="21"/>
          <w:lang w:eastAsia="zh-CN"/>
        </w:rPr>
        <w:t xml:space="preserve">4.3.16 </w:t>
      </w:r>
      <w:r>
        <w:rPr>
          <w:rFonts w:hint="eastAsia"/>
          <w:sz w:val="21"/>
          <w:lang w:eastAsia="zh-CN"/>
        </w:rPr>
        <w:t>供电设备在运转前应保证支垫平稳，运转过程中严禁移动。当在雨期、台风季节使用供电设备时，应有防雨、防风设施;操作人员应定期检查仪表，供电设备在固化过程中应能持续稳定的供电。</w:t>
      </w:r>
    </w:p>
    <w:p>
      <w:pPr>
        <w:pStyle w:val="3"/>
        <w:ind w:firstLine="560"/>
      </w:pPr>
      <w:bookmarkStart w:id="403" w:name="OLE_LINK70"/>
      <w:r>
        <w:t>4.</w:t>
      </w:r>
      <w:r>
        <w:rPr>
          <w:rFonts w:hint="eastAsia"/>
        </w:rPr>
        <w:t>4</w:t>
      </w:r>
      <w:r>
        <w:t xml:space="preserve"> </w:t>
      </w:r>
      <w:r>
        <w:rPr>
          <w:rFonts w:hint="eastAsia"/>
        </w:rPr>
        <w:t>翻转式原位固化法</w:t>
      </w:r>
    </w:p>
    <w:bookmarkEnd w:id="403"/>
    <w:p>
      <w:pPr>
        <w:ind w:firstLine="422"/>
        <w:jc w:val="left"/>
        <w:rPr>
          <w:rFonts w:hint="eastAsia" w:ascii="宋体" w:hAnsi="宋体"/>
          <w:sz w:val="21"/>
          <w:lang w:eastAsia="zh-CN"/>
        </w:rPr>
      </w:pPr>
      <w:r>
        <w:rPr>
          <w:rFonts w:hint="eastAsia" w:cs="Times New Roman"/>
          <w:b/>
          <w:bCs/>
          <w:sz w:val="21"/>
          <w:lang w:eastAsia="zh-CN"/>
        </w:rPr>
        <w:t xml:space="preserve">4.4.3 </w:t>
      </w:r>
      <w:r>
        <w:rPr>
          <w:rFonts w:hint="eastAsia" w:ascii="宋体" w:hAnsi="宋体"/>
          <w:sz w:val="21"/>
          <w:lang w:eastAsia="zh-CN"/>
        </w:rPr>
        <w:t>根据所用的排水水质条件，选用相应的管道，树脂供应商应给出相适应的检测报告。</w:t>
      </w:r>
    </w:p>
    <w:p>
      <w:pPr>
        <w:ind w:firstLine="422"/>
        <w:rPr>
          <w:rFonts w:cs="Times New Roman"/>
          <w:b/>
          <w:bCs/>
          <w:sz w:val="21"/>
          <w:lang w:eastAsia="zh-CN"/>
        </w:rPr>
      </w:pPr>
      <w:r>
        <w:rPr>
          <w:rFonts w:hint="eastAsia" w:cs="Times New Roman"/>
          <w:b/>
          <w:bCs/>
          <w:sz w:val="21"/>
          <w:lang w:eastAsia="zh-CN"/>
        </w:rPr>
        <w:t xml:space="preserve">4.4.6 </w:t>
      </w:r>
      <w:r>
        <w:rPr>
          <w:rFonts w:hint="eastAsia" w:ascii="宋体" w:hAnsi="宋体"/>
          <w:sz w:val="21"/>
          <w:lang w:eastAsia="zh-CN"/>
        </w:rPr>
        <w:t>软管外观可肉眼观察，内衬管色泽均匀一致，膜表面光滑平整，无明显杂质，表面无破损、无气泡、无白斑等。</w:t>
      </w:r>
    </w:p>
    <w:p>
      <w:pPr>
        <w:ind w:firstLine="422"/>
        <w:rPr>
          <w:rFonts w:hint="eastAsia" w:ascii="宋体" w:hAnsi="宋体"/>
          <w:sz w:val="21"/>
          <w:lang w:eastAsia="zh-CN"/>
        </w:rPr>
      </w:pPr>
      <w:r>
        <w:rPr>
          <w:rFonts w:hint="eastAsia" w:cs="Times New Roman"/>
          <w:b/>
          <w:bCs/>
          <w:sz w:val="21"/>
          <w:lang w:eastAsia="zh-CN"/>
        </w:rPr>
        <w:t xml:space="preserve">4.4.8 </w:t>
      </w:r>
      <w:r>
        <w:rPr>
          <w:rFonts w:hint="eastAsia" w:ascii="宋体" w:hAnsi="宋体"/>
          <w:sz w:val="21"/>
          <w:lang w:eastAsia="zh-CN"/>
        </w:rPr>
        <w:t>对含30%及以上玻璃纤维内衬管指标确认，由不同材料厂家，按照玻纤含量30%制备样品，并送第三方检测机构，对表中测试项目进行测试，结果远大于表中数据。</w:t>
      </w:r>
    </w:p>
    <w:p>
      <w:pPr>
        <w:ind w:firstLine="422"/>
        <w:rPr>
          <w:rFonts w:hint="eastAsia" w:ascii="宋体" w:hAnsi="宋体"/>
          <w:sz w:val="21"/>
          <w:lang w:eastAsia="zh-CN"/>
        </w:rPr>
      </w:pPr>
      <w:r>
        <w:rPr>
          <w:rFonts w:hint="eastAsia" w:cs="Times New Roman"/>
          <w:b/>
          <w:bCs/>
          <w:sz w:val="21"/>
          <w:lang w:eastAsia="zh-CN"/>
        </w:rPr>
        <w:t xml:space="preserve">4.4.12 </w:t>
      </w:r>
      <w:r>
        <w:rPr>
          <w:rFonts w:hint="eastAsia" w:ascii="宋体" w:hAnsi="宋体"/>
          <w:sz w:val="21"/>
          <w:lang w:eastAsia="zh-CN"/>
        </w:rPr>
        <w:t>用于内衬材料加热时提供热源。</w:t>
      </w:r>
    </w:p>
    <w:p>
      <w:pPr>
        <w:pStyle w:val="3"/>
        <w:ind w:firstLine="560"/>
      </w:pPr>
      <w:r>
        <w:t>4.</w:t>
      </w:r>
      <w:r>
        <w:rPr>
          <w:rFonts w:hint="eastAsia"/>
        </w:rPr>
        <w:t>5</w:t>
      </w:r>
      <w:r>
        <w:t xml:space="preserve"> 原位热塑成型法</w:t>
      </w:r>
    </w:p>
    <w:p>
      <w:pPr>
        <w:ind w:firstLine="0" w:firstLineChars="0"/>
        <w:rPr>
          <w:rFonts w:cs="Times New Roman"/>
          <w:color w:val="000000" w:themeColor="text1"/>
          <w:sz w:val="21"/>
          <w:lang w:eastAsia="zh-CN"/>
          <w14:textFill>
            <w14:solidFill>
              <w14:schemeClr w14:val="tx1"/>
            </w14:solidFill>
          </w14:textFill>
        </w:rPr>
      </w:pPr>
      <w:r>
        <w:rPr>
          <w:rFonts w:cs="Times New Roman"/>
          <w:b/>
          <w:bCs/>
          <w:color w:val="000000" w:themeColor="text1"/>
          <w:sz w:val="21"/>
          <w:lang w:eastAsia="zh-CN"/>
          <w14:textFill>
            <w14:solidFill>
              <w14:schemeClr w14:val="tx1"/>
            </w14:solidFill>
          </w14:textFill>
        </w:rPr>
        <w:t>4.</w:t>
      </w:r>
      <w:r>
        <w:rPr>
          <w:rFonts w:hint="eastAsia" w:cs="Times New Roman"/>
          <w:b/>
          <w:bCs/>
          <w:color w:val="000000" w:themeColor="text1"/>
          <w:sz w:val="21"/>
          <w:lang w:eastAsia="zh-CN"/>
          <w14:textFill>
            <w14:solidFill>
              <w14:schemeClr w14:val="tx1"/>
            </w14:solidFill>
          </w14:textFill>
        </w:rPr>
        <w:t>5.3</w:t>
      </w:r>
      <w:r>
        <w:rPr>
          <w:rFonts w:cs="Times New Roman"/>
          <w:color w:val="000000" w:themeColor="text1"/>
          <w:sz w:val="21"/>
          <w:lang w:eastAsia="zh-CN"/>
          <w14:textFill>
            <w14:solidFill>
              <w14:schemeClr w14:val="tx1"/>
            </w14:solidFill>
          </w14:textFill>
        </w:rPr>
        <w:t xml:space="preserve"> 原料分配可通过电脑实时监控的计量系统，将PVC-U、助剂、色母按照配方比例计量，自动混合后进入挤出机，通过螺杆的挤压成型，再经过专用设备将管折叠，最后在卷盘上完成收卷，见图</w:t>
      </w:r>
      <w:r>
        <w:rPr>
          <w:rFonts w:hint="eastAsia" w:cs="Times New Roman"/>
          <w:color w:val="000000" w:themeColor="text1"/>
          <w:sz w:val="21"/>
          <w:lang w:eastAsia="zh-CN"/>
          <w14:textFill>
            <w14:solidFill>
              <w14:schemeClr w14:val="tx1"/>
            </w14:solidFill>
          </w14:textFill>
        </w:rPr>
        <w:t>4</w:t>
      </w:r>
      <w:r>
        <w:rPr>
          <w:rFonts w:cs="Times New Roman"/>
          <w:color w:val="000000" w:themeColor="text1"/>
          <w:sz w:val="21"/>
          <w:lang w:eastAsia="zh-CN"/>
          <w14:textFill>
            <w14:solidFill>
              <w14:schemeClr w14:val="tx1"/>
            </w14:solidFill>
          </w14:textFill>
        </w:rPr>
        <w:t xml:space="preserve"> 。在修复前，管道厚度应符合设计文件的规定，厚度检测应符合现行国家标准《塑料管道系统 塑料部件尺寸的测定》GB/T 8806的规定。</w:t>
      </w:r>
    </w:p>
    <w:p>
      <w:pPr>
        <w:rPr>
          <w:rFonts w:cs="Times New Roman"/>
          <w:color w:val="000000" w:themeColor="text1"/>
          <w:lang w:eastAsia="zh-CN"/>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5163820" cy="2178050"/>
            <wp:effectExtent l="0" t="0" r="0" b="0"/>
            <wp:docPr id="156630888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08883" name="图片 1" descr="图示&#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06347" cy="2196368"/>
                    </a:xfrm>
                    <a:prstGeom prst="rect">
                      <a:avLst/>
                    </a:prstGeom>
                    <a:noFill/>
                    <a:ln>
                      <a:noFill/>
                    </a:ln>
                  </pic:spPr>
                </pic:pic>
              </a:graphicData>
            </a:graphic>
          </wp:inline>
        </w:drawing>
      </w:r>
    </w:p>
    <w:p>
      <w:pPr>
        <w:pStyle w:val="6"/>
        <w:ind w:firstLine="120"/>
        <w:jc w:val="center"/>
        <w:rPr>
          <w:rFonts w:ascii="Times New Roman" w:hAnsi="Times New Roman" w:cs="Times New Roman" w:eastAsiaTheme="majorEastAsia"/>
          <w:b/>
          <w:bCs/>
          <w:color w:val="000000" w:themeColor="text1"/>
          <w:sz w:val="21"/>
          <w:szCs w:val="21"/>
          <w14:textFill>
            <w14:solidFill>
              <w14:schemeClr w14:val="tx1"/>
            </w14:solidFill>
          </w14:textFill>
        </w:rPr>
      </w:pPr>
      <w:r>
        <w:rPr>
          <w:rFonts w:ascii="Times New Roman" w:hAnsi="Times New Roman" w:cs="Times New Roman" w:eastAsiaTheme="majorEastAsia"/>
          <w:b/>
          <w:bCs/>
          <w:color w:val="000000" w:themeColor="text1"/>
          <w:sz w:val="21"/>
          <w:szCs w:val="21"/>
          <w14:textFill>
            <w14:solidFill>
              <w14:schemeClr w14:val="tx1"/>
            </w14:solidFill>
          </w14:textFill>
        </w:rPr>
        <w:t xml:space="preserve">图 </w:t>
      </w:r>
      <w:bookmarkStart w:id="404" w:name="OLE_LINK6"/>
      <w:r>
        <w:rPr>
          <w:rFonts w:hint="eastAsia" w:ascii="Times New Roman" w:hAnsi="Times New Roman" w:cs="Times New Roman" w:eastAsiaTheme="majorEastAsia"/>
          <w:b/>
          <w:bCs/>
          <w:color w:val="000000" w:themeColor="text1"/>
          <w:sz w:val="21"/>
          <w:szCs w:val="21"/>
          <w14:textFill>
            <w14:solidFill>
              <w14:schemeClr w14:val="tx1"/>
            </w14:solidFill>
          </w14:textFill>
        </w:rPr>
        <w:t>4.5.3</w:t>
      </w:r>
      <w:bookmarkEnd w:id="404"/>
      <w:r>
        <w:rPr>
          <w:rFonts w:ascii="Times New Roman" w:hAnsi="Times New Roman" w:cs="Times New Roman" w:eastAsiaTheme="majorEastAsia"/>
          <w:b/>
          <w:bCs/>
          <w:color w:val="000000" w:themeColor="text1"/>
          <w:sz w:val="21"/>
          <w:szCs w:val="21"/>
          <w14:textFill>
            <w14:solidFill>
              <w14:schemeClr w14:val="tx1"/>
            </w14:solidFill>
          </w14:textFill>
        </w:rPr>
        <w:t xml:space="preserve">（a）“H”型折叠管截面示意图  </w:t>
      </w:r>
      <w:r>
        <w:rPr>
          <w:rFonts w:hint="eastAsia" w:ascii="Times New Roman" w:hAnsi="Times New Roman" w:cs="Times New Roman" w:eastAsiaTheme="majorEastAsia"/>
          <w:b/>
          <w:bCs/>
          <w:color w:val="000000" w:themeColor="text1"/>
          <w:sz w:val="21"/>
          <w:szCs w:val="21"/>
          <w14:textFill>
            <w14:solidFill>
              <w14:schemeClr w14:val="tx1"/>
            </w14:solidFill>
          </w14:textFill>
        </w:rPr>
        <w:t xml:space="preserve">  </w:t>
      </w:r>
      <w:r>
        <w:rPr>
          <w:rFonts w:ascii="Times New Roman" w:hAnsi="Times New Roman" w:cs="Times New Roman" w:eastAsiaTheme="majorEastAsia"/>
          <w:b/>
          <w:bCs/>
          <w:color w:val="000000" w:themeColor="text1"/>
          <w:sz w:val="21"/>
          <w:szCs w:val="21"/>
          <w14:textFill>
            <w14:solidFill>
              <w14:schemeClr w14:val="tx1"/>
            </w14:solidFill>
          </w14:textFill>
        </w:rPr>
        <w:t>图</w:t>
      </w:r>
      <w:r>
        <w:rPr>
          <w:rFonts w:hint="eastAsia" w:ascii="Times New Roman" w:hAnsi="Times New Roman" w:cs="Times New Roman" w:eastAsiaTheme="majorEastAsia"/>
          <w:b/>
          <w:bCs/>
          <w:color w:val="000000" w:themeColor="text1"/>
          <w:sz w:val="21"/>
          <w:szCs w:val="21"/>
          <w14:textFill>
            <w14:solidFill>
              <w14:schemeClr w14:val="tx1"/>
            </w14:solidFill>
          </w14:textFill>
        </w:rPr>
        <w:t>4.5.3</w:t>
      </w:r>
      <w:r>
        <w:rPr>
          <w:rFonts w:ascii="Times New Roman" w:hAnsi="Times New Roman" w:cs="Times New Roman" w:eastAsiaTheme="majorEastAsia"/>
          <w:b/>
          <w:bCs/>
          <w:color w:val="000000" w:themeColor="text1"/>
          <w:sz w:val="21"/>
          <w:szCs w:val="21"/>
          <w14:textFill>
            <w14:solidFill>
              <w14:schemeClr w14:val="tx1"/>
            </w14:solidFill>
          </w14:textFill>
        </w:rPr>
        <w:t>（b）“U”型折叠管截面示意图</w:t>
      </w:r>
    </w:p>
    <w:p>
      <w:pPr>
        <w:pStyle w:val="6"/>
        <w:ind w:firstLine="120"/>
        <w:jc w:val="center"/>
        <w:rPr>
          <w:rFonts w:ascii="Times New Roman" w:hAnsi="Times New Roman" w:cs="Times New Roman" w:eastAsiaTheme="majorEastAsia"/>
          <w:b/>
          <w:bCs/>
          <w:color w:val="000000" w:themeColor="text1"/>
          <w:sz w:val="21"/>
          <w:szCs w:val="21"/>
          <w14:textFill>
            <w14:solidFill>
              <w14:schemeClr w14:val="tx1"/>
            </w14:solidFill>
          </w14:textFill>
        </w:rPr>
      </w:pPr>
      <w:r>
        <w:rPr>
          <w:rFonts w:ascii="Times New Roman" w:hAnsi="Times New Roman" w:cs="Times New Roman" w:eastAsiaTheme="majorEastAsia"/>
          <w:b/>
          <w:bCs/>
          <w:color w:val="000000" w:themeColor="text1"/>
          <w:sz w:val="21"/>
          <w:szCs w:val="21"/>
          <w14:textFill>
            <w14:solidFill>
              <w14:schemeClr w14:val="tx1"/>
            </w14:solidFill>
          </w14:textFill>
        </w:rPr>
        <w:t>1——折叠管；2——原有管道</w:t>
      </w:r>
    </w:p>
    <w:p>
      <w:pPr>
        <w:ind w:firstLine="422"/>
        <w:rPr>
          <w:rFonts w:cs="Times New Roman"/>
          <w:sz w:val="21"/>
          <w:lang w:eastAsia="zh-CN"/>
        </w:rPr>
      </w:pPr>
      <w:r>
        <w:rPr>
          <w:rFonts w:hint="eastAsia" w:cs="Times New Roman"/>
          <w:b/>
          <w:bCs/>
          <w:sz w:val="21"/>
          <w:lang w:eastAsia="zh-CN"/>
        </w:rPr>
        <w:t xml:space="preserve">4.5.4 </w:t>
      </w:r>
      <w:r>
        <w:rPr>
          <w:rFonts w:cs="Times New Roman"/>
          <w:sz w:val="21"/>
          <w:lang w:eastAsia="zh-CN"/>
        </w:rPr>
        <w:t>热塑性衬管根据管径的不同</w:t>
      </w:r>
      <w:r>
        <w:rPr>
          <w:rFonts w:hint="eastAsia" w:cs="Times New Roman"/>
          <w:sz w:val="21"/>
          <w:lang w:eastAsia="zh-CN"/>
        </w:rPr>
        <w:t>，</w:t>
      </w:r>
      <w:r>
        <w:rPr>
          <w:rFonts w:cs="Times New Roman"/>
          <w:sz w:val="21"/>
          <w:lang w:eastAsia="zh-CN"/>
        </w:rPr>
        <w:t>缠绕段可为几十米至几百米。其卷盘方式与通常电缆的卷盘方式类似</w:t>
      </w:r>
      <w:r>
        <w:rPr>
          <w:rFonts w:hint="eastAsia" w:cs="Times New Roman"/>
          <w:sz w:val="21"/>
          <w:lang w:eastAsia="zh-CN"/>
        </w:rPr>
        <w:t>，</w:t>
      </w:r>
      <w:r>
        <w:rPr>
          <w:rFonts w:cs="Times New Roman"/>
          <w:sz w:val="21"/>
          <w:lang w:eastAsia="zh-CN"/>
        </w:rPr>
        <w:t>方便运输。在运输过程中</w:t>
      </w:r>
      <w:r>
        <w:rPr>
          <w:rFonts w:hint="eastAsia" w:cs="Times New Roman"/>
          <w:sz w:val="21"/>
          <w:lang w:eastAsia="zh-CN"/>
        </w:rPr>
        <w:t>，</w:t>
      </w:r>
      <w:r>
        <w:rPr>
          <w:rFonts w:cs="Times New Roman"/>
          <w:sz w:val="21"/>
          <w:lang w:eastAsia="zh-CN"/>
        </w:rPr>
        <w:t>衬管要遮阳并避免高温。热塑成型的过程中</w:t>
      </w:r>
      <w:r>
        <w:rPr>
          <w:rFonts w:hint="eastAsia" w:cs="Times New Roman"/>
          <w:sz w:val="21"/>
          <w:lang w:eastAsia="zh-CN"/>
        </w:rPr>
        <w:t>，</w:t>
      </w:r>
      <w:r>
        <w:rPr>
          <w:rFonts w:cs="Times New Roman"/>
          <w:sz w:val="21"/>
          <w:lang w:eastAsia="zh-CN"/>
        </w:rPr>
        <w:t>将出厂时内周长略小于待修管道内周长的衬管膨胀紧贴于待修管道的内壁,可以有效地减少和消除待修管道缺陷造成的皱褶。</w:t>
      </w:r>
      <w:bookmarkStart w:id="405" w:name="_Toc196915260"/>
      <w:bookmarkStart w:id="406" w:name="_Toc196750449"/>
      <w:bookmarkStart w:id="407" w:name="_Toc196295163"/>
      <w:bookmarkStart w:id="408" w:name="_Toc196377660"/>
    </w:p>
    <w:p>
      <w:pPr>
        <w:pStyle w:val="3"/>
        <w:ind w:firstLine="560"/>
      </w:pPr>
      <w:r>
        <w:rPr>
          <w:rFonts w:hint="eastAsia"/>
        </w:rPr>
        <w:t xml:space="preserve">4.6 </w:t>
      </w:r>
      <w:bookmarkEnd w:id="405"/>
      <w:bookmarkEnd w:id="406"/>
      <w:bookmarkEnd w:id="407"/>
      <w:bookmarkEnd w:id="408"/>
      <w:r>
        <w:rPr>
          <w:rFonts w:hint="eastAsia"/>
        </w:rPr>
        <w:t>螺旋缠绕内衬法</w:t>
      </w:r>
    </w:p>
    <w:p>
      <w:pPr>
        <w:ind w:firstLine="422"/>
        <w:rPr>
          <w:rFonts w:cs="Times New Roman"/>
          <w:sz w:val="21"/>
          <w:lang w:eastAsia="zh-CN"/>
        </w:rPr>
      </w:pPr>
      <w:bookmarkStart w:id="409" w:name="_Toc196915261"/>
      <w:bookmarkStart w:id="410" w:name="_Toc196377661"/>
      <w:bookmarkStart w:id="411" w:name="_Toc196295164"/>
      <w:bookmarkStart w:id="412" w:name="_Toc196750450"/>
      <w:r>
        <w:rPr>
          <w:rFonts w:hint="eastAsia" w:cs="Times New Roman"/>
          <w:b/>
          <w:bCs/>
          <w:sz w:val="21"/>
          <w:lang w:eastAsia="zh-CN"/>
        </w:rPr>
        <w:t xml:space="preserve">4.6.3 </w:t>
      </w:r>
      <w:r>
        <w:rPr>
          <w:rFonts w:hint="eastAsia" w:cs="Times New Roman"/>
          <w:sz w:val="21"/>
          <w:lang w:eastAsia="zh-CN"/>
        </w:rPr>
        <w:t>钢塑增强型螺旋缠绕法型材外观可参考图4.6.3。</w:t>
      </w:r>
    </w:p>
    <w:p>
      <w:pPr>
        <w:rPr>
          <w:rFonts w:cs="Times New Roman"/>
          <w:sz w:val="21"/>
          <w:lang w:eastAsia="zh-CN"/>
        </w:rPr>
      </w:pPr>
      <w:r>
        <w:rPr>
          <w:rFonts w:cs="Times New Roman"/>
          <w:lang w:eastAsia="zh-CN"/>
        </w:rPr>
        <w:drawing>
          <wp:inline distT="0" distB="0" distL="0" distR="0">
            <wp:extent cx="3698875" cy="1495425"/>
            <wp:effectExtent l="0" t="0" r="0" b="9525"/>
            <wp:docPr id="59043449" name="图片 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3449" name="图片 4" descr="图示&#10;&#10;AI 生成的内容可能不正确。"/>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701961" cy="1496945"/>
                    </a:xfrm>
                    <a:prstGeom prst="rect">
                      <a:avLst/>
                    </a:prstGeom>
                    <a:noFill/>
                    <a:ln>
                      <a:noFill/>
                    </a:ln>
                  </pic:spPr>
                </pic:pic>
              </a:graphicData>
            </a:graphic>
          </wp:inline>
        </w:drawing>
      </w:r>
    </w:p>
    <w:p>
      <w:pPr>
        <w:ind w:firstLine="422"/>
        <w:jc w:val="center"/>
        <w:rPr>
          <w:rFonts w:cs="Times New Roman"/>
          <w:b/>
          <w:bCs/>
          <w:sz w:val="21"/>
          <w:lang w:eastAsia="zh-CN"/>
        </w:rPr>
      </w:pPr>
      <w:r>
        <w:rPr>
          <w:rFonts w:hint="eastAsia" w:cs="Times New Roman"/>
          <w:b/>
          <w:bCs/>
          <w:sz w:val="21"/>
          <w:lang w:eastAsia="zh-CN"/>
        </w:rPr>
        <w:t>1-型材外表面T型肋；2-内层壁厚；3-型材内表面；4-密封材料</w:t>
      </w:r>
    </w:p>
    <w:p>
      <w:pPr>
        <w:ind w:firstLine="422"/>
        <w:jc w:val="center"/>
        <w:rPr>
          <w:rFonts w:cs="Times New Roman"/>
          <w:b/>
          <w:bCs/>
          <w:sz w:val="21"/>
          <w:lang w:eastAsia="zh-CN"/>
        </w:rPr>
      </w:pPr>
      <w:r>
        <w:rPr>
          <w:rFonts w:hint="eastAsia" w:cs="Times New Roman"/>
          <w:b/>
          <w:bCs/>
          <w:sz w:val="21"/>
          <w:lang w:eastAsia="zh-CN"/>
        </w:rPr>
        <w:t>图4.6.3 钢塑增强型螺旋缠绕法型材外观示意</w:t>
      </w:r>
    </w:p>
    <w:p>
      <w:pPr>
        <w:ind w:firstLine="422"/>
        <w:rPr>
          <w:rFonts w:cs="Times New Roman"/>
          <w:sz w:val="21"/>
          <w:lang w:eastAsia="zh-CN"/>
        </w:rPr>
      </w:pPr>
      <w:r>
        <w:rPr>
          <w:rFonts w:hint="eastAsia" w:cs="Times New Roman"/>
          <w:b/>
          <w:bCs/>
          <w:sz w:val="21"/>
          <w:lang w:eastAsia="zh-CN"/>
        </w:rPr>
        <w:t>4.6.7</w:t>
      </w:r>
      <w:r>
        <w:rPr>
          <w:rFonts w:hint="eastAsia" w:cs="Times New Roman"/>
          <w:sz w:val="21"/>
          <w:lang w:eastAsia="zh-CN"/>
        </w:rPr>
        <w:t xml:space="preserve"> 对于钢塑加强法工艺，内衬管道为独立结构管设计，管道自身强度高，注浆的作用仅仅为填充环形间隙，因而对浆液的强度没有要求。</w:t>
      </w:r>
    </w:p>
    <w:p>
      <w:pPr>
        <w:pStyle w:val="3"/>
      </w:pPr>
      <w:bookmarkStart w:id="413" w:name="OLE_LINK91"/>
      <w:r>
        <w:t>4.</w:t>
      </w:r>
      <w:r>
        <w:rPr>
          <w:rFonts w:hint="eastAsia"/>
        </w:rPr>
        <w:t>8</w:t>
      </w:r>
      <w:r>
        <w:t xml:space="preserve"> </w:t>
      </w:r>
      <w:r>
        <w:rPr>
          <w:rFonts w:hint="eastAsia"/>
        </w:rPr>
        <w:t>喷涂</w:t>
      </w:r>
      <w:r>
        <w:t>法</w:t>
      </w:r>
      <w:bookmarkEnd w:id="409"/>
      <w:bookmarkEnd w:id="410"/>
      <w:bookmarkEnd w:id="411"/>
      <w:bookmarkEnd w:id="412"/>
    </w:p>
    <w:bookmarkEnd w:id="413"/>
    <w:p>
      <w:pPr>
        <w:ind w:firstLine="420" w:firstLineChars="0"/>
        <w:rPr>
          <w:rFonts w:cs="Times New Roman"/>
          <w:color w:val="000000" w:themeColor="text1"/>
          <w:sz w:val="21"/>
          <w:lang w:eastAsia="zh-CN"/>
          <w14:textFill>
            <w14:solidFill>
              <w14:schemeClr w14:val="tx1"/>
            </w14:solidFill>
          </w14:textFill>
        </w:rPr>
      </w:pPr>
      <w:r>
        <w:rPr>
          <w:rFonts w:hint="eastAsia"/>
          <w:b/>
          <w:bCs/>
          <w:sz w:val="21"/>
          <w:lang w:eastAsia="zh-CN"/>
        </w:rPr>
        <w:t xml:space="preserve">4.8.7 </w:t>
      </w:r>
      <w:r>
        <w:rPr>
          <w:rFonts w:hint="eastAsia"/>
          <w:sz w:val="21"/>
          <w:lang w:eastAsia="zh-CN"/>
        </w:rPr>
        <w:t>喷涂材料和基体的粘结强度取决于材料本身的性能、喷涂工艺、基体表面处理等因素。特殊腐蚀介质建议根据业主要求做专项抗腐蚀实验，饮用水管道要满足卫生要求。表4.8.7-1规定喷涂后一个可通水时间的最小值60min主要是保证材料不会因为突然快速冷却而造成开裂，这是一个经验值</w:t>
      </w:r>
    </w:p>
    <w:p>
      <w:pPr>
        <w:pStyle w:val="3"/>
      </w:pPr>
      <w:bookmarkStart w:id="414" w:name="OLE_LINK93"/>
      <w:r>
        <w:t>4.</w:t>
      </w:r>
      <w:r>
        <w:rPr>
          <w:rFonts w:hint="eastAsia"/>
        </w:rPr>
        <w:t>9</w:t>
      </w:r>
      <w:r>
        <w:t xml:space="preserve"> </w:t>
      </w:r>
      <w:r>
        <w:rPr>
          <w:rFonts w:hint="eastAsia"/>
        </w:rPr>
        <w:t>碎裂管</w:t>
      </w:r>
      <w:r>
        <w:t>法</w:t>
      </w:r>
    </w:p>
    <w:bookmarkEnd w:id="414"/>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4.9.5</w:t>
      </w:r>
      <w:r>
        <w:rPr>
          <w:rFonts w:hint="eastAsia" w:cs="Times New Roman"/>
          <w:color w:val="000000" w:themeColor="text1"/>
          <w:sz w:val="21"/>
          <w:lang w:eastAsia="zh-CN"/>
          <w14:textFill>
            <w14:solidFill>
              <w14:schemeClr w14:val="tx1"/>
            </w14:solidFill>
          </w14:textFill>
        </w:rPr>
        <w:t xml:space="preserve"> 施工核心装置主要有：穿心千斤顶、小型液压泵站、胀裂管头组合、短接杆、扶正器以及配套的传力/承力连接组件等。</w:t>
      </w:r>
    </w:p>
    <w:p>
      <w:pPr>
        <w:kinsoku/>
        <w:autoSpaceDE/>
        <w:autoSpaceDN/>
        <w:adjustRightInd/>
        <w:snapToGrid/>
        <w:spacing w:line="240" w:lineRule="auto"/>
        <w:ind w:firstLine="0" w:firstLineChars="0"/>
        <w:jc w:val="left"/>
        <w:textAlignment w:val="auto"/>
        <w:rPr>
          <w:rFonts w:eastAsia="黑体" w:cs="Times New Roman"/>
          <w:b/>
          <w:bCs/>
          <w:color w:val="000000" w:themeColor="text1"/>
          <w:sz w:val="32"/>
          <w:szCs w:val="32"/>
          <w:lang w:eastAsia="zh-CN"/>
          <w14:textFill>
            <w14:solidFill>
              <w14:schemeClr w14:val="tx1"/>
            </w14:solidFill>
          </w14:textFill>
        </w:rPr>
      </w:pPr>
      <w:bookmarkStart w:id="415" w:name="_Toc196295165"/>
      <w:bookmarkStart w:id="416" w:name="_Toc196377662"/>
      <w:bookmarkStart w:id="417" w:name="_Toc196750451"/>
      <w:bookmarkStart w:id="418" w:name="_Toc196915262"/>
      <w:r>
        <w:rPr>
          <w:rFonts w:eastAsia="黑体" w:cs="Times New Roman"/>
          <w:color w:val="000000" w:themeColor="text1"/>
          <w:lang w:eastAsia="zh-CN"/>
          <w14:textFill>
            <w14:solidFill>
              <w14:schemeClr w14:val="tx1"/>
            </w14:solidFill>
          </w14:textFill>
        </w:rPr>
        <w:br w:type="page"/>
      </w:r>
    </w:p>
    <w:p>
      <w:pPr>
        <w:pStyle w:val="15"/>
        <w:ind w:firstLine="643"/>
        <w:rPr>
          <w:rFonts w:ascii="Times New Roman" w:hAnsi="Times New Roman" w:eastAsia="黑体" w:cs="Times New Roman"/>
          <w:color w:val="000000" w:themeColor="text1"/>
          <w:lang w:eastAsia="zh-CN"/>
          <w14:textFill>
            <w14:solidFill>
              <w14:schemeClr w14:val="tx1"/>
            </w14:solidFill>
          </w14:textFill>
        </w:rPr>
      </w:pPr>
      <w:r>
        <w:rPr>
          <w:rFonts w:ascii="Times New Roman" w:hAnsi="Times New Roman" w:eastAsia="黑体" w:cs="Times New Roman"/>
          <w:color w:val="000000" w:themeColor="text1"/>
          <w:lang w:eastAsia="zh-CN"/>
          <w14:textFill>
            <w14:solidFill>
              <w14:schemeClr w14:val="tx1"/>
            </w14:solidFill>
          </w14:textFill>
        </w:rPr>
        <w:t xml:space="preserve">5 </w:t>
      </w:r>
      <w:bookmarkEnd w:id="415"/>
      <w:bookmarkEnd w:id="416"/>
      <w:bookmarkEnd w:id="417"/>
      <w:bookmarkEnd w:id="418"/>
      <w:r>
        <w:rPr>
          <w:rFonts w:hint="eastAsia" w:ascii="Times New Roman" w:hAnsi="Times New Roman" w:eastAsia="黑体" w:cs="Times New Roman"/>
          <w:color w:val="000000" w:themeColor="text1"/>
          <w:lang w:eastAsia="zh-CN"/>
          <w14:textFill>
            <w14:solidFill>
              <w14:schemeClr w14:val="tx1"/>
            </w14:solidFill>
          </w14:textFill>
        </w:rPr>
        <w:t>功能性修复与预处理</w:t>
      </w:r>
    </w:p>
    <w:p>
      <w:pPr>
        <w:pStyle w:val="3"/>
        <w:ind w:firstLine="560"/>
      </w:pPr>
      <w:bookmarkStart w:id="419" w:name="_Toc196295166"/>
      <w:bookmarkStart w:id="420" w:name="_Toc196377663"/>
      <w:bookmarkStart w:id="421" w:name="_Toc196915263"/>
      <w:bookmarkStart w:id="422" w:name="_Toc196750452"/>
      <w:r>
        <w:t xml:space="preserve">5.1 </w:t>
      </w:r>
      <w:bookmarkEnd w:id="419"/>
      <w:bookmarkEnd w:id="420"/>
      <w:bookmarkEnd w:id="421"/>
      <w:bookmarkEnd w:id="422"/>
      <w:r>
        <w:rPr>
          <w:rFonts w:hint="eastAsia"/>
        </w:rPr>
        <w:t>一般规定</w:t>
      </w:r>
    </w:p>
    <w:p>
      <w:pPr>
        <w:ind w:firstLine="422"/>
        <w:rPr>
          <w:rFonts w:cs="Times New Roman"/>
          <w:sz w:val="21"/>
          <w:lang w:eastAsia="zh-CN"/>
        </w:rPr>
      </w:pPr>
      <w:r>
        <w:rPr>
          <w:rFonts w:hint="eastAsia" w:cs="Times New Roman"/>
          <w:b/>
          <w:bCs/>
          <w:sz w:val="21"/>
          <w:lang w:eastAsia="zh-CN"/>
        </w:rPr>
        <w:t>5.1.3</w:t>
      </w:r>
      <w:r>
        <w:rPr>
          <w:rFonts w:hint="eastAsia" w:cs="Times New Roman"/>
          <w:sz w:val="21"/>
          <w:lang w:eastAsia="zh-CN"/>
        </w:rPr>
        <w:t xml:space="preserve"> 管道清洗主要包括高压水射流清洗、化学清洗等。其中高压水射流清洗目前是国际上工业及民用管道清洗的主导设备，使用比例约占80%~90%，国内该项技术也有较多应用。</w:t>
      </w:r>
    </w:p>
    <w:p>
      <w:pPr>
        <w:ind w:firstLine="420"/>
        <w:rPr>
          <w:rFonts w:cs="Times New Roman"/>
          <w:sz w:val="21"/>
          <w:lang w:eastAsia="zh-CN"/>
        </w:rPr>
      </w:pPr>
      <w:r>
        <w:rPr>
          <w:rFonts w:hint="eastAsia" w:cs="Times New Roman"/>
          <w:sz w:val="21"/>
          <w:lang w:eastAsia="zh-CN"/>
        </w:rPr>
        <w:t>采用喷涂法时，应使用足够压力的高压水枪冲洗基材去除浮皮、松动的材料、完全或部分腐蚀的材料、污油以及各种残留的有机膜或有机涂料，确保所有基底清洁、坚固并有足够的粗糙度，粗骨料应裸露。</w:t>
      </w:r>
    </w:p>
    <w:p>
      <w:pPr>
        <w:pStyle w:val="3"/>
        <w:ind w:firstLine="560"/>
      </w:pPr>
      <w:r>
        <w:t>5.</w:t>
      </w:r>
      <w:r>
        <w:rPr>
          <w:rFonts w:hint="eastAsia"/>
        </w:rPr>
        <w:t>2</w:t>
      </w:r>
      <w:r>
        <w:t xml:space="preserve"> </w:t>
      </w:r>
      <w:r>
        <w:rPr>
          <w:rFonts w:hint="eastAsia"/>
        </w:rPr>
        <w:t>功能性缺陷修复</w:t>
      </w:r>
    </w:p>
    <w:p>
      <w:pPr>
        <w:ind w:firstLine="422"/>
        <w:rPr>
          <w:rFonts w:cs="Times New Roman"/>
          <w:sz w:val="21"/>
          <w:lang w:eastAsia="zh-CN"/>
        </w:rPr>
      </w:pPr>
      <w:r>
        <w:rPr>
          <w:rFonts w:hint="eastAsia" w:cs="Times New Roman"/>
          <w:b/>
          <w:bCs/>
          <w:sz w:val="21"/>
          <w:lang w:eastAsia="zh-CN"/>
          <w14:ligatures w14:val="standardContextual"/>
        </w:rPr>
        <w:t>5.2.2</w:t>
      </w:r>
      <w:r>
        <w:rPr>
          <w:rFonts w:hint="eastAsia" w:cs="Times New Roman"/>
          <w:b/>
          <w:bCs/>
          <w:sz w:val="21"/>
          <w:lang w:eastAsia="zh-CN"/>
        </w:rPr>
        <w:t xml:space="preserve"> </w:t>
      </w:r>
      <w:r>
        <w:rPr>
          <w:rFonts w:hint="eastAsia" w:cs="Times New Roman"/>
          <w:sz w:val="21"/>
          <w:lang w:eastAsia="zh-CN"/>
        </w:rPr>
        <w:t>高压水射流清洗水性、油性、黏着性附着垢压力一般为</w:t>
      </w:r>
      <w:r>
        <w:rPr>
          <w:rFonts w:cs="Times New Roman"/>
          <w:sz w:val="21"/>
          <w:lang w:eastAsia="zh-CN"/>
        </w:rPr>
        <w:t>20MPa~30MPa</w:t>
      </w:r>
      <w:r>
        <w:rPr>
          <w:rFonts w:hint="eastAsia" w:cs="Times New Roman"/>
          <w:sz w:val="21"/>
          <w:lang w:eastAsia="zh-CN"/>
        </w:rPr>
        <w:t>，对硬质垢一般为</w:t>
      </w:r>
      <w:r>
        <w:rPr>
          <w:rFonts w:cs="Times New Roman"/>
          <w:sz w:val="21"/>
          <w:lang w:eastAsia="zh-CN"/>
        </w:rPr>
        <w:t>30MPa~70MPa</w:t>
      </w:r>
      <w:r>
        <w:rPr>
          <w:rFonts w:hint="eastAsia" w:cs="Times New Roman"/>
          <w:sz w:val="21"/>
          <w:lang w:eastAsia="zh-CN"/>
        </w:rPr>
        <w:t>。高压水射流清洗过程中与管道损坏相关的因素除喷嘴处水压力之外还有水量、喷头和管壁之间的距离、喷头的数量、大小、喷出角度。这些参数的选择应根据清洗任务、管材、管道壁厚以及管道断面的结构条件来选取。喷射角度一般为</w:t>
      </w:r>
      <w:r>
        <w:rPr>
          <w:rFonts w:cs="Times New Roman"/>
          <w:sz w:val="21"/>
          <w:lang w:eastAsia="zh-CN"/>
        </w:rPr>
        <w:t>15</w:t>
      </w:r>
      <w:r>
        <w:rPr>
          <w:rFonts w:hint="eastAsia" w:cs="Times New Roman"/>
          <w:sz w:val="21"/>
          <w:lang w:eastAsia="zh-CN"/>
        </w:rPr>
        <w:t>°</w:t>
      </w:r>
      <w:r>
        <w:rPr>
          <w:rFonts w:cs="Times New Roman"/>
          <w:sz w:val="21"/>
          <w:lang w:eastAsia="zh-CN"/>
        </w:rPr>
        <w:t>~30</w:t>
      </w:r>
      <w:r>
        <w:rPr>
          <w:rFonts w:hint="eastAsia" w:cs="Times New Roman"/>
          <w:sz w:val="21"/>
          <w:lang w:eastAsia="zh-CN"/>
        </w:rPr>
        <w:t>°。研究表明，喷嘴处以</w:t>
      </w:r>
      <w:r>
        <w:rPr>
          <w:rFonts w:cs="Times New Roman"/>
          <w:sz w:val="21"/>
          <w:lang w:eastAsia="zh-CN"/>
        </w:rPr>
        <w:t>12MPa</w:t>
      </w:r>
      <w:r>
        <w:rPr>
          <w:rFonts w:hint="eastAsia" w:cs="Times New Roman"/>
          <w:sz w:val="21"/>
          <w:lang w:eastAsia="zh-CN"/>
        </w:rPr>
        <w:t>的压力、</w:t>
      </w:r>
      <w:r>
        <w:rPr>
          <w:rFonts w:cs="Times New Roman"/>
          <w:sz w:val="21"/>
          <w:lang w:eastAsia="zh-CN"/>
        </w:rPr>
        <w:t>300L/min</w:t>
      </w:r>
      <w:r>
        <w:rPr>
          <w:rFonts w:hint="eastAsia" w:cs="Times New Roman"/>
          <w:sz w:val="21"/>
          <w:lang w:eastAsia="zh-CN"/>
        </w:rPr>
        <w:t>的流量清洗石棉水泥管、混凝土管、</w:t>
      </w:r>
      <w:r>
        <w:rPr>
          <w:rFonts w:cs="Times New Roman"/>
          <w:sz w:val="21"/>
          <w:lang w:eastAsia="zh-CN"/>
        </w:rPr>
        <w:t>PVC</w:t>
      </w:r>
      <w:r>
        <w:rPr>
          <w:rFonts w:hint="eastAsia" w:cs="Times New Roman"/>
          <w:sz w:val="21"/>
          <w:lang w:eastAsia="zh-CN"/>
        </w:rPr>
        <w:t>管和</w:t>
      </w:r>
      <w:r>
        <w:rPr>
          <w:rFonts w:cs="Times New Roman"/>
          <w:sz w:val="21"/>
          <w:lang w:eastAsia="zh-CN"/>
        </w:rPr>
        <w:t xml:space="preserve"> HDPE </w:t>
      </w:r>
      <w:r>
        <w:rPr>
          <w:rFonts w:hint="eastAsia" w:cs="Times New Roman"/>
          <w:sz w:val="21"/>
          <w:lang w:eastAsia="zh-CN"/>
        </w:rPr>
        <w:t>管时，不会损坏管道。</w:t>
      </w:r>
    </w:p>
    <w:p>
      <w:pPr>
        <w:ind w:firstLine="420"/>
        <w:rPr>
          <w:rFonts w:cs="Times New Roman"/>
          <w:sz w:val="21"/>
          <w:lang w:eastAsia="zh-CN"/>
        </w:rPr>
      </w:pPr>
      <w:r>
        <w:rPr>
          <w:rFonts w:hint="eastAsia" w:cs="Times New Roman"/>
          <w:sz w:val="21"/>
          <w:lang w:eastAsia="zh-CN"/>
        </w:rPr>
        <w:t>对于</w:t>
      </w:r>
      <w:r>
        <w:rPr>
          <w:rFonts w:cs="Times New Roman"/>
          <w:sz w:val="21"/>
          <w:lang w:eastAsia="zh-CN"/>
        </w:rPr>
        <w:t>CCTV</w:t>
      </w:r>
      <w:r>
        <w:rPr>
          <w:rFonts w:hint="eastAsia" w:cs="Times New Roman"/>
          <w:sz w:val="21"/>
          <w:lang w:eastAsia="zh-CN"/>
        </w:rPr>
        <w:t>检测报告显示腐蚀较严重的原管段，应在靠近井口处采取较低的水流压力试喷，确定适合的压力后，再对整个管段进行清洗。对于原有管道已经发生的塌陷或空洞处，严禁用高压水流冲洗暴露的土体，防止出现水土流失导致坍塌。</w:t>
      </w:r>
    </w:p>
    <w:p>
      <w:pPr>
        <w:ind w:firstLine="422"/>
        <w:rPr>
          <w:rFonts w:cs="Times New Roman"/>
          <w:sz w:val="21"/>
          <w:lang w:eastAsia="zh-CN"/>
        </w:rPr>
      </w:pPr>
      <w:r>
        <w:rPr>
          <w:rFonts w:cs="Times New Roman"/>
          <w:b/>
          <w:bCs/>
          <w:sz w:val="21"/>
          <w:lang w:eastAsia="zh-CN"/>
        </w:rPr>
        <w:t>5.2.</w:t>
      </w:r>
      <w:r>
        <w:rPr>
          <w:rFonts w:hint="eastAsia" w:cs="Times New Roman"/>
          <w:b/>
          <w:bCs/>
          <w:sz w:val="21"/>
          <w:lang w:eastAsia="zh-CN"/>
        </w:rPr>
        <w:t xml:space="preserve">5 </w:t>
      </w:r>
      <w:r>
        <w:rPr>
          <w:rFonts w:hint="eastAsia" w:cs="Times New Roman"/>
          <w:sz w:val="21"/>
          <w:lang w:eastAsia="zh-CN"/>
        </w:rPr>
        <w:t>高压水射流清洗过程中与井壁损坏相关的因素除水压力之外还有水量，喷头和井壁的距离，喷头的数量、大小、喷出角度这些参数的选择需根据检查井材质、结构条件及清洗程度来选取。喷射角度一般为</w:t>
      </w:r>
      <w:r>
        <w:rPr>
          <w:rFonts w:cs="Times New Roman"/>
          <w:sz w:val="21"/>
          <w:lang w:eastAsia="zh-CN"/>
        </w:rPr>
        <w:t>15</w:t>
      </w:r>
      <w:r>
        <w:rPr>
          <w:rFonts w:hint="eastAsia" w:cs="Times New Roman"/>
          <w:sz w:val="21"/>
          <w:lang w:eastAsia="zh-CN"/>
        </w:rPr>
        <w:t>°</w:t>
      </w:r>
      <w:r>
        <w:rPr>
          <w:rFonts w:cs="Times New Roman"/>
          <w:sz w:val="21"/>
          <w:lang w:eastAsia="zh-CN"/>
        </w:rPr>
        <w:t>~30</w:t>
      </w:r>
      <w:r>
        <w:rPr>
          <w:rFonts w:hint="eastAsia" w:cs="Times New Roman"/>
          <w:sz w:val="21"/>
          <w:lang w:eastAsia="zh-CN"/>
        </w:rPr>
        <w:t>°，一般建议冲洗机压力不低于</w:t>
      </w:r>
      <w:r>
        <w:rPr>
          <w:rFonts w:cs="Times New Roman"/>
          <w:sz w:val="21"/>
          <w:lang w:eastAsia="zh-CN"/>
        </w:rPr>
        <w:t>15MPa</w:t>
      </w:r>
      <w:r>
        <w:rPr>
          <w:rFonts w:hint="eastAsia" w:cs="Times New Roman"/>
          <w:sz w:val="21"/>
          <w:lang w:eastAsia="zh-CN"/>
        </w:rPr>
        <w:t>，应将检查井表面和井底的劣质混凝土和腐蚀层冲洗掉，直至露出有效结构层。</w:t>
      </w:r>
    </w:p>
    <w:p>
      <w:pPr>
        <w:ind w:firstLine="420"/>
        <w:rPr>
          <w:rFonts w:cs="Times New Roman"/>
          <w:sz w:val="21"/>
          <w:lang w:eastAsia="zh-CN"/>
        </w:rPr>
      </w:pPr>
      <w:r>
        <w:rPr>
          <w:rFonts w:hint="eastAsia" w:cs="Times New Roman"/>
          <w:sz w:val="21"/>
          <w:lang w:eastAsia="zh-CN"/>
        </w:rPr>
        <w:t>清洗腐蚀严重的井壁时，需先采用低压水流试喷，待压力确定后，再对整个井壁进行清洗。对井壁已发生塌陷或空洞处，不得用高压水流冲洗暴露的土体，防止出现水土流失导致坍塌。</w:t>
      </w:r>
    </w:p>
    <w:p>
      <w:pPr>
        <w:pStyle w:val="3"/>
        <w:ind w:firstLine="560"/>
      </w:pPr>
      <w:r>
        <w:t>5.</w:t>
      </w:r>
      <w:r>
        <w:rPr>
          <w:rFonts w:hint="eastAsia"/>
        </w:rPr>
        <w:t>3</w:t>
      </w:r>
      <w:r>
        <w:t xml:space="preserve"> </w:t>
      </w:r>
      <w:r>
        <w:rPr>
          <w:rFonts w:hint="eastAsia"/>
        </w:rPr>
        <w:t>预处理</w:t>
      </w:r>
    </w:p>
    <w:p>
      <w:pPr>
        <w:ind w:firstLine="422"/>
        <w:rPr>
          <w:rFonts w:hint="eastAsia" w:ascii="宋体" w:hAnsi="宋体" w:cs="Times New Roman"/>
          <w:color w:val="000000" w:themeColor="text1"/>
          <w:sz w:val="21"/>
          <w:lang w:eastAsia="zh-CN"/>
          <w14:textFill>
            <w14:solidFill>
              <w14:schemeClr w14:val="tx1"/>
            </w14:solidFill>
          </w14:textFill>
        </w:rPr>
      </w:pPr>
      <w:r>
        <w:rPr>
          <w:rFonts w:cs="Times New Roman"/>
          <w:b/>
          <w:bCs/>
          <w:sz w:val="21"/>
          <w:lang w:eastAsia="zh-CN"/>
        </w:rPr>
        <w:t>5.3.1</w:t>
      </w:r>
      <w:r>
        <w:rPr>
          <w:rFonts w:hint="eastAsia" w:cs="Times New Roman"/>
          <w:b/>
          <w:bCs/>
          <w:sz w:val="21"/>
          <w:lang w:eastAsia="zh-CN"/>
        </w:rPr>
        <w:t xml:space="preserve">5 </w:t>
      </w:r>
      <w:r>
        <w:rPr>
          <w:rFonts w:hint="eastAsia" w:ascii="宋体" w:hAnsi="宋体" w:cs="Times New Roman"/>
          <w:color w:val="000000" w:themeColor="text1"/>
          <w:sz w:val="21"/>
          <w:lang w:eastAsia="zh-CN"/>
          <w14:textFill>
            <w14:solidFill>
              <w14:schemeClr w14:val="tx1"/>
            </w14:solidFill>
          </w14:textFill>
        </w:rPr>
        <w:t>若采用两片安装,安装时一边以承插安装,另外一边以专用液压设备分别顶在胀环的两侧接口处,通过液压设备的撑力，将两侧接口分开至设计宽度后,插入与两侧接口同宽度的固定塞片,从而完成安装。若采用三片安装,其中一片采用两边承插安装,另外两片均采用单侧承插安装,最后这两片的接口再按照上述方式采用千斤顶安装固定。</w:t>
      </w:r>
    </w:p>
    <w:p>
      <w:pPr>
        <w:ind w:firstLine="422"/>
        <w:rPr>
          <w:rFonts w:hint="eastAsia" w:ascii="宋体" w:hAnsi="宋体" w:cs="Times New Roman"/>
          <w:sz w:val="21"/>
          <w:lang w:eastAsia="zh-CN"/>
        </w:rPr>
      </w:pPr>
      <w:r>
        <w:rPr>
          <w:rFonts w:hint="eastAsia" w:eastAsia="黑体" w:cs="Times New Roman"/>
          <w:b/>
          <w:bCs/>
          <w:color w:val="000000" w:themeColor="text1"/>
          <w:sz w:val="21"/>
          <w:lang w:eastAsia="zh-CN"/>
          <w14:textFill>
            <w14:solidFill>
              <w14:schemeClr w14:val="tx1"/>
            </w14:solidFill>
          </w14:textFill>
        </w:rPr>
        <w:t xml:space="preserve">5.3.17 </w:t>
      </w:r>
      <w:r>
        <w:rPr>
          <w:rFonts w:hint="eastAsia" w:ascii="宋体" w:hAnsi="宋体" w:cs="Times New Roman"/>
          <w:sz w:val="21"/>
          <w:lang w:eastAsia="zh-CN"/>
        </w:rPr>
        <w:t>当缺陷轴向长度超过单个快速锁长度时,宜采取多个快速锁搭接方式,安装时后一个快速锁橡胶套应压住前一个快速锁超出的橡胶套。</w:t>
      </w:r>
    </w:p>
    <w:p>
      <w:pPr>
        <w:ind w:firstLine="422"/>
        <w:rPr>
          <w:rFonts w:hint="eastAsia" w:ascii="宋体" w:hAnsi="宋体" w:cs="Times New Roman"/>
          <w:sz w:val="21"/>
          <w:lang w:eastAsia="zh-CN"/>
        </w:rPr>
      </w:pPr>
      <w:r>
        <w:rPr>
          <w:rFonts w:hint="eastAsia" w:eastAsia="黑体" w:cs="Times New Roman"/>
          <w:b/>
          <w:bCs/>
          <w:color w:val="000000" w:themeColor="text1"/>
          <w:sz w:val="21"/>
          <w:lang w:eastAsia="zh-CN"/>
          <w14:textFill>
            <w14:solidFill>
              <w14:schemeClr w14:val="tx1"/>
            </w14:solidFill>
          </w14:textFill>
        </w:rPr>
        <w:t>5.3.18</w:t>
      </w:r>
      <w:r>
        <w:rPr>
          <w:rFonts w:hint="eastAsia" w:ascii="宋体" w:hAnsi="宋体" w:cs="Times New Roman"/>
          <w:sz w:val="21"/>
          <w:lang w:eastAsia="zh-CN"/>
        </w:rPr>
        <w:t xml:space="preserve"> 采用气囊安装时，需在地面上预先安装不锈钢套筒和橡胶出的橡胶套。并在始发井和接收井各安装卷扬机；将快速锁固定于带轮专用气囊，在CCTV或潜望镜辅助下将气囊牵拉至待修复位置，向气囊内缓慢充气使快速锁扩展开并紧贴于原有管道内壁；当确认快速锁完全张开后,需可释放气囊压力后撤出。</w:t>
      </w:r>
    </w:p>
    <w:p>
      <w:pPr>
        <w:ind w:firstLine="422"/>
        <w:rPr>
          <w:rFonts w:hint="eastAsia" w:ascii="宋体" w:hAnsi="宋体" w:cs="Times New Roman"/>
          <w:sz w:val="21"/>
          <w:lang w:eastAsia="zh-CN"/>
        </w:rPr>
      </w:pPr>
      <w:r>
        <w:rPr>
          <w:rFonts w:hint="eastAsia" w:eastAsia="黑体" w:cs="Times New Roman"/>
          <w:b/>
          <w:bCs/>
          <w:color w:val="000000" w:themeColor="text1"/>
          <w:sz w:val="21"/>
          <w:lang w:eastAsia="zh-CN"/>
          <w14:textFill>
            <w14:solidFill>
              <w14:schemeClr w14:val="tx1"/>
            </w14:solidFill>
          </w14:textFill>
        </w:rPr>
        <w:t>5.3.19</w:t>
      </w:r>
      <w:r>
        <w:rPr>
          <w:rFonts w:hint="eastAsia" w:ascii="宋体" w:hAnsi="宋体" w:cs="Times New Roman"/>
          <w:sz w:val="21"/>
          <w:lang w:eastAsia="zh-CN"/>
        </w:rPr>
        <w:t xml:space="preserve"> 采用人工方式安装时,需将不锈钢环片、橡胶套等通过检查井置入待修复位置；在井内先将不锈钢环片拼装成套筒，再将橡胶套入形成不锈钢快速锁；在待修复位置采用专用扩张器对快速锁进行扩张,待扩张到橡胶套密封台接近管壁时,使用扩张器上的辅助扩张丝杆缓慢扩张；在扩张过程中可用橡胶锤环向振击快速锁,当各个部位与原管壁紧密贴合时可紧固螺丝，完成安装。</w:t>
      </w:r>
    </w:p>
    <w:p>
      <w:pPr>
        <w:rPr>
          <w:lang w:eastAsia="zh-CN"/>
        </w:rPr>
      </w:pPr>
    </w:p>
    <w:p>
      <w:pPr>
        <w:kinsoku/>
        <w:autoSpaceDE/>
        <w:autoSpaceDN/>
        <w:adjustRightInd/>
        <w:snapToGrid/>
        <w:spacing w:line="240" w:lineRule="auto"/>
        <w:ind w:firstLine="0" w:firstLineChars="0"/>
        <w:jc w:val="left"/>
        <w:textAlignment w:val="auto"/>
        <w:rPr>
          <w:rFonts w:eastAsia="黑体" w:cs="Times New Roman"/>
          <w:b/>
          <w:bCs/>
          <w:color w:val="000000" w:themeColor="text1"/>
          <w:sz w:val="32"/>
          <w:szCs w:val="32"/>
          <w:lang w:eastAsia="zh-CN"/>
          <w14:textFill>
            <w14:solidFill>
              <w14:schemeClr w14:val="tx1"/>
            </w14:solidFill>
          </w14:textFill>
        </w:rPr>
      </w:pPr>
      <w:bookmarkStart w:id="423" w:name="_Toc196377664"/>
      <w:bookmarkStart w:id="424" w:name="_Toc196915264"/>
      <w:bookmarkStart w:id="425" w:name="_Toc196750453"/>
      <w:bookmarkStart w:id="426" w:name="_Toc196295167"/>
      <w:r>
        <w:rPr>
          <w:rFonts w:eastAsia="黑体" w:cs="Times New Roman"/>
          <w:color w:val="000000" w:themeColor="text1"/>
          <w:lang w:eastAsia="zh-CN"/>
          <w14:textFill>
            <w14:solidFill>
              <w14:schemeClr w14:val="tx1"/>
            </w14:solidFill>
          </w14:textFill>
        </w:rPr>
        <w:br w:type="page"/>
      </w:r>
    </w:p>
    <w:p>
      <w:pPr>
        <w:pStyle w:val="15"/>
        <w:ind w:firstLine="643"/>
        <w:rPr>
          <w:rFonts w:ascii="Times New Roman" w:hAnsi="Times New Roman" w:eastAsia="黑体" w:cs="Times New Roman"/>
          <w:color w:val="000000" w:themeColor="text1"/>
          <w:lang w:eastAsia="zh-CN"/>
          <w14:textFill>
            <w14:solidFill>
              <w14:schemeClr w14:val="tx1"/>
            </w14:solidFill>
          </w14:textFill>
        </w:rPr>
      </w:pPr>
      <w:r>
        <w:rPr>
          <w:rFonts w:ascii="Times New Roman" w:hAnsi="Times New Roman" w:eastAsia="黑体" w:cs="Times New Roman"/>
          <w:color w:val="000000" w:themeColor="text1"/>
          <w:lang w:eastAsia="zh-CN"/>
          <w14:textFill>
            <w14:solidFill>
              <w14:schemeClr w14:val="tx1"/>
            </w14:solidFill>
          </w14:textFill>
        </w:rPr>
        <w:t>6 施</w:t>
      </w:r>
      <w:r>
        <w:rPr>
          <w:rFonts w:hint="eastAsia" w:ascii="Times New Roman" w:hAnsi="Times New Roman" w:eastAsia="黑体" w:cs="Times New Roman"/>
          <w:color w:val="000000" w:themeColor="text1"/>
          <w:lang w:eastAsia="zh-CN"/>
          <w14:textFill>
            <w14:solidFill>
              <w14:schemeClr w14:val="tx1"/>
            </w14:solidFill>
          </w14:textFill>
        </w:rPr>
        <w:t xml:space="preserve"> </w:t>
      </w:r>
      <w:r>
        <w:rPr>
          <w:rFonts w:ascii="Times New Roman" w:hAnsi="Times New Roman" w:eastAsia="黑体" w:cs="Times New Roman"/>
          <w:color w:val="000000" w:themeColor="text1"/>
          <w:lang w:eastAsia="zh-CN"/>
          <w14:textFill>
            <w14:solidFill>
              <w14:schemeClr w14:val="tx1"/>
            </w14:solidFill>
          </w14:textFill>
        </w:rPr>
        <w:t>工</w:t>
      </w:r>
      <w:bookmarkEnd w:id="423"/>
      <w:bookmarkEnd w:id="424"/>
      <w:bookmarkEnd w:id="425"/>
      <w:bookmarkEnd w:id="426"/>
    </w:p>
    <w:p>
      <w:pPr>
        <w:pStyle w:val="3"/>
      </w:pPr>
      <w:r>
        <w:rPr>
          <w:rFonts w:hint="eastAsia"/>
        </w:rPr>
        <w:t>6.1</w:t>
      </w:r>
      <w:r>
        <w:t xml:space="preserve"> </w:t>
      </w:r>
      <w:r>
        <w:rPr>
          <w:rFonts w:hint="eastAsia"/>
        </w:rPr>
        <w:t>一般规定</w:t>
      </w:r>
    </w:p>
    <w:p>
      <w:pPr>
        <w:ind w:firstLine="420" w:firstLineChars="0"/>
        <w:rPr>
          <w:rFonts w:cs="Times New Roman"/>
          <w:color w:val="000000" w:themeColor="text1"/>
          <w:sz w:val="21"/>
          <w:lang w:eastAsia="zh-CN"/>
          <w14:textFill>
            <w14:solidFill>
              <w14:schemeClr w14:val="tx1"/>
            </w14:solidFill>
          </w14:textFill>
        </w:rPr>
      </w:pPr>
      <w:r>
        <w:rPr>
          <w:rFonts w:hint="eastAsia" w:cs="Times New Roman"/>
          <w:b/>
          <w:bCs/>
          <w:color w:val="000000" w:themeColor="text1"/>
          <w:sz w:val="21"/>
          <w:lang w:eastAsia="zh-CN"/>
          <w14:textFill>
            <w14:solidFill>
              <w14:schemeClr w14:val="tx1"/>
            </w14:solidFill>
          </w14:textFill>
        </w:rPr>
        <w:t xml:space="preserve">6.1.9 </w:t>
      </w:r>
      <w:r>
        <w:rPr>
          <w:rFonts w:hint="eastAsia" w:cs="Times New Roman"/>
          <w:color w:val="000000" w:themeColor="text1"/>
          <w:sz w:val="21"/>
          <w:lang w:eastAsia="zh-CN"/>
          <w14:textFill>
            <w14:solidFill>
              <w14:schemeClr w14:val="tx1"/>
            </w14:solidFill>
          </w14:textFill>
        </w:rPr>
        <w:t>《城镇排水管道非开挖修复更新工程技术规程》</w:t>
      </w:r>
      <w:r>
        <w:rPr>
          <w:rFonts w:cs="Times New Roman"/>
          <w:color w:val="000000" w:themeColor="text1"/>
          <w:sz w:val="21"/>
          <w:lang w:eastAsia="zh-CN"/>
          <w14:textFill>
            <w14:solidFill>
              <w14:schemeClr w14:val="tx1"/>
            </w14:solidFill>
          </w14:textFill>
        </w:rPr>
        <w:t xml:space="preserve">CJJ/T 210 </w:t>
      </w:r>
      <w:r>
        <w:rPr>
          <w:rFonts w:hint="eastAsia" w:cs="Times New Roman"/>
          <w:color w:val="000000" w:themeColor="text1"/>
          <w:sz w:val="21"/>
          <w:lang w:eastAsia="zh-CN"/>
          <w14:textFill>
            <w14:solidFill>
              <w14:schemeClr w14:val="tx1"/>
            </w14:solidFill>
          </w14:textFill>
        </w:rPr>
        <w:t>要求管道结构性修复更新后使用寿命不得低于</w:t>
      </w:r>
      <w:r>
        <w:rPr>
          <w:rFonts w:cs="Times New Roman"/>
          <w:color w:val="000000" w:themeColor="text1"/>
          <w:sz w:val="21"/>
          <w:lang w:eastAsia="zh-CN"/>
          <w14:textFill>
            <w14:solidFill>
              <w14:schemeClr w14:val="tx1"/>
            </w14:solidFill>
          </w14:textFill>
        </w:rPr>
        <w:t>50</w:t>
      </w:r>
      <w:r>
        <w:rPr>
          <w:rFonts w:hint="eastAsia" w:cs="Times New Roman"/>
          <w:color w:val="000000" w:themeColor="text1"/>
          <w:sz w:val="21"/>
          <w:lang w:eastAsia="zh-CN"/>
          <w14:textFill>
            <w14:solidFill>
              <w14:schemeClr w14:val="tx1"/>
            </w14:solidFill>
          </w14:textFill>
        </w:rPr>
        <w:t>年是与工程结构可靠度统一标准一致；如果原有管道的剩余结构强度无法满足对半结构性修复内衬管在使用期限内进行有效的支撑，应按结构性修复设计内衬管</w:t>
      </w:r>
    </w:p>
    <w:p>
      <w:pPr>
        <w:pStyle w:val="3"/>
      </w:pPr>
      <w:r>
        <w:rPr>
          <w:rFonts w:hint="eastAsia"/>
        </w:rPr>
        <w:t>6.2</w:t>
      </w:r>
      <w:r>
        <w:t xml:space="preserve"> </w:t>
      </w:r>
      <w:r>
        <w:rPr>
          <w:rFonts w:hint="eastAsia"/>
        </w:rPr>
        <w:t>紫外光原位固化法</w:t>
      </w:r>
    </w:p>
    <w:p>
      <w:pPr>
        <w:ind w:firstLine="422"/>
        <w:rPr>
          <w:sz w:val="21"/>
          <w:lang w:eastAsia="zh-CN"/>
        </w:rPr>
      </w:pPr>
      <w:r>
        <w:rPr>
          <w:rFonts w:hint="eastAsia" w:cs="Times New Roman"/>
          <w:b/>
          <w:bCs/>
          <w:sz w:val="21"/>
          <w:lang w:eastAsia="zh-CN"/>
        </w:rPr>
        <w:t xml:space="preserve">6.2.1 </w:t>
      </w:r>
      <w:r>
        <w:rPr>
          <w:rFonts w:hint="eastAsia"/>
          <w:sz w:val="21"/>
          <w:lang w:eastAsia="zh-CN"/>
        </w:rPr>
        <w:t>铺设垫膜是为了避免在下料过程中，玻纤软管与管底摩擦而损坏。垫膜的覆盖面积大于原有管道 1/3 周长，长度控制在两端各超出原有管道 500mm~ 600mm。为了避免垫膜在拉人过程中打转，使用万向吊环连接绳索，并包裹在垫膜内，采用检测机器人或冲洗设备引人牵引绳，待垫膜完全拉人后，再次检查确认垫膜的位置，确认无误后将其固定在原有管道中，避免下料过程中产生摩擦力使其发生位移。在垫膜上喷洒非腐蚀性可生物降解的润滑液体，可以减少玻纤软管在拉入和加压膨胀的过程中遇到的摩擦力，使玻纤软管更好的延伸。</w:t>
      </w:r>
    </w:p>
    <w:p>
      <w:pPr>
        <w:ind w:firstLine="422"/>
        <w:rPr>
          <w:sz w:val="21"/>
          <w:lang w:eastAsia="zh-CN"/>
        </w:rPr>
      </w:pPr>
      <w:r>
        <w:rPr>
          <w:rFonts w:hint="eastAsia" w:cs="Times New Roman"/>
          <w:b/>
          <w:bCs/>
          <w:sz w:val="21"/>
          <w:lang w:eastAsia="zh-CN"/>
        </w:rPr>
        <w:t xml:space="preserve">6.2.2 </w:t>
      </w:r>
      <w:r>
        <w:rPr>
          <w:rFonts w:hint="eastAsia"/>
          <w:sz w:val="21"/>
          <w:lang w:eastAsia="zh-CN"/>
        </w:rPr>
        <w:t>玻纤软管应对折后拉入原有管道，对折部分应绑扎保护垫膜，拉人过程中不得出现堆积或翻转。绑扎过程中还需注意不要损伤玻纤软管，设置两道以上的轧带，保证在牵引过程中不发生脱落现象，用U形吊装环连接吊装带与钢丝绳套，利用检测机器人将钢丝绳拉人管道，并与卷扬机连接。</w:t>
      </w:r>
    </w:p>
    <w:p>
      <w:pPr>
        <w:ind w:firstLine="420"/>
        <w:rPr>
          <w:sz w:val="21"/>
          <w:lang w:eastAsia="zh-CN"/>
        </w:rPr>
      </w:pPr>
      <w:r>
        <w:rPr>
          <w:rFonts w:hint="eastAsia"/>
          <w:sz w:val="21"/>
          <w:lang w:eastAsia="zh-CN"/>
        </w:rPr>
        <w:t>玻纤软管拉入时，管段上下游井口处应有工作人员相互配合，应控制卷扬机转速，玻纤软管拉人速度应不大于 5m/min，不得出现堆积或翻转。</w:t>
      </w:r>
    </w:p>
    <w:p>
      <w:pPr>
        <w:ind w:firstLine="422"/>
        <w:rPr>
          <w:sz w:val="21"/>
          <w:lang w:eastAsia="zh-CN"/>
        </w:rPr>
      </w:pPr>
      <w:r>
        <w:rPr>
          <w:rFonts w:hint="eastAsia" w:cs="Times New Roman"/>
          <w:b/>
          <w:bCs/>
          <w:sz w:val="21"/>
          <w:lang w:eastAsia="zh-CN"/>
        </w:rPr>
        <w:t xml:space="preserve">6.2.4 </w:t>
      </w:r>
      <w:r>
        <w:rPr>
          <w:rFonts w:hint="eastAsia"/>
          <w:sz w:val="21"/>
          <w:lang w:eastAsia="zh-CN"/>
        </w:rPr>
        <w:t>由于拉入式原位固化法软管固化时，两端的固化效果较差，因此为了保证修复效果和质量，湿软管必须伸出待修复的管道端口一定长度，在软管固化成型后，应将该段伸出部分去除。</w:t>
      </w:r>
    </w:p>
    <w:p>
      <w:pPr>
        <w:ind w:firstLine="422"/>
        <w:rPr>
          <w:rFonts w:cs="Times New Roman"/>
          <w:sz w:val="21"/>
          <w:lang w:eastAsia="zh-CN"/>
        </w:rPr>
      </w:pPr>
      <w:r>
        <w:rPr>
          <w:rFonts w:hint="eastAsia" w:cs="Times New Roman"/>
          <w:b/>
          <w:bCs/>
          <w:sz w:val="21"/>
          <w:lang w:eastAsia="zh-CN"/>
        </w:rPr>
        <w:t xml:space="preserve">6.2.5 </w:t>
      </w:r>
      <w:r>
        <w:rPr>
          <w:rFonts w:cs="Times New Roman"/>
          <w:sz w:val="21"/>
          <w:lang w:eastAsia="zh-CN"/>
        </w:rPr>
        <w:t>拥绑扎头布是为了保证玻纤软管外露部分在充气时不致过度膨胀和爆裂，扎头绑扎过程中不得破坏玻纤软管内膜。内膜是高分子膜材料，石块、金属等尖锐物容易将其划伤或破坏。内膜划破后，会产生以下两方面不利影响：</w:t>
      </w:r>
    </w:p>
    <w:p>
      <w:pPr>
        <w:ind w:left="420" w:firstLine="422"/>
        <w:rPr>
          <w:rFonts w:cs="Times New Roman"/>
          <w:sz w:val="21"/>
          <w:lang w:eastAsia="zh-CN"/>
        </w:rPr>
      </w:pPr>
      <w:r>
        <w:rPr>
          <w:rFonts w:cs="Times New Roman"/>
          <w:b/>
          <w:bCs/>
          <w:sz w:val="21"/>
          <w:lang w:eastAsia="zh-CN"/>
        </w:rPr>
        <w:t>1</w:t>
      </w:r>
      <w:r>
        <w:rPr>
          <w:rFonts w:cs="Times New Roman"/>
          <w:sz w:val="21"/>
          <w:lang w:eastAsia="zh-CN"/>
        </w:rPr>
        <w:t xml:space="preserve"> 在施工过程中，如管道内部有水渗入，水分在内膜破损处渗人树脂和玻纤层，影响紫外光与树脂的固化效果，导致固化后渗水的材料部分形成泛白情况。材料固化不充分即无法达到材料预期设计的强度，从而导致施工缺陷。</w:t>
      </w:r>
    </w:p>
    <w:p>
      <w:pPr>
        <w:ind w:left="420" w:firstLine="422"/>
        <w:rPr>
          <w:rFonts w:cs="Times New Roman"/>
          <w:sz w:val="21"/>
          <w:lang w:eastAsia="zh-CN"/>
        </w:rPr>
      </w:pPr>
      <w:r>
        <w:rPr>
          <w:rFonts w:cs="Times New Roman"/>
          <w:b/>
          <w:bCs/>
          <w:sz w:val="21"/>
          <w:lang w:eastAsia="zh-CN"/>
        </w:rPr>
        <w:t>2</w:t>
      </w:r>
      <w:r>
        <w:rPr>
          <w:rFonts w:cs="Times New Roman"/>
          <w:sz w:val="21"/>
          <w:lang w:eastAsia="zh-CN"/>
        </w:rPr>
        <w:t xml:space="preserve"> 向材料内部充气时，气体会从内膜划破的地方进入树脂和玻纤层，尚未固化的树脂会被吹散，吹散的区域亦会造成大片材料泛白的情况，甚至玻纤裸露，导致材料无法达到其该有的强度，最终导致施工缺陷。</w:t>
      </w:r>
    </w:p>
    <w:p>
      <w:pPr>
        <w:ind w:firstLine="420"/>
        <w:rPr>
          <w:rFonts w:cs="Times New Roman"/>
          <w:sz w:val="21"/>
          <w:lang w:eastAsia="zh-CN"/>
        </w:rPr>
      </w:pPr>
      <w:r>
        <w:rPr>
          <w:rFonts w:cs="Times New Roman"/>
          <w:sz w:val="21"/>
          <w:lang w:eastAsia="zh-CN"/>
        </w:rPr>
        <w:t>绑扎应紧实且牢固，避免在充气过程中发生崩脱现象可通过设置在扎头上的压力传感器检査密封性。</w:t>
      </w:r>
    </w:p>
    <w:p>
      <w:pPr>
        <w:ind w:firstLine="422"/>
        <w:rPr>
          <w:rFonts w:cs="Times New Roman"/>
          <w:sz w:val="21"/>
          <w:lang w:eastAsia="zh-CN"/>
        </w:rPr>
      </w:pPr>
      <w:r>
        <w:rPr>
          <w:rFonts w:hint="eastAsia" w:cs="Times New Roman"/>
          <w:b/>
          <w:bCs/>
          <w:sz w:val="21"/>
          <w:lang w:eastAsia="zh-CN"/>
        </w:rPr>
        <w:t xml:space="preserve">6.2.6 </w:t>
      </w:r>
      <w:r>
        <w:rPr>
          <w:rFonts w:cs="Times New Roman"/>
          <w:sz w:val="21"/>
          <w:lang w:eastAsia="zh-CN"/>
        </w:rPr>
        <w:t>玻纤软管两端裸露部位应安装相匹配的扎头布。跨井段施工时，中间检查井裸露的玻纤软管应安装拉链扎头布，扎头布伸</w:t>
      </w:r>
      <w:r>
        <w:rPr>
          <w:rFonts w:hint="eastAsia" w:cs="Times New Roman"/>
          <w:sz w:val="21"/>
          <w:lang w:eastAsia="zh-CN"/>
        </w:rPr>
        <w:t>入</w:t>
      </w:r>
      <w:r>
        <w:rPr>
          <w:rFonts w:cs="Times New Roman"/>
          <w:sz w:val="21"/>
          <w:lang w:eastAsia="zh-CN"/>
        </w:rPr>
        <w:t>原有管道长度应大于 250 mm。</w:t>
      </w:r>
    </w:p>
    <w:p>
      <w:pPr>
        <w:ind w:firstLine="422"/>
        <w:rPr>
          <w:sz w:val="21"/>
          <w:lang w:eastAsia="zh-CN"/>
        </w:rPr>
      </w:pPr>
      <w:r>
        <w:rPr>
          <w:rFonts w:hint="eastAsia" w:cs="Times New Roman"/>
          <w:b/>
          <w:bCs/>
          <w:sz w:val="21"/>
          <w:lang w:eastAsia="zh-CN"/>
        </w:rPr>
        <w:t xml:space="preserve">6.2.7 </w:t>
      </w:r>
      <w:r>
        <w:rPr>
          <w:rFonts w:hint="eastAsia"/>
          <w:sz w:val="21"/>
          <w:lang w:eastAsia="zh-CN"/>
        </w:rPr>
        <w:t>充气用时和保压时间，要根据层压材料的温度、内衬软管的厚度以及管道的形状确定。特别是冬季温度偏低或者材料层壁厚偏厚，以及异形管道的情况，有必要将保压时间延长。气压不足时，会导致材料不完全舒展，厚薄不均，灯架行驶时可能会因为材料不平整而受阻，扯破内膜；或者材料堆叠处因树脂过多玻纤层过少，影响固化后的弹性模量。气压过高时，则可能导致扎头盖板飞出，扎头布绷开；如管道内有错位、脱节、破洞，则可能导致内衬材料爆裂。</w:t>
      </w:r>
    </w:p>
    <w:p>
      <w:pPr>
        <w:ind w:firstLine="422"/>
        <w:rPr>
          <w:sz w:val="21"/>
          <w:lang w:eastAsia="zh-CN"/>
        </w:rPr>
      </w:pPr>
      <w:r>
        <w:rPr>
          <w:rFonts w:hint="eastAsia" w:cs="Times New Roman"/>
          <w:b/>
          <w:bCs/>
          <w:sz w:val="21"/>
          <w:lang w:eastAsia="zh-CN"/>
        </w:rPr>
        <w:t xml:space="preserve">6.2.8 </w:t>
      </w:r>
      <w:r>
        <w:rPr>
          <w:rFonts w:hint="eastAsia"/>
          <w:sz w:val="21"/>
          <w:lang w:eastAsia="zh-CN"/>
        </w:rPr>
        <w:t>由于紫外光固化工艺采用的树脂体系是光固化树脂体系紫外光的吸收率决定着树脂固化效果，内衬管管径越大、壁厚越厚越不利于树脂的固化，因此应严格根据玻纤软管制造商给出的管径和壁厚选择合适的紫外光灯架，以满足辐照强度和辐照剂量要求，按照操作系统手册控制紫外光灯的相关工艺参数；通过合理控制紫外光灯前进速度使树脂充分固化。</w:t>
      </w:r>
    </w:p>
    <w:p>
      <w:pPr>
        <w:ind w:firstLine="420"/>
        <w:rPr>
          <w:rFonts w:cs="Times New Roman"/>
          <w:sz w:val="21"/>
          <w:lang w:eastAsia="zh-CN"/>
        </w:rPr>
      </w:pPr>
      <w:r>
        <w:rPr>
          <w:rFonts w:hint="eastAsia" w:cs="Times New Roman"/>
          <w:sz w:val="21"/>
          <w:lang w:eastAsia="zh-CN"/>
        </w:rPr>
        <w:t>送入紫外光灯架时，将灯膜罩（空气锁）在紫外光灯架外，在充气状态下将灯架缓慢送入，检查井内的操作人员需配合细致，避免灯架将内膜划破或绳索缠绕灯腿。</w:t>
      </w:r>
    </w:p>
    <w:p>
      <w:pPr>
        <w:ind w:firstLine="422"/>
        <w:rPr>
          <w:sz w:val="21"/>
          <w:lang w:eastAsia="zh-CN"/>
        </w:rPr>
      </w:pPr>
      <w:r>
        <w:rPr>
          <w:rFonts w:hint="eastAsia" w:cs="Times New Roman"/>
          <w:b/>
          <w:bCs/>
          <w:sz w:val="21"/>
          <w:lang w:eastAsia="zh-CN"/>
        </w:rPr>
        <w:t>6.2.9</w:t>
      </w:r>
      <w:r>
        <w:rPr>
          <w:rFonts w:hint="eastAsia" w:cs="Times New Roman"/>
          <w:sz w:val="21"/>
          <w:lang w:eastAsia="zh-CN"/>
        </w:rPr>
        <w:t xml:space="preserve"> </w:t>
      </w:r>
      <w:r>
        <w:rPr>
          <w:rFonts w:hint="eastAsia"/>
          <w:sz w:val="21"/>
          <w:lang w:eastAsia="zh-CN"/>
        </w:rPr>
        <w:t>充气用时和保压时间，应根据环境温度、玻纤软管的厚度以及管道的形状确定。特别是冬季温度偏低或者材料层壁厚偏厚，以及异形管道的情况，保压时间需延长至15min。气压不足时，会导致材料不完全舒展，厚度不均，灯架行驶时可能会因为材料不平整而受阻，扯破内膜;或者材料堆叠处因树脂过多、玻纤层过少，从而影响固化效果。气压过高时，有可能导致扎头盖板飞出，扎头布绷开；如管道内有错位、脱节、破洞等问题，则可能导致内衬材料爆裂。</w:t>
      </w:r>
    </w:p>
    <w:p>
      <w:pPr>
        <w:ind w:firstLine="422"/>
        <w:rPr>
          <w:sz w:val="21"/>
          <w:lang w:eastAsia="zh-CN"/>
        </w:rPr>
      </w:pPr>
      <w:r>
        <w:rPr>
          <w:rFonts w:hint="eastAsia"/>
          <w:b/>
          <w:bCs/>
          <w:sz w:val="21"/>
          <w:lang w:eastAsia="zh-CN"/>
        </w:rPr>
        <w:t xml:space="preserve">6.2.10 </w:t>
      </w:r>
      <w:r>
        <w:rPr>
          <w:rFonts w:hint="eastAsia"/>
          <w:sz w:val="21"/>
          <w:lang w:eastAsia="zh-CN"/>
        </w:rPr>
        <w:t>紫外光的辐照强度会随着辐照距离的改变而改变，在相同辐照时间内，如果紫外光灯并非处在管道的中心位置，内衬管内壁受到的辐照剂量就会有所差异，辐照不均匀，导致内衬管不能均匀完整的固化。</w:t>
      </w:r>
    </w:p>
    <w:p>
      <w:pPr>
        <w:ind w:firstLine="422"/>
        <w:rPr>
          <w:sz w:val="21"/>
          <w:lang w:eastAsia="zh-CN"/>
        </w:rPr>
      </w:pPr>
      <w:r>
        <w:rPr>
          <w:rFonts w:hint="eastAsia"/>
          <w:b/>
          <w:bCs/>
          <w:sz w:val="21"/>
          <w:lang w:eastAsia="zh-CN"/>
        </w:rPr>
        <w:t>6.2.11</w:t>
      </w:r>
      <w:r>
        <w:rPr>
          <w:rFonts w:hint="eastAsia"/>
          <w:sz w:val="21"/>
          <w:lang w:eastAsia="zh-CN"/>
        </w:rPr>
        <w:t xml:space="preserve"> 固化过程中固化温度过高会导致内衬管中存在泡状凸起，使得内衬管很容易被磨损，严重降低了内衬管的使用寿命。因此，在整个固化过程中要留意管壁的温度。通过控制反应温度，可以直观的判断紫外光固化的程度，通常温度应保持在80℃~ 120℃之间，如果超出该范围，应及时调整固化前进速度和充气量。</w:t>
      </w:r>
    </w:p>
    <w:p>
      <w:pPr>
        <w:ind w:firstLine="422"/>
        <w:rPr>
          <w:sz w:val="21"/>
          <w:lang w:eastAsia="zh-CN"/>
        </w:rPr>
      </w:pPr>
      <w:r>
        <w:rPr>
          <w:rFonts w:hint="eastAsia" w:cs="Times New Roman"/>
          <w:b/>
          <w:bCs/>
          <w:sz w:val="21"/>
          <w:lang w:eastAsia="zh-CN"/>
        </w:rPr>
        <w:t xml:space="preserve">6.2.12 </w:t>
      </w:r>
      <w:r>
        <w:rPr>
          <w:rFonts w:hint="eastAsia"/>
          <w:sz w:val="21"/>
          <w:lang w:eastAsia="zh-CN"/>
        </w:rPr>
        <w:t>固化完成后，依次关闭各盏紫外光灯，相邻两灯的关闭间隔应与开启间隔相同，降压时间不得低于15min。随后拆除滚筒和滑轮，再拆除充气管、扎头端盖，收缩灯腿，取出紫外灯架，并卸下控制电缆和牵引绳，最后用紫外光灯架牵引绳将内膜扎紧并拉出。</w:t>
      </w:r>
    </w:p>
    <w:p>
      <w:pPr>
        <w:ind w:firstLine="422"/>
        <w:rPr>
          <w:sz w:val="21"/>
          <w:lang w:eastAsia="zh-CN"/>
        </w:rPr>
      </w:pPr>
      <w:r>
        <w:rPr>
          <w:rFonts w:hint="eastAsia"/>
          <w:b/>
          <w:bCs/>
          <w:sz w:val="21"/>
          <w:lang w:eastAsia="zh-CN"/>
        </w:rPr>
        <w:t xml:space="preserve">6.2.14 </w:t>
      </w:r>
      <w:r>
        <w:rPr>
          <w:rFonts w:hint="eastAsia"/>
          <w:sz w:val="21"/>
          <w:lang w:eastAsia="zh-CN"/>
        </w:rPr>
        <w:t>内衬管与管井端口是运维的潜在隐患，处理不当或不处理会造成渗漏或侵蚀，可采用树脂混合物对端头进行密封处理，并进行有效固化。</w:t>
      </w:r>
    </w:p>
    <w:p>
      <w:pPr>
        <w:pStyle w:val="3"/>
      </w:pPr>
      <w:r>
        <w:rPr>
          <w:rFonts w:hint="eastAsia"/>
        </w:rPr>
        <w:t>6.3</w:t>
      </w:r>
      <w:r>
        <w:t xml:space="preserve"> </w:t>
      </w:r>
      <w:r>
        <w:rPr>
          <w:rFonts w:hint="eastAsia"/>
        </w:rPr>
        <w:t>翻转式原位固化法</w:t>
      </w:r>
    </w:p>
    <w:p>
      <w:pPr>
        <w:ind w:firstLine="422"/>
        <w:rPr>
          <w:rFonts w:hint="eastAsia" w:ascii="宋体" w:hAnsi="宋体"/>
          <w:sz w:val="21"/>
          <w:lang w:eastAsia="zh-CN"/>
        </w:rPr>
      </w:pPr>
      <w:r>
        <w:rPr>
          <w:rFonts w:hint="eastAsia" w:cs="Times New Roman"/>
          <w:b/>
          <w:bCs/>
          <w:sz w:val="21"/>
          <w:lang w:eastAsia="zh-CN"/>
        </w:rPr>
        <w:t>6</w:t>
      </w:r>
      <w:r>
        <w:rPr>
          <w:rFonts w:cs="Times New Roman"/>
          <w:b/>
          <w:bCs/>
          <w:sz w:val="21"/>
          <w:lang w:eastAsia="zh-CN"/>
        </w:rPr>
        <w:t>.</w:t>
      </w:r>
      <w:r>
        <w:rPr>
          <w:rFonts w:hint="eastAsia" w:cs="Times New Roman"/>
          <w:b/>
          <w:bCs/>
          <w:sz w:val="21"/>
          <w:lang w:eastAsia="zh-CN"/>
        </w:rPr>
        <w:t>3</w:t>
      </w:r>
      <w:r>
        <w:rPr>
          <w:rFonts w:cs="Times New Roman"/>
          <w:b/>
          <w:bCs/>
          <w:sz w:val="21"/>
          <w:lang w:eastAsia="zh-CN"/>
        </w:rPr>
        <w:t>.</w:t>
      </w:r>
      <w:r>
        <w:rPr>
          <w:rFonts w:hint="eastAsia" w:cs="Times New Roman"/>
          <w:b/>
          <w:bCs/>
          <w:sz w:val="21"/>
          <w:lang w:eastAsia="zh-CN"/>
        </w:rPr>
        <w:t xml:space="preserve">5 </w:t>
      </w:r>
      <w:r>
        <w:rPr>
          <w:rFonts w:hint="eastAsia" w:ascii="宋体" w:hAnsi="宋体"/>
          <w:sz w:val="21"/>
          <w:lang w:eastAsia="zh-CN"/>
        </w:rPr>
        <w:t>加热前，应在锅炉的热水出入口及待修复管道上下游端部伸入200</w:t>
      </w:r>
      <w:r>
        <w:rPr>
          <w:rFonts w:cs="Times New Roman"/>
          <w:sz w:val="21"/>
          <w:lang w:eastAsia="zh-CN"/>
        </w:rPr>
        <w:t>~</w:t>
      </w:r>
      <w:r>
        <w:rPr>
          <w:rFonts w:hint="eastAsia" w:ascii="宋体" w:hAnsi="宋体"/>
          <w:sz w:val="21"/>
          <w:lang w:eastAsia="zh-CN"/>
        </w:rPr>
        <w:t>300mm的位置安装温度传感器，从加热开始到结束进行持续测量，并用图表纸将温度测量值持续记录下来。</w:t>
      </w:r>
    </w:p>
    <w:p>
      <w:pPr>
        <w:ind w:firstLine="422"/>
        <w:rPr>
          <w:rFonts w:hint="eastAsia" w:ascii="宋体" w:hAnsi="宋体"/>
          <w:sz w:val="21"/>
          <w:lang w:eastAsia="zh-CN"/>
        </w:rPr>
      </w:pPr>
      <w:r>
        <w:rPr>
          <w:rFonts w:hint="eastAsia" w:cs="Times New Roman"/>
          <w:b/>
          <w:bCs/>
          <w:sz w:val="21"/>
          <w:lang w:eastAsia="zh-CN"/>
        </w:rPr>
        <w:t xml:space="preserve">6.3.6 </w:t>
      </w:r>
      <w:r>
        <w:rPr>
          <w:rFonts w:hint="eastAsia" w:ascii="宋体" w:hAnsi="宋体"/>
          <w:sz w:val="21"/>
          <w:lang w:eastAsia="zh-CN"/>
        </w:rPr>
        <w:t>固化管末端遇冷水情况在施工中较容易发生，应定时检查端部，及时抽除冷水，以免影响端部固化。</w:t>
      </w:r>
    </w:p>
    <w:p>
      <w:pPr>
        <w:ind w:firstLine="422"/>
        <w:rPr>
          <w:rFonts w:hint="eastAsia" w:ascii="宋体" w:hAnsi="宋体"/>
          <w:sz w:val="21"/>
          <w:lang w:eastAsia="zh-CN"/>
        </w:rPr>
      </w:pPr>
      <w:r>
        <w:rPr>
          <w:rFonts w:hint="eastAsia" w:cs="Times New Roman"/>
          <w:b/>
          <w:bCs/>
          <w:sz w:val="21"/>
          <w:lang w:eastAsia="zh-CN"/>
        </w:rPr>
        <w:t xml:space="preserve">6.3.8 </w:t>
      </w:r>
      <w:r>
        <w:rPr>
          <w:rFonts w:hint="eastAsia" w:ascii="宋体" w:hAnsi="宋体"/>
          <w:sz w:val="21"/>
          <w:lang w:eastAsia="zh-CN"/>
        </w:rPr>
        <w:t>固化反应是一个剧烈的放热过程，若这部分热量不能及时移走，将在内衬管的内壁聚集，导致内衬管内壁防渗膜被烫坏，影响固化管表观形貌。</w:t>
      </w:r>
    </w:p>
    <w:p>
      <w:pPr>
        <w:ind w:firstLine="422"/>
        <w:rPr>
          <w:rFonts w:hint="eastAsia" w:ascii="宋体" w:hAnsi="宋体"/>
          <w:sz w:val="21"/>
          <w:lang w:eastAsia="zh-CN"/>
        </w:rPr>
      </w:pPr>
      <w:r>
        <w:rPr>
          <w:rFonts w:hint="eastAsia" w:cs="Times New Roman"/>
          <w:b/>
          <w:bCs/>
          <w:sz w:val="21"/>
          <w:lang w:eastAsia="zh-CN"/>
        </w:rPr>
        <w:t xml:space="preserve">6.3.9 </w:t>
      </w:r>
      <w:r>
        <w:rPr>
          <w:rFonts w:hint="eastAsia" w:ascii="宋体" w:hAnsi="宋体"/>
          <w:sz w:val="21"/>
          <w:lang w:eastAsia="zh-CN"/>
        </w:rPr>
        <w:t>软管固化完成后，先进行冷却，然后降压。采用水冷时，加热完全后，若立即放空热水，可能因降温过快致使固化管热胀冷缩产生褶皱甚至破裂，故应将内衬管冷却至38℃以下，方可进行降压。采用气冷时，应冷却至45℃以下再进行降压，排水降压时必须防止形成真空使内衬管受损。</w:t>
      </w:r>
    </w:p>
    <w:p>
      <w:pPr>
        <w:ind w:firstLine="422"/>
        <w:rPr>
          <w:rFonts w:hint="eastAsia" w:ascii="宋体" w:hAnsi="宋体"/>
          <w:sz w:val="21"/>
          <w:lang w:eastAsia="zh-CN"/>
        </w:rPr>
      </w:pPr>
      <w:r>
        <w:rPr>
          <w:rFonts w:hint="eastAsia" w:cs="Times New Roman"/>
          <w:b/>
          <w:bCs/>
          <w:sz w:val="21"/>
          <w:lang w:eastAsia="zh-CN"/>
        </w:rPr>
        <w:t>6.3.10</w:t>
      </w:r>
      <w:r>
        <w:rPr>
          <w:rFonts w:hint="eastAsia" w:ascii="宋体" w:hAnsi="宋体"/>
          <w:sz w:val="21"/>
          <w:lang w:eastAsia="zh-CN"/>
        </w:rPr>
        <w:t xml:space="preserve"> 软衬管内冷却水抽除或空气压力释放后，才能切割端部软衬管，切口宜平整。软衬管端部切口必须用快速密封胶（或树脂混合物）封闭软衬管与原有管道内壁的间隙。为了保证内衬管与井壁的良好衔接，切割内衬管时，在修复段的出口端将内衬管端头切割整齐，应做到切口平整，并与井壁齐平，并可在管口处留出适量余量，一般为</w:t>
      </w:r>
      <w:r>
        <w:rPr>
          <w:rFonts w:cs="Times New Roman"/>
          <w:sz w:val="21"/>
          <w:lang w:eastAsia="zh-CN"/>
        </w:rPr>
        <w:t>20mm～50mm。</w:t>
      </w:r>
    </w:p>
    <w:p>
      <w:pPr>
        <w:pStyle w:val="3"/>
      </w:pPr>
      <w:r>
        <w:rPr>
          <w:rFonts w:hint="eastAsia"/>
        </w:rPr>
        <w:t>6.4</w:t>
      </w:r>
      <w:r>
        <w:t xml:space="preserve"> </w:t>
      </w:r>
      <w:r>
        <w:rPr>
          <w:rFonts w:hint="eastAsia"/>
        </w:rPr>
        <w:t>原位热塑成型法</w:t>
      </w:r>
    </w:p>
    <w:p>
      <w:pPr>
        <w:ind w:firstLine="422"/>
        <w:rPr>
          <w:rFonts w:eastAsia="黑体"/>
          <w:snapToGrid/>
          <w:sz w:val="21"/>
          <w:lang w:eastAsia="zh-CN"/>
        </w:rPr>
      </w:pPr>
      <w:r>
        <w:rPr>
          <w:rFonts w:hint="eastAsia" w:eastAsia="黑体"/>
          <w:b/>
          <w:bCs/>
          <w:snapToGrid/>
          <w:sz w:val="21"/>
          <w:lang w:eastAsia="zh-CN"/>
        </w:rPr>
        <w:t xml:space="preserve">6.4.2 </w:t>
      </w:r>
      <w:r>
        <w:rPr>
          <w:rFonts w:hint="eastAsia"/>
          <w:snapToGrid/>
          <w:sz w:val="21"/>
          <w:lang w:eastAsia="zh-CN"/>
        </w:rPr>
        <w:t>衬管预加热时间与衬管的长度、管径和预热方式相关，一般为1h~3h，当衬管触摸柔软后即可准备拖入待修管道。</w:t>
      </w:r>
    </w:p>
    <w:p>
      <w:pPr>
        <w:ind w:firstLine="422"/>
        <w:rPr>
          <w:snapToGrid/>
          <w:sz w:val="21"/>
          <w:lang w:eastAsia="zh-CN"/>
        </w:rPr>
      </w:pPr>
      <w:r>
        <w:rPr>
          <w:rFonts w:hint="eastAsia" w:eastAsia="黑体"/>
          <w:b/>
          <w:bCs/>
          <w:snapToGrid/>
          <w:sz w:val="21"/>
          <w:lang w:eastAsia="zh-CN"/>
        </w:rPr>
        <w:t>6.4.3</w:t>
      </w:r>
      <w:r>
        <w:rPr>
          <w:rFonts w:hint="eastAsia" w:eastAsia="黑体"/>
          <w:snapToGrid/>
          <w:sz w:val="21"/>
          <w:lang w:eastAsia="zh-CN"/>
        </w:rPr>
        <w:t xml:space="preserve"> </w:t>
      </w:r>
      <w:r>
        <w:rPr>
          <w:rFonts w:hint="eastAsia"/>
          <w:snapToGrid/>
          <w:sz w:val="21"/>
          <w:lang w:eastAsia="zh-CN"/>
        </w:rPr>
        <w:t>衬管复原过程是在衬管软化状态完成的，逐渐关闭下游蒸汽管上的阀门，使衬管内压力逐渐上升，首先恢复到生产时变形前的圆形，然后在水蒸气的压力下继续膨胀，直至紧贴于待修管道的内壁，因此，衬管复原时衬管内温度控制及加压时间控制是比较重要的。衬管复原时，软化温度一般不超过95℃，复原时压力与管道的长度和管道的直径有关，一般不超过0.15MPa。</w:t>
      </w:r>
    </w:p>
    <w:p>
      <w:pPr>
        <w:ind w:firstLine="422"/>
        <w:rPr>
          <w:snapToGrid/>
          <w:sz w:val="21"/>
          <w:lang w:eastAsia="zh-CN"/>
        </w:rPr>
      </w:pPr>
      <w:r>
        <w:rPr>
          <w:rFonts w:hint="eastAsia"/>
          <w:b/>
          <w:bCs/>
          <w:snapToGrid/>
          <w:sz w:val="21"/>
          <w:lang w:eastAsia="zh-CN"/>
        </w:rPr>
        <w:t>6.6.4</w:t>
      </w:r>
      <w:r>
        <w:rPr>
          <w:rFonts w:hint="eastAsia"/>
          <w:snapToGrid/>
          <w:sz w:val="21"/>
          <w:lang w:eastAsia="zh-CN"/>
        </w:rPr>
        <w:t xml:space="preserve"> 当设计有要求时，衬管末端可翻边至待修复管道的端口。</w:t>
      </w:r>
    </w:p>
    <w:p>
      <w:pPr>
        <w:pStyle w:val="3"/>
      </w:pPr>
      <w:r>
        <w:rPr>
          <w:rFonts w:hint="eastAsia"/>
        </w:rPr>
        <w:t>6.5</w:t>
      </w:r>
      <w:r>
        <w:t xml:space="preserve"> </w:t>
      </w:r>
      <w:r>
        <w:rPr>
          <w:rFonts w:hint="eastAsia"/>
        </w:rPr>
        <w:t>螺旋缠绕内衬法</w:t>
      </w:r>
    </w:p>
    <w:p>
      <w:pPr>
        <w:ind w:firstLine="422"/>
        <w:rPr>
          <w:rFonts w:cs="Times New Roman"/>
          <w:sz w:val="21"/>
          <w:lang w:eastAsia="zh-CN"/>
        </w:rPr>
      </w:pPr>
      <w:r>
        <w:rPr>
          <w:rFonts w:hint="eastAsia" w:cs="Times New Roman"/>
          <w:b/>
          <w:bCs/>
          <w:sz w:val="21"/>
          <w:lang w:eastAsia="zh-CN"/>
        </w:rPr>
        <w:t xml:space="preserve">6.5.1 </w:t>
      </w:r>
      <w:r>
        <w:rPr>
          <w:rFonts w:hint="eastAsia" w:cs="Times New Roman"/>
          <w:sz w:val="21"/>
          <w:lang w:eastAsia="zh-CN"/>
        </w:rPr>
        <w:t>对于钢塑增强型螺旋缠绕法，由于其刚度大部分由钢带提供，而对这种复合结合的刚度系数测试，目前尚无明确的办法。根据行业标准《埋地塑料排水管道工程技术规范》</w:t>
      </w:r>
      <w:r>
        <w:rPr>
          <w:rFonts w:cs="Times New Roman"/>
          <w:sz w:val="21"/>
          <w:lang w:eastAsia="zh-CN"/>
        </w:rPr>
        <w:t>CJJ143-2010</w:t>
      </w:r>
      <w:r>
        <w:rPr>
          <w:rFonts w:hint="eastAsia" w:cs="Times New Roman"/>
          <w:sz w:val="21"/>
          <w:lang w:eastAsia="zh-CN"/>
        </w:rPr>
        <w:t>中公式</w:t>
      </w:r>
      <w:r>
        <w:rPr>
          <w:rFonts w:cs="Times New Roman"/>
          <w:sz w:val="21"/>
          <w:lang w:eastAsia="zh-CN"/>
        </w:rPr>
        <w:t>(4.5.3-2)</w:t>
      </w:r>
      <w:r>
        <w:rPr>
          <w:rFonts w:hint="eastAsia" w:cs="Times New Roman"/>
          <w:sz w:val="21"/>
          <w:lang w:eastAsia="zh-CN"/>
        </w:rPr>
        <w:t>，管道的环刚度等于管道刚度系数除以管道计算直径的</w:t>
      </w:r>
      <w:r>
        <w:rPr>
          <w:rFonts w:cs="Times New Roman"/>
          <w:sz w:val="21"/>
          <w:lang w:eastAsia="zh-CN"/>
        </w:rPr>
        <w:t>3</w:t>
      </w:r>
      <w:r>
        <w:rPr>
          <w:rFonts w:hint="eastAsia" w:cs="Times New Roman"/>
          <w:sz w:val="21"/>
          <w:lang w:eastAsia="zh-CN"/>
        </w:rPr>
        <w:t>次方，因而，可以根据需要实测管道的环刚度</w:t>
      </w:r>
      <w:r>
        <w:rPr>
          <w:rFonts w:cs="Times New Roman"/>
          <w:sz w:val="21"/>
          <w:lang w:eastAsia="zh-CN"/>
        </w:rPr>
        <w:t xml:space="preserve"> SN(N/m)</w:t>
      </w:r>
      <w:r>
        <w:rPr>
          <w:rFonts w:hint="eastAsia" w:cs="Times New Roman"/>
          <w:sz w:val="21"/>
          <w:lang w:eastAsia="zh-CN"/>
        </w:rPr>
        <w:t>再换算刚度系数</w:t>
      </w:r>
      <w:r>
        <w:rPr>
          <w:rFonts w:cs="Times New Roman"/>
          <w:sz w:val="21"/>
          <w:lang w:eastAsia="zh-CN"/>
        </w:rPr>
        <w:t>ELI(MPa</w:t>
      </w:r>
      <w:r>
        <w:rPr>
          <w:rFonts w:hint="eastAsia" w:cs="Times New Roman"/>
          <w:sz w:val="21"/>
          <w:lang w:eastAsia="zh-CN"/>
        </w:rPr>
        <w:t>·</w:t>
      </w:r>
      <w:r>
        <w:rPr>
          <w:rFonts w:cs="Times New Roman"/>
          <w:sz w:val="21"/>
          <w:lang w:eastAsia="zh-CN"/>
        </w:rPr>
        <w:t>mm</w:t>
      </w:r>
      <w:r>
        <w:rPr>
          <w:rFonts w:hint="eastAsia" w:cs="Times New Roman"/>
          <w:sz w:val="21"/>
          <w:lang w:eastAsia="zh-CN"/>
        </w:rPr>
        <w:t>³</w:t>
      </w:r>
      <w:r>
        <w:rPr>
          <w:rFonts w:cs="Times New Roman"/>
          <w:sz w:val="21"/>
          <w:lang w:eastAsia="zh-CN"/>
        </w:rPr>
        <w:t>)</w:t>
      </w:r>
      <w:r>
        <w:rPr>
          <w:rFonts w:hint="eastAsia" w:cs="Times New Roman"/>
          <w:sz w:val="21"/>
          <w:lang w:eastAsia="zh-CN"/>
        </w:rPr>
        <w:t>与设计要求的刚度系数进行比较</w:t>
      </w:r>
      <w:r>
        <w:rPr>
          <w:rFonts w:cs="Times New Roman"/>
          <w:sz w:val="21"/>
          <w:lang w:eastAsia="zh-CN"/>
        </w:rPr>
        <w:t>,</w:t>
      </w:r>
      <w:r>
        <w:rPr>
          <w:rFonts w:hint="eastAsia" w:cs="Times New Roman"/>
          <w:sz w:val="21"/>
          <w:lang w:eastAsia="zh-CN"/>
        </w:rPr>
        <w:t>换算方法如下：</w:t>
      </w:r>
    </w:p>
    <w:p>
      <w:pPr>
        <w:ind w:firstLine="420"/>
        <w:rPr>
          <w:sz w:val="21"/>
          <w:lang w:eastAsia="zh-CN"/>
        </w:rPr>
      </w:pPr>
      <m:oMathPara>
        <m:oMath>
          <m:sSub>
            <m:sSubPr>
              <m:ctrlPr>
                <w:rPr>
                  <w:rFonts w:ascii="Cambria Math" w:hAnsi="Cambria Math" w:cs="Times New Roman"/>
                  <w:i/>
                  <w:sz w:val="21"/>
                  <w:lang w:eastAsia="zh-CN"/>
                </w:rPr>
              </m:ctrlPr>
            </m:sSubPr>
            <m:e>
              <m:r>
                <m:rPr/>
                <w:rPr>
                  <w:rFonts w:ascii="Cambria Math" w:hAnsi="Cambria Math" w:cs="Times New Roman"/>
                  <w:sz w:val="21"/>
                  <w:lang w:eastAsia="zh-CN"/>
                </w:rPr>
                <m:t>E</m:t>
              </m:r>
              <m:ctrlPr>
                <w:rPr>
                  <w:rFonts w:ascii="Cambria Math" w:hAnsi="Cambria Math" w:cs="Times New Roman"/>
                  <w:i/>
                  <w:sz w:val="21"/>
                  <w:lang w:eastAsia="zh-CN"/>
                </w:rPr>
              </m:ctrlPr>
            </m:e>
            <m:sub>
              <m:r>
                <m:rPr/>
                <w:rPr>
                  <w:rFonts w:ascii="Cambria Math" w:hAnsi="Cambria Math" w:cs="Times New Roman"/>
                  <w:sz w:val="21"/>
                  <w:lang w:eastAsia="zh-CN"/>
                </w:rPr>
                <m:t>L</m:t>
              </m:r>
              <m:ctrlPr>
                <w:rPr>
                  <w:rFonts w:ascii="Cambria Math" w:hAnsi="Cambria Math" w:cs="Times New Roman"/>
                  <w:i/>
                  <w:sz w:val="21"/>
                  <w:lang w:eastAsia="zh-CN"/>
                </w:rPr>
              </m:ctrlPr>
            </m:sub>
          </m:sSub>
          <m:r>
            <m:rPr/>
            <w:rPr>
              <w:rFonts w:ascii="Cambria Math" w:hAnsi="Cambria Math" w:cs="Times New Roman"/>
              <w:sz w:val="21"/>
              <w:lang w:eastAsia="zh-CN"/>
            </w:rPr>
            <m:t>I=1000SN</m:t>
          </m:r>
          <m:r>
            <m:rPr/>
            <w:rPr>
              <w:rFonts w:hint="eastAsia" w:ascii="Cambria Math" w:hAnsi="Cambria Math" w:cs="Times New Roman"/>
              <w:sz w:val="21"/>
              <w:lang w:eastAsia="zh-CN"/>
            </w:rPr>
            <m:t>·</m:t>
          </m:r>
          <m:sSup>
            <m:sSupPr>
              <m:ctrlPr>
                <w:rPr>
                  <w:rFonts w:ascii="Cambria Math" w:hAnsi="Cambria Math" w:cs="Times New Roman"/>
                  <w:i/>
                  <w:sz w:val="21"/>
                  <w:lang w:eastAsia="zh-CN"/>
                </w:rPr>
              </m:ctrlPr>
            </m:sSupPr>
            <m:e>
              <m:r>
                <m:rPr/>
                <w:rPr>
                  <w:rFonts w:ascii="Cambria Math" w:hAnsi="Cambria Math" w:cs="Times New Roman"/>
                  <w:sz w:val="21"/>
                  <w:lang w:eastAsia="zh-CN"/>
                </w:rPr>
                <m:t>D</m:t>
              </m:r>
              <m:ctrlPr>
                <w:rPr>
                  <w:rFonts w:ascii="Cambria Math" w:hAnsi="Cambria Math" w:cs="Times New Roman"/>
                  <w:i/>
                  <w:sz w:val="21"/>
                  <w:lang w:eastAsia="zh-CN"/>
                </w:rPr>
              </m:ctrlPr>
            </m:e>
            <m:sup>
              <m:r>
                <m:rPr/>
                <w:rPr>
                  <w:rFonts w:ascii="Cambria Math" w:hAnsi="Cambria Math" w:cs="Times New Roman"/>
                  <w:sz w:val="21"/>
                  <w:lang w:eastAsia="zh-CN"/>
                </w:rPr>
                <m:t>3</m:t>
              </m:r>
              <m:ctrlPr>
                <w:rPr>
                  <w:rFonts w:ascii="Cambria Math" w:hAnsi="Cambria Math" w:cs="Times New Roman"/>
                  <w:i/>
                  <w:sz w:val="21"/>
                  <w:lang w:eastAsia="zh-CN"/>
                </w:rPr>
              </m:ctrlPr>
            </m:sup>
          </m:sSup>
        </m:oMath>
      </m:oMathPara>
    </w:p>
    <w:p>
      <w:pPr>
        <w:ind w:firstLine="420"/>
        <w:rPr>
          <w:rFonts w:cs="Times New Roman"/>
          <w:sz w:val="21"/>
          <w:lang w:eastAsia="zh-CN"/>
        </w:rPr>
      </w:pPr>
      <w:r>
        <w:rPr>
          <w:rFonts w:hint="eastAsia" w:cs="Times New Roman"/>
          <w:sz w:val="21"/>
          <w:lang w:eastAsia="zh-CN"/>
        </w:rPr>
        <w:t>式中：</w:t>
      </w:r>
      <m:oMath>
        <m:sSub>
          <m:sSubPr>
            <m:ctrlPr>
              <w:rPr>
                <w:rFonts w:ascii="Cambria Math" w:hAnsi="Cambria Math" w:cs="Times New Roman"/>
                <w:i/>
                <w:sz w:val="21"/>
                <w:lang w:eastAsia="zh-CN"/>
              </w:rPr>
            </m:ctrlPr>
          </m:sSubPr>
          <m:e>
            <m:r>
              <m:rPr/>
              <w:rPr>
                <w:rFonts w:ascii="Cambria Math" w:hAnsi="Cambria Math" w:cs="Times New Roman"/>
                <w:sz w:val="21"/>
                <w:lang w:eastAsia="zh-CN"/>
              </w:rPr>
              <m:t>E</m:t>
            </m:r>
            <m:ctrlPr>
              <w:rPr>
                <w:rFonts w:ascii="Cambria Math" w:hAnsi="Cambria Math" w:cs="Times New Roman"/>
                <w:i/>
                <w:sz w:val="21"/>
                <w:lang w:eastAsia="zh-CN"/>
              </w:rPr>
            </m:ctrlPr>
          </m:e>
          <m:sub>
            <m:r>
              <m:rPr/>
              <w:rPr>
                <w:rFonts w:ascii="Cambria Math" w:hAnsi="Cambria Math" w:cs="Times New Roman"/>
                <w:sz w:val="21"/>
                <w:lang w:eastAsia="zh-CN"/>
              </w:rPr>
              <m:t>L</m:t>
            </m:r>
            <m:ctrlPr>
              <w:rPr>
                <w:rFonts w:ascii="Cambria Math" w:hAnsi="Cambria Math" w:cs="Times New Roman"/>
                <w:i/>
                <w:sz w:val="21"/>
                <w:lang w:eastAsia="zh-CN"/>
              </w:rPr>
            </m:ctrlPr>
          </m:sub>
        </m:sSub>
        <m:r>
          <m:rPr/>
          <w:rPr>
            <w:rFonts w:ascii="Cambria Math" w:hAnsi="Cambria Math" w:cs="Times New Roman"/>
            <w:sz w:val="21"/>
            <w:lang w:eastAsia="zh-CN"/>
          </w:rPr>
          <m:t>I</m:t>
        </m:r>
      </m:oMath>
      <w:r>
        <w:rPr>
          <w:rFonts w:hint="eastAsia" w:cs="Times New Roman"/>
          <w:sz w:val="21"/>
          <w:lang w:eastAsia="zh-CN"/>
        </w:rPr>
        <w:t>——带状型材的刚度系数（MPa·mm³）；</w:t>
      </w:r>
    </w:p>
    <w:p>
      <w:pPr>
        <w:ind w:left="210" w:firstLine="840" w:firstLineChars="400"/>
        <w:rPr>
          <w:rFonts w:cs="Times New Roman"/>
          <w:sz w:val="21"/>
          <w:lang w:eastAsia="zh-CN"/>
        </w:rPr>
      </w:pPr>
      <w:r>
        <w:rPr>
          <w:rFonts w:hint="eastAsia" w:cs="Times New Roman"/>
          <w:sz w:val="21"/>
          <w:lang w:eastAsia="zh-CN"/>
        </w:rPr>
        <w:t>D——内衬管计算直径（mm）；</w:t>
      </w:r>
    </w:p>
    <w:p>
      <w:pPr>
        <w:ind w:left="630" w:firstLine="420"/>
        <w:rPr>
          <w:rFonts w:cs="Times New Roman"/>
          <w:sz w:val="21"/>
          <w:lang w:eastAsia="zh-CN"/>
        </w:rPr>
      </w:pPr>
      <w:r>
        <w:rPr>
          <w:rFonts w:hint="eastAsia" w:cs="Times New Roman"/>
          <w:sz w:val="21"/>
          <w:lang w:eastAsia="zh-CN"/>
        </w:rPr>
        <w:t>SN——实测管道的环刚度（N/m²）。</w:t>
      </w:r>
    </w:p>
    <w:p>
      <w:pPr>
        <w:ind w:firstLine="422"/>
        <w:rPr>
          <w:rFonts w:cs="Times New Roman"/>
          <w:sz w:val="21"/>
          <w:lang w:eastAsia="zh-CN"/>
        </w:rPr>
      </w:pPr>
      <w:r>
        <w:rPr>
          <w:rFonts w:ascii="宋体" w:hAnsi="宋体" w:cs="宋体"/>
          <w:b/>
          <w:bCs/>
          <w:color w:val="auto"/>
          <w:sz w:val="21"/>
          <w:lang w:eastAsia="zh-CN"/>
        </w:rPr>
        <w:drawing>
          <wp:anchor distT="0" distB="0" distL="114300" distR="114300" simplePos="0" relativeHeight="251666432" behindDoc="0" locked="0" layoutInCell="1" allowOverlap="1">
            <wp:simplePos x="0" y="0"/>
            <wp:positionH relativeFrom="column">
              <wp:posOffset>47625</wp:posOffset>
            </wp:positionH>
            <wp:positionV relativeFrom="paragraph">
              <wp:posOffset>582930</wp:posOffset>
            </wp:positionV>
            <wp:extent cx="5274310" cy="1292860"/>
            <wp:effectExtent l="0" t="0" r="2540" b="2540"/>
            <wp:wrapTopAndBottom/>
            <wp:docPr id="327442131" name="图片 5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42131" name="图片 53" descr="图示&#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1292860"/>
                    </a:xfrm>
                    <a:prstGeom prst="rect">
                      <a:avLst/>
                    </a:prstGeom>
                    <a:noFill/>
                    <a:ln>
                      <a:noFill/>
                    </a:ln>
                  </pic:spPr>
                </pic:pic>
              </a:graphicData>
            </a:graphic>
          </wp:anchor>
        </w:drawing>
      </w:r>
      <w:r>
        <w:rPr>
          <w:rFonts w:hint="eastAsia" w:cs="Times New Roman"/>
          <w:b/>
          <w:bCs/>
          <w:sz w:val="21"/>
          <w:lang w:eastAsia="zh-CN"/>
        </w:rPr>
        <w:t>6.5.5</w:t>
      </w:r>
      <w:r>
        <w:rPr>
          <w:rFonts w:hint="eastAsia" w:cs="Times New Roman"/>
          <w:sz w:val="21"/>
          <w:lang w:eastAsia="zh-CN"/>
        </w:rPr>
        <w:t xml:space="preserve"> 本条参考了 </w:t>
      </w:r>
      <w:r>
        <w:rPr>
          <w:rFonts w:cs="Times New Roman"/>
          <w:sz w:val="21"/>
          <w:lang w:eastAsia="zh-CN"/>
        </w:rPr>
        <w:t>CECS 717-2020</w:t>
      </w:r>
      <w:r>
        <w:rPr>
          <w:rFonts w:hint="eastAsia" w:cs="Times New Roman"/>
          <w:sz w:val="21"/>
          <w:lang w:eastAsia="zh-CN"/>
        </w:rPr>
        <w:t>，</w:t>
      </w:r>
      <w:r>
        <w:rPr>
          <w:rFonts w:cs="Times New Roman"/>
          <w:sz w:val="21"/>
          <w:lang w:eastAsia="zh-CN"/>
        </w:rPr>
        <w:t>ISO 11296-7-2019</w:t>
      </w:r>
      <w:r>
        <w:rPr>
          <w:rFonts w:hint="eastAsia" w:cs="Times New Roman"/>
          <w:sz w:val="21"/>
          <w:lang w:eastAsia="zh-CN"/>
        </w:rPr>
        <w:t>，</w:t>
      </w:r>
      <w:r>
        <w:rPr>
          <w:rFonts w:cs="Times New Roman"/>
          <w:sz w:val="21"/>
          <w:lang w:eastAsia="zh-CN"/>
        </w:rPr>
        <w:t xml:space="preserve">ASTM F1741-2018 </w:t>
      </w:r>
      <w:r>
        <w:rPr>
          <w:rFonts w:hint="eastAsia" w:cs="Times New Roman"/>
          <w:sz w:val="21"/>
          <w:lang w:eastAsia="zh-CN"/>
        </w:rPr>
        <w:t>的相关规定。</w:t>
      </w:r>
    </w:p>
    <w:p>
      <w:pPr>
        <w:ind w:firstLine="420"/>
        <w:jc w:val="center"/>
        <w:rPr>
          <w:color w:val="auto"/>
          <w:sz w:val="21"/>
          <w:lang w:eastAsia="zh-CN"/>
        </w:rPr>
      </w:pPr>
      <w:r>
        <w:rPr>
          <w:rFonts w:eastAsia="Times New Roman" w:cs="Times New Roman"/>
          <w:color w:val="auto"/>
          <w:sz w:val="21"/>
          <w:lang w:eastAsia="zh-CN"/>
        </w:rPr>
        <w:t>1</w:t>
      </w:r>
      <w:r>
        <w:rPr>
          <w:rFonts w:hint="eastAsia" w:ascii="等线" w:hAnsi="等线" w:eastAsia="等线" w:cs="等线"/>
          <w:color w:val="auto"/>
          <w:sz w:val="21"/>
          <w:lang w:eastAsia="zh-CN"/>
        </w:rPr>
        <w:t>─</w:t>
      </w:r>
      <w:r>
        <w:rPr>
          <w:rFonts w:hint="eastAsia"/>
          <w:color w:val="auto"/>
          <w:sz w:val="21"/>
          <w:lang w:eastAsia="zh-CN"/>
        </w:rPr>
        <w:t>带状型材滑动扩张；</w:t>
      </w:r>
      <w:r>
        <w:rPr>
          <w:rFonts w:eastAsia="Times New Roman" w:cs="Times New Roman"/>
          <w:color w:val="auto"/>
          <w:sz w:val="21"/>
          <w:lang w:eastAsia="zh-CN"/>
        </w:rPr>
        <w:t>2</w:t>
      </w:r>
      <w:r>
        <w:rPr>
          <w:rFonts w:hint="eastAsia" w:ascii="等线" w:hAnsi="等线" w:eastAsia="等线" w:cs="等线"/>
          <w:color w:val="auto"/>
          <w:sz w:val="21"/>
          <w:lang w:eastAsia="zh-CN"/>
        </w:rPr>
        <w:t>─</w:t>
      </w:r>
      <w:r>
        <w:rPr>
          <w:rFonts w:hint="eastAsia"/>
          <w:color w:val="auto"/>
          <w:sz w:val="21"/>
          <w:lang w:eastAsia="zh-CN"/>
        </w:rPr>
        <w:t>带状型材；</w:t>
      </w:r>
      <w:r>
        <w:rPr>
          <w:rFonts w:eastAsia="Times New Roman" w:cs="Times New Roman"/>
          <w:color w:val="auto"/>
          <w:sz w:val="21"/>
          <w:lang w:eastAsia="zh-CN"/>
        </w:rPr>
        <w:t>3</w:t>
      </w:r>
      <w:r>
        <w:rPr>
          <w:rFonts w:hint="eastAsia" w:ascii="等线" w:hAnsi="等线" w:eastAsia="等线" w:cs="等线"/>
          <w:color w:val="auto"/>
          <w:sz w:val="21"/>
          <w:lang w:eastAsia="zh-CN"/>
        </w:rPr>
        <w:t>─</w:t>
      </w:r>
      <w:r>
        <w:rPr>
          <w:rFonts w:hint="eastAsia"/>
          <w:color w:val="auto"/>
          <w:sz w:val="21"/>
          <w:lang w:eastAsia="zh-CN"/>
        </w:rPr>
        <w:t>缠绕笼</w:t>
      </w:r>
    </w:p>
    <w:p>
      <w:pPr>
        <w:pStyle w:val="43"/>
        <w:rPr>
          <w:color w:val="auto"/>
        </w:rPr>
      </w:pPr>
      <w:r>
        <w:rPr>
          <w:rFonts w:hint="eastAsia"/>
          <w:color w:val="auto"/>
        </w:rPr>
        <w:t>图</w:t>
      </w:r>
      <w:r>
        <w:rPr>
          <w:rFonts w:hint="eastAsia" w:asciiTheme="minorEastAsia" w:hAnsiTheme="minorEastAsia" w:eastAsiaTheme="minorEastAsia"/>
          <w:color w:val="auto"/>
          <w:spacing w:val="-33"/>
        </w:rPr>
        <w:t xml:space="preserve"> </w:t>
      </w:r>
      <w:r>
        <w:rPr>
          <w:rFonts w:hint="eastAsia" w:eastAsiaTheme="minorEastAsia"/>
          <w:color w:val="auto"/>
        </w:rPr>
        <w:t>6.5.5</w:t>
      </w:r>
      <w:r>
        <w:rPr>
          <w:rFonts w:asciiTheme="minorEastAsia" w:hAnsiTheme="minorEastAsia" w:eastAsiaTheme="minorEastAsia"/>
          <w:color w:val="auto"/>
        </w:rPr>
        <w:t xml:space="preserve"> </w:t>
      </w:r>
      <w:r>
        <w:rPr>
          <w:rFonts w:hint="eastAsia"/>
          <w:color w:val="auto"/>
        </w:rPr>
        <w:t>扩张式螺旋缠绕内衬法</w:t>
      </w:r>
    </w:p>
    <w:p>
      <w:pPr>
        <w:ind w:firstLine="422"/>
        <w:rPr>
          <w:rFonts w:cs="Times New Roman"/>
          <w:sz w:val="21"/>
          <w:lang w:eastAsia="zh-CN"/>
        </w:rPr>
      </w:pPr>
      <w:r>
        <w:rPr>
          <w:rFonts w:hint="eastAsia" w:cs="Times New Roman"/>
          <w:b/>
          <w:bCs/>
          <w:sz w:val="21"/>
          <w:lang w:eastAsia="zh-CN"/>
        </w:rPr>
        <w:t>6.5</w:t>
      </w:r>
      <w:r>
        <w:rPr>
          <w:rFonts w:cs="Times New Roman"/>
          <w:b/>
          <w:bCs/>
          <w:sz w:val="21"/>
          <w:lang w:eastAsia="zh-CN"/>
        </w:rPr>
        <w:t>.6</w:t>
      </w:r>
      <w:r>
        <w:rPr>
          <w:rFonts w:hint="eastAsia" w:cs="Times New Roman"/>
          <w:sz w:val="21"/>
          <w:lang w:eastAsia="zh-CN"/>
        </w:rPr>
        <w:t xml:space="preserve"> 本条参考了 CECS 717-2020 的相关要求。</w:t>
      </w:r>
    </w:p>
    <w:p>
      <w:pPr>
        <w:ind w:firstLine="0" w:firstLineChars="0"/>
        <w:jc w:val="center"/>
        <w:rPr>
          <w:sz w:val="21"/>
          <w:lang w:eastAsia="zh-CN"/>
        </w:rPr>
      </w:pPr>
      <w:r>
        <w:rPr>
          <w:color w:val="auto"/>
          <w:position w:val="-73"/>
          <w:sz w:val="21"/>
        </w:rPr>
        <w:drawing>
          <wp:inline distT="0" distB="0" distL="0" distR="0">
            <wp:extent cx="4324985" cy="2334895"/>
            <wp:effectExtent l="0" t="0" r="3175" b="12065"/>
            <wp:docPr id="112" name="IM 112" descr="图示, 工程绘图&#10;&#10;AI 生成的内容可能不正确。"/>
            <wp:cNvGraphicFramePr/>
            <a:graphic xmlns:a="http://schemas.openxmlformats.org/drawingml/2006/main">
              <a:graphicData uri="http://schemas.openxmlformats.org/drawingml/2006/picture">
                <pic:pic xmlns:pic="http://schemas.openxmlformats.org/drawingml/2006/picture">
                  <pic:nvPicPr>
                    <pic:cNvPr id="112" name="IM 112" descr="图示, 工程绘图&#10;&#10;AI 生成的内容可能不正确。"/>
                    <pic:cNvPicPr/>
                  </pic:nvPicPr>
                  <pic:blipFill>
                    <a:blip r:embed="rId24"/>
                    <a:stretch>
                      <a:fillRect/>
                    </a:stretch>
                  </pic:blipFill>
                  <pic:spPr>
                    <a:xfrm>
                      <a:off x="0" y="0"/>
                      <a:ext cx="4325619" cy="2335276"/>
                    </a:xfrm>
                    <a:prstGeom prst="rect">
                      <a:avLst/>
                    </a:prstGeom>
                  </pic:spPr>
                </pic:pic>
              </a:graphicData>
            </a:graphic>
          </wp:inline>
        </w:drawing>
      </w:r>
    </w:p>
    <w:p>
      <w:pPr>
        <w:pStyle w:val="43"/>
        <w:rPr>
          <w:rFonts w:hint="eastAsia" w:ascii="宋体" w:hAnsi="宋体" w:eastAsia="宋体"/>
          <w:color w:val="auto"/>
        </w:rPr>
      </w:pPr>
      <w:r>
        <w:rPr>
          <w:rFonts w:hint="eastAsia" w:ascii="宋体" w:hAnsi="宋体" w:eastAsia="宋体"/>
          <w:color w:val="auto"/>
        </w:rPr>
        <w:t>1─缠绕笼；2─带状型材；3─钢带</w:t>
      </w:r>
    </w:p>
    <w:p>
      <w:pPr>
        <w:pStyle w:val="43"/>
        <w:rPr>
          <w:rFonts w:hint="eastAsia" w:ascii="宋体" w:hAnsi="宋体" w:eastAsia="宋体"/>
          <w:color w:val="auto"/>
        </w:rPr>
      </w:pPr>
      <w:r>
        <w:rPr>
          <w:rFonts w:eastAsia="宋体"/>
          <w:color w:val="auto"/>
        </w:rPr>
        <w:t xml:space="preserve">图 </w:t>
      </w:r>
      <w:r>
        <w:rPr>
          <w:rFonts w:hint="eastAsia" w:eastAsia="宋体"/>
          <w:color w:val="auto"/>
        </w:rPr>
        <w:t>6.5.6</w:t>
      </w:r>
      <w:r>
        <w:rPr>
          <w:rFonts w:hint="eastAsia" w:ascii="宋体" w:hAnsi="宋体" w:eastAsia="宋体"/>
          <w:color w:val="auto"/>
        </w:rPr>
        <w:t xml:space="preserve"> 定径式螺旋缠绕内衬法 </w:t>
      </w:r>
    </w:p>
    <w:p>
      <w:pPr>
        <w:pStyle w:val="43"/>
        <w:ind w:firstLine="420"/>
        <w:jc w:val="both"/>
        <w:rPr>
          <w:rFonts w:eastAsia="宋体"/>
          <w:color w:val="auto"/>
        </w:rPr>
      </w:pPr>
      <w:r>
        <w:rPr>
          <w:rFonts w:hint="eastAsia" w:eastAsia="宋体"/>
          <w:b/>
          <w:bCs/>
          <w:color w:val="auto"/>
        </w:rPr>
        <w:t>6.5.7</w:t>
      </w:r>
      <w:r>
        <w:rPr>
          <w:rFonts w:eastAsia="宋体"/>
          <w:color w:val="auto"/>
        </w:rPr>
        <w:t xml:space="preserve"> 本条参考了 T/CECS 717-2020，CJJ /T 210-2014，ASTMF1741-2018，ISO 11296-7-2019 的相关要求。</w:t>
      </w:r>
    </w:p>
    <w:p>
      <w:pPr>
        <w:ind w:firstLine="0" w:firstLineChars="0"/>
        <w:jc w:val="center"/>
        <w:rPr>
          <w:sz w:val="21"/>
          <w:lang w:eastAsia="zh-CN"/>
        </w:rPr>
      </w:pPr>
      <w:r>
        <w:rPr>
          <w:color w:val="auto"/>
          <w:sz w:val="21"/>
        </w:rPr>
        <w:drawing>
          <wp:inline distT="0" distB="0" distL="0" distR="0">
            <wp:extent cx="3460750" cy="1818005"/>
            <wp:effectExtent l="0" t="0" r="13970" b="10795"/>
            <wp:docPr id="79114623" name="图片 5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4623" name="图片 51" descr="图示, 工程绘图&#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486545" cy="1831928"/>
                    </a:xfrm>
                    <a:prstGeom prst="rect">
                      <a:avLst/>
                    </a:prstGeom>
                    <a:noFill/>
                    <a:ln>
                      <a:noFill/>
                    </a:ln>
                  </pic:spPr>
                </pic:pic>
              </a:graphicData>
            </a:graphic>
          </wp:inline>
        </w:drawing>
      </w:r>
    </w:p>
    <w:p>
      <w:pPr>
        <w:pStyle w:val="43"/>
        <w:rPr>
          <w:rFonts w:eastAsia="宋体"/>
          <w:color w:val="auto"/>
        </w:rPr>
      </w:pPr>
      <w:r>
        <w:rPr>
          <w:rFonts w:eastAsia="宋体"/>
          <w:color w:val="auto"/>
        </w:rPr>
        <w:t>1—缠绕机头；2—带状型材</w:t>
      </w:r>
    </w:p>
    <w:p>
      <w:pPr>
        <w:pStyle w:val="43"/>
        <w:rPr>
          <w:rFonts w:eastAsia="宋体"/>
          <w:color w:val="auto"/>
        </w:rPr>
      </w:pPr>
      <w:r>
        <w:rPr>
          <w:rFonts w:eastAsia="宋体"/>
          <w:color w:val="auto"/>
        </w:rPr>
        <w:t>图</w:t>
      </w:r>
      <w:r>
        <w:rPr>
          <w:rFonts w:hint="eastAsia" w:eastAsia="宋体"/>
          <w:color w:val="auto"/>
        </w:rPr>
        <w:t>6.5.7</w:t>
      </w:r>
      <w:r>
        <w:rPr>
          <w:rFonts w:eastAsia="宋体"/>
          <w:color w:val="auto"/>
        </w:rPr>
        <w:t xml:space="preserve"> 机头行走式螺旋缠绕内衬法</w:t>
      </w:r>
    </w:p>
    <w:p>
      <w:pPr>
        <w:pStyle w:val="43"/>
        <w:ind w:firstLine="420"/>
        <w:jc w:val="both"/>
        <w:rPr>
          <w:rFonts w:eastAsia="宋体"/>
          <w:color w:val="auto"/>
        </w:rPr>
      </w:pPr>
      <w:r>
        <w:rPr>
          <w:rFonts w:hint="eastAsia" w:eastAsia="宋体"/>
          <w:b/>
          <w:bCs/>
          <w:color w:val="auto"/>
        </w:rPr>
        <w:t xml:space="preserve">6.5.8 </w:t>
      </w:r>
      <w:r>
        <w:rPr>
          <w:rFonts w:hint="eastAsia" w:eastAsia="宋体"/>
          <w:color w:val="auto"/>
        </w:rPr>
        <w:t>机头行走式缠绕内衬工艺管道倒角曲率半径</w:t>
      </w:r>
      <w:r>
        <w:rPr>
          <w:rFonts w:eastAsia="宋体"/>
          <w:color w:val="auto"/>
        </w:rPr>
        <w:t xml:space="preserve"> R </w:t>
      </w:r>
      <w:r>
        <w:rPr>
          <w:rFonts w:hint="eastAsia" w:eastAsia="宋体"/>
          <w:color w:val="auto"/>
        </w:rPr>
        <w:t>如图</w:t>
      </w:r>
      <w:r>
        <w:rPr>
          <w:rFonts w:eastAsia="宋体"/>
          <w:color w:val="auto"/>
        </w:rPr>
        <w:t xml:space="preserve"> 1 </w:t>
      </w:r>
      <w:r>
        <w:rPr>
          <w:rFonts w:hint="eastAsia" w:eastAsia="宋体"/>
          <w:color w:val="auto"/>
        </w:rPr>
        <w:t>所示。</w:t>
      </w:r>
    </w:p>
    <w:p>
      <w:pPr>
        <w:ind w:firstLine="0" w:firstLineChars="0"/>
        <w:jc w:val="center"/>
        <w:rPr>
          <w:sz w:val="21"/>
          <w:lang w:eastAsia="zh-CN"/>
        </w:rPr>
      </w:pPr>
      <w:r>
        <w:rPr>
          <w:color w:val="auto"/>
          <w:sz w:val="21"/>
        </w:rPr>
        <w:drawing>
          <wp:inline distT="0" distB="0" distL="0" distR="0">
            <wp:extent cx="1483995" cy="1495425"/>
            <wp:effectExtent l="0" t="0" r="1905" b="0"/>
            <wp:docPr id="870850154" name="图片 5"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50154" name="图片 5" descr="形状&#10;&#10;AI 生成的内容可能不正确。"/>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488130" cy="1499542"/>
                    </a:xfrm>
                    <a:prstGeom prst="rect">
                      <a:avLst/>
                    </a:prstGeom>
                    <a:noFill/>
                    <a:ln>
                      <a:noFill/>
                    </a:ln>
                  </pic:spPr>
                </pic:pic>
              </a:graphicData>
            </a:graphic>
          </wp:inline>
        </w:drawing>
      </w:r>
    </w:p>
    <w:p>
      <w:pPr>
        <w:pStyle w:val="43"/>
        <w:rPr>
          <w:color w:val="auto"/>
        </w:rPr>
      </w:pPr>
      <w:r>
        <w:rPr>
          <w:rFonts w:hint="eastAsia"/>
          <w:color w:val="auto"/>
        </w:rPr>
        <w:t>图 6.5.8</w:t>
      </w:r>
      <w:r>
        <w:rPr>
          <w:color w:val="auto"/>
        </w:rPr>
        <w:t xml:space="preserve"> </w:t>
      </w:r>
      <w:r>
        <w:rPr>
          <w:rFonts w:hint="eastAsia"/>
          <w:color w:val="auto"/>
        </w:rPr>
        <w:t xml:space="preserve">倒角处的曲率半径 </w:t>
      </w:r>
      <w:r>
        <w:rPr>
          <w:color w:val="auto"/>
        </w:rPr>
        <w:t xml:space="preserve">R </w:t>
      </w:r>
      <w:r>
        <w:rPr>
          <w:rFonts w:hint="eastAsia"/>
          <w:color w:val="auto"/>
        </w:rPr>
        <w:t>示意</w:t>
      </w:r>
    </w:p>
    <w:p>
      <w:pPr>
        <w:pStyle w:val="43"/>
        <w:ind w:firstLine="420"/>
        <w:jc w:val="both"/>
        <w:rPr>
          <w:rFonts w:eastAsia="宋体"/>
          <w:color w:val="auto"/>
        </w:rPr>
      </w:pPr>
      <w:r>
        <w:rPr>
          <w:rFonts w:hint="eastAsia"/>
          <w:b/>
          <w:bCs/>
          <w:color w:val="auto"/>
        </w:rPr>
        <w:t>6.5.12</w:t>
      </w:r>
      <w:r>
        <w:rPr>
          <w:b/>
          <w:bCs/>
          <w:color w:val="auto"/>
        </w:rPr>
        <w:t xml:space="preserve"> </w:t>
      </w:r>
      <w:r>
        <w:rPr>
          <w:rFonts w:hint="eastAsia" w:eastAsia="宋体"/>
          <w:color w:val="auto"/>
        </w:rPr>
        <w:t>图</w:t>
      </w:r>
      <w:r>
        <w:rPr>
          <w:rFonts w:eastAsia="宋体"/>
          <w:color w:val="auto"/>
        </w:rPr>
        <w:t xml:space="preserve"> </w:t>
      </w:r>
      <w:r>
        <w:rPr>
          <w:rFonts w:hint="eastAsia" w:eastAsia="宋体"/>
          <w:color w:val="auto"/>
        </w:rPr>
        <w:t>6.5.12</w:t>
      </w:r>
      <w:r>
        <w:rPr>
          <w:rFonts w:eastAsia="宋体"/>
          <w:color w:val="auto"/>
        </w:rPr>
        <w:t xml:space="preserve"> </w:t>
      </w:r>
      <w:r>
        <w:rPr>
          <w:rFonts w:hint="eastAsia" w:eastAsia="宋体"/>
          <w:color w:val="auto"/>
        </w:rPr>
        <w:t>显示了</w:t>
      </w:r>
      <w:r>
        <w:rPr>
          <w:rFonts w:eastAsia="宋体"/>
          <w:color w:val="auto"/>
        </w:rPr>
        <w:t xml:space="preserve"> 6 </w:t>
      </w:r>
      <w:r>
        <w:rPr>
          <w:rFonts w:hint="eastAsia" w:eastAsia="宋体"/>
          <w:color w:val="auto"/>
        </w:rPr>
        <w:t>支点和</w:t>
      </w:r>
      <w:r>
        <w:rPr>
          <w:rFonts w:eastAsia="宋体"/>
          <w:color w:val="auto"/>
        </w:rPr>
        <w:t xml:space="preserve"> 8 </w:t>
      </w:r>
      <w:r>
        <w:rPr>
          <w:rFonts w:hint="eastAsia" w:eastAsia="宋体"/>
          <w:color w:val="auto"/>
        </w:rPr>
        <w:t>支点支撑的示意图。为了防止内衬管上浮，在内衬管顶部钻孔，以便使</w:t>
      </w:r>
      <w:r>
        <w:rPr>
          <w:rFonts w:eastAsia="宋体"/>
          <w:color w:val="auto"/>
        </w:rPr>
        <w:t xml:space="preserve"> </w:t>
      </w:r>
      <w:r>
        <w:rPr>
          <w:rFonts w:hint="eastAsia" w:eastAsia="宋体"/>
          <w:color w:val="auto"/>
        </w:rPr>
        <w:t>支撑物坐落到原管道上。</w:t>
      </w:r>
      <w:r>
        <w:rPr>
          <w:rFonts w:eastAsia="宋体"/>
          <w:color w:val="auto"/>
        </w:rPr>
        <w:t xml:space="preserve">SRM </w:t>
      </w:r>
      <w:r>
        <w:rPr>
          <w:rFonts w:hint="eastAsia" w:eastAsia="宋体"/>
          <w:color w:val="auto"/>
        </w:rPr>
        <w:t>建议注浆时造成的内衬管变形不宜超过直径的</w:t>
      </w:r>
      <w:r>
        <w:rPr>
          <w:rFonts w:eastAsia="宋体"/>
          <w:color w:val="auto"/>
        </w:rPr>
        <w:t xml:space="preserve"> 6%</w:t>
      </w:r>
      <w:r>
        <w:rPr>
          <w:rFonts w:hint="eastAsia" w:eastAsia="宋体"/>
          <w:color w:val="auto"/>
        </w:rPr>
        <w:t>。</w:t>
      </w:r>
    </w:p>
    <w:p>
      <w:pPr>
        <w:ind w:firstLine="0" w:firstLineChars="0"/>
        <w:jc w:val="center"/>
        <w:rPr>
          <w:sz w:val="21"/>
          <w:lang w:eastAsia="zh-CN"/>
        </w:rPr>
      </w:pPr>
      <w:r>
        <w:rPr>
          <w:color w:val="auto"/>
          <w:sz w:val="21"/>
        </w:rPr>
        <w:drawing>
          <wp:inline distT="0" distB="0" distL="0" distR="0">
            <wp:extent cx="1995170" cy="1976755"/>
            <wp:effectExtent l="0" t="0" r="5080" b="4445"/>
            <wp:docPr id="1145786411" name="图片 6" descr="手机屏幕的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86411" name="图片 6" descr="手机屏幕的截图&#10;&#10;AI 生成的内容可能不正确。"/>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01010" cy="1982322"/>
                    </a:xfrm>
                    <a:prstGeom prst="rect">
                      <a:avLst/>
                    </a:prstGeom>
                    <a:noFill/>
                    <a:ln>
                      <a:noFill/>
                    </a:ln>
                  </pic:spPr>
                </pic:pic>
              </a:graphicData>
            </a:graphic>
          </wp:inline>
        </w:drawing>
      </w:r>
    </w:p>
    <w:p>
      <w:pPr>
        <w:pStyle w:val="43"/>
        <w:rPr>
          <w:color w:val="auto"/>
        </w:rPr>
      </w:pPr>
      <w:r>
        <w:rPr>
          <w:rFonts w:hint="eastAsia"/>
          <w:color w:val="auto"/>
        </w:rPr>
        <w:t>图 6.5.12</w:t>
      </w:r>
      <w:r>
        <w:rPr>
          <w:color w:val="auto"/>
        </w:rPr>
        <w:t xml:space="preserve"> </w:t>
      </w:r>
      <w:r>
        <w:rPr>
          <w:rFonts w:hint="eastAsia"/>
          <w:color w:val="auto"/>
        </w:rPr>
        <w:t>中大直径管道防上浮支护</w:t>
      </w:r>
    </w:p>
    <w:p>
      <w:pPr>
        <w:pStyle w:val="3"/>
      </w:pPr>
      <w:r>
        <w:rPr>
          <w:rFonts w:hint="eastAsia"/>
        </w:rPr>
        <w:t>6.7 喷涂法</w:t>
      </w:r>
    </w:p>
    <w:p>
      <w:pPr>
        <w:ind w:firstLine="422"/>
        <w:rPr>
          <w:sz w:val="21"/>
          <w:lang w:eastAsia="zh-CN"/>
        </w:rPr>
      </w:pPr>
      <w:r>
        <w:rPr>
          <w:rFonts w:hint="eastAsia" w:eastAsia="黑体"/>
          <w:b/>
          <w:bCs/>
          <w:sz w:val="21"/>
          <w:lang w:eastAsia="zh-CN"/>
        </w:rPr>
        <w:t>6.7.3</w:t>
      </w:r>
      <w:r>
        <w:rPr>
          <w:rFonts w:hint="eastAsia" w:ascii="宋体" w:hAnsi="宋体"/>
          <w:b/>
          <w:bCs/>
          <w:sz w:val="21"/>
          <w:lang w:eastAsia="zh-CN"/>
        </w:rPr>
        <w:t xml:space="preserve"> </w:t>
      </w:r>
      <w:r>
        <w:rPr>
          <w:rFonts w:hint="eastAsia"/>
          <w:sz w:val="21"/>
          <w:lang w:eastAsia="zh-CN"/>
        </w:rPr>
        <w:t>0℃以下施工面临的首要问题是，拌合物可能在未固结的情况下发生结冰现象，导致修复失效。对于排水检查井修复施工而言，一般情况下，即使地面空气温度低于0℃，待修复地下管道设施基底温度通常都是在0℃以上。如果能保证拌合物制备及使用过程中不结冰，多数情况是可以正常施工的，在国内有在-15℃环境下正常施工的案例。在夏季高温施工环境中，尤其在地上部分的输浆管道在烈日下暴晒后，温度很高，很容易引起管道内的拌合物温度升高,流动性下降甚至发生凝结，很容易造成输浆管路堵塞并由此引发连锁设备故障。因此，在夏季高温施工时，拌合物最好采用冷却水（20℃以下）或加冰的水。</w:t>
      </w:r>
    </w:p>
    <w:p>
      <w:pPr>
        <w:ind w:firstLine="422"/>
        <w:rPr>
          <w:sz w:val="21"/>
          <w:lang w:eastAsia="zh-CN"/>
        </w:rPr>
      </w:pPr>
      <w:r>
        <w:rPr>
          <w:rFonts w:hint="eastAsia" w:eastAsia="黑体"/>
          <w:b/>
          <w:bCs/>
          <w:sz w:val="21"/>
          <w:lang w:eastAsia="zh-CN"/>
        </w:rPr>
        <w:t>6.7.5</w:t>
      </w:r>
      <w:r>
        <w:rPr>
          <w:rFonts w:hint="eastAsia"/>
          <w:sz w:val="21"/>
          <w:lang w:eastAsia="zh-CN"/>
        </w:rPr>
        <w:t xml:space="preserve"> 喷涂施工中若保护层的施工厚度需要超过20mm时，一般使用钢筋网或分两层施工。分两层施工时，第二层的施工必须在第一层砂浆与基层间产生一定的黏性，但砂浆尚未终凝时进行。若必须采用施工缝并指定使用其他材料来连接，则该施工缝应是一条清洁、规则的45°角窄缝。施用连接材料前,斜坡部分和附近的施用材料需序量仔细清除干净，然后通过空气喷射和清水冲洗。</w:t>
      </w:r>
    </w:p>
    <w:p>
      <w:pPr>
        <w:ind w:firstLine="422"/>
        <w:rPr>
          <w:sz w:val="21"/>
          <w:lang w:eastAsia="zh-CN"/>
        </w:rPr>
      </w:pPr>
      <w:r>
        <w:rPr>
          <w:rFonts w:hint="eastAsia" w:eastAsia="黑体"/>
          <w:b/>
          <w:bCs/>
          <w:sz w:val="21"/>
          <w:lang w:eastAsia="zh-CN"/>
        </w:rPr>
        <w:t xml:space="preserve">6.7.7 </w:t>
      </w:r>
      <w:r>
        <w:rPr>
          <w:rFonts w:hint="eastAsia"/>
          <w:sz w:val="21"/>
          <w:lang w:eastAsia="zh-CN"/>
        </w:rPr>
        <w:t>为避免井壁与井底之间的间隙引发渗漏，井底与井壁的结合处宜做倒圆处理。</w:t>
      </w:r>
    </w:p>
    <w:p>
      <w:pPr>
        <w:ind w:firstLine="422"/>
        <w:rPr>
          <w:sz w:val="21"/>
          <w:lang w:eastAsia="zh-CN"/>
        </w:rPr>
      </w:pPr>
      <w:r>
        <w:rPr>
          <w:rFonts w:hint="eastAsia" w:eastAsia="黑体"/>
          <w:b/>
          <w:bCs/>
          <w:sz w:val="21"/>
          <w:lang w:eastAsia="zh-CN"/>
        </w:rPr>
        <w:t xml:space="preserve">6.7.10 </w:t>
      </w:r>
      <w:r>
        <w:rPr>
          <w:rFonts w:hint="eastAsia"/>
          <w:sz w:val="21"/>
          <w:lang w:eastAsia="zh-CN"/>
        </w:rPr>
        <w:t>喷涂完毕后的内衬需在无风、潮湿的环境下养护，以免因水分过快蒸发造成内衬开裂。</w:t>
      </w:r>
    </w:p>
    <w:p>
      <w:pPr>
        <w:pStyle w:val="3"/>
      </w:pPr>
      <w:r>
        <w:rPr>
          <w:rFonts w:hint="eastAsia"/>
        </w:rPr>
        <w:t>6.8 碎裂管法</w:t>
      </w:r>
    </w:p>
    <w:p>
      <w:pPr>
        <w:ind w:firstLine="422"/>
        <w:rPr>
          <w:sz w:val="21"/>
          <w:lang w:eastAsia="zh-CN"/>
        </w:rPr>
      </w:pPr>
      <w:r>
        <w:rPr>
          <w:rFonts w:hint="eastAsia"/>
          <w:b/>
          <w:bCs/>
          <w:sz w:val="21"/>
          <w:lang w:eastAsia="zh-CN"/>
        </w:rPr>
        <w:t>6.8.3</w:t>
      </w:r>
      <w:r>
        <w:rPr>
          <w:rFonts w:hint="eastAsia"/>
          <w:sz w:val="21"/>
          <w:lang w:eastAsia="zh-CN"/>
        </w:rPr>
        <w:t xml:space="preserve"> 施工段划分和工作坑的位置应考虑多种因素，但在设计阶段往往存在工况信息掌握不充分的情况，这样就需要在施工阶段依据现场工况进行方案修正或变更。影响施工段划分和工作坑。位置的因素如下：</w:t>
      </w:r>
    </w:p>
    <w:p>
      <w:pPr>
        <w:ind w:left="420" w:firstLine="422"/>
        <w:rPr>
          <w:sz w:val="21"/>
          <w:lang w:eastAsia="zh-CN"/>
        </w:rPr>
      </w:pPr>
      <w:bookmarkStart w:id="427" w:name="OLE_LINK127"/>
      <w:r>
        <w:rPr>
          <w:rFonts w:hint="eastAsia"/>
          <w:b/>
          <w:bCs/>
          <w:sz w:val="21"/>
          <w:lang w:eastAsia="zh-CN"/>
        </w:rPr>
        <w:t>1</w:t>
      </w:r>
      <w:bookmarkEnd w:id="427"/>
      <w:r>
        <w:rPr>
          <w:rFonts w:hint="eastAsia"/>
          <w:sz w:val="21"/>
          <w:lang w:eastAsia="zh-CN"/>
        </w:rPr>
        <w:t xml:space="preserve"> 地质特征变化会带来管道受力较大的变化；</w:t>
      </w:r>
    </w:p>
    <w:p>
      <w:pPr>
        <w:ind w:left="420" w:firstLine="422"/>
        <w:rPr>
          <w:sz w:val="21"/>
          <w:lang w:eastAsia="zh-CN"/>
        </w:rPr>
      </w:pPr>
      <w:r>
        <w:rPr>
          <w:rFonts w:hint="eastAsia"/>
          <w:b/>
          <w:bCs/>
          <w:sz w:val="21"/>
          <w:lang w:eastAsia="zh-CN"/>
        </w:rPr>
        <w:t>2</w:t>
      </w:r>
      <w:r>
        <w:rPr>
          <w:rFonts w:hint="eastAsia"/>
          <w:sz w:val="21"/>
          <w:lang w:eastAsia="zh-CN"/>
        </w:rPr>
        <w:t xml:space="preserve"> 管段之间水平夹角超过8°或存在超过管径1/3的跌水时应分段实施；</w:t>
      </w:r>
    </w:p>
    <w:p>
      <w:pPr>
        <w:ind w:left="420" w:firstLine="422"/>
        <w:rPr>
          <w:sz w:val="21"/>
          <w:lang w:eastAsia="zh-CN"/>
        </w:rPr>
      </w:pPr>
      <w:r>
        <w:rPr>
          <w:rFonts w:hint="eastAsia"/>
          <w:b/>
          <w:bCs/>
          <w:sz w:val="21"/>
          <w:lang w:eastAsia="zh-CN"/>
        </w:rPr>
        <w:t>3</w:t>
      </w:r>
      <w:r>
        <w:rPr>
          <w:rFonts w:hint="eastAsia"/>
          <w:sz w:val="21"/>
          <w:lang w:eastAsia="zh-CN"/>
        </w:rPr>
        <w:t xml:space="preserve"> 采用碎裂管置换时往往无法修复原管道存在的高程缺陷（如倒坡等）；</w:t>
      </w:r>
    </w:p>
    <w:p>
      <w:pPr>
        <w:ind w:left="420" w:firstLine="422"/>
        <w:rPr>
          <w:sz w:val="21"/>
          <w:lang w:eastAsia="zh-CN"/>
        </w:rPr>
      </w:pPr>
      <w:r>
        <w:rPr>
          <w:rFonts w:hint="eastAsia"/>
          <w:b/>
          <w:bCs/>
          <w:sz w:val="21"/>
          <w:lang w:eastAsia="zh-CN"/>
        </w:rPr>
        <w:t>4</w:t>
      </w:r>
      <w:r>
        <w:rPr>
          <w:rFonts w:hint="eastAsia"/>
          <w:sz w:val="21"/>
          <w:lang w:eastAsia="zh-CN"/>
        </w:rPr>
        <w:t xml:space="preserve"> 工作坑应避开地上、地下设施分布密集和交通通行密集的区域；</w:t>
      </w:r>
    </w:p>
    <w:p>
      <w:pPr>
        <w:ind w:left="420" w:firstLine="422"/>
        <w:rPr>
          <w:sz w:val="21"/>
          <w:lang w:eastAsia="zh-CN"/>
        </w:rPr>
      </w:pPr>
      <w:r>
        <w:rPr>
          <w:rFonts w:hint="eastAsia"/>
          <w:b/>
          <w:bCs/>
          <w:sz w:val="21"/>
          <w:lang w:eastAsia="zh-CN"/>
        </w:rPr>
        <w:t>5</w:t>
      </w:r>
      <w:r>
        <w:rPr>
          <w:rFonts w:hint="eastAsia"/>
          <w:sz w:val="21"/>
          <w:lang w:eastAsia="zh-CN"/>
        </w:rPr>
        <w:t xml:space="preserve"> 如有支管暗接，需要增加井室，进行分段施工；</w:t>
      </w:r>
    </w:p>
    <w:p>
      <w:pPr>
        <w:ind w:left="361" w:firstLine="481" w:firstLineChars="228"/>
        <w:rPr>
          <w:sz w:val="21"/>
          <w:lang w:eastAsia="zh-CN"/>
        </w:rPr>
      </w:pPr>
      <w:r>
        <w:rPr>
          <w:rFonts w:hint="eastAsia"/>
          <w:b/>
          <w:bCs/>
          <w:sz w:val="21"/>
          <w:lang w:eastAsia="zh-CN"/>
        </w:rPr>
        <w:t>6</w:t>
      </w:r>
      <w:r>
        <w:rPr>
          <w:rFonts w:hint="eastAsia"/>
          <w:sz w:val="21"/>
          <w:lang w:eastAsia="zh-CN"/>
        </w:rPr>
        <w:t xml:space="preserve"> 碎裂管施工时，若主管道存在运行需要对主管级全部分支管线实施封堵并导流；</w:t>
      </w:r>
    </w:p>
    <w:p>
      <w:pPr>
        <w:ind w:left="420" w:firstLine="422"/>
        <w:rPr>
          <w:sz w:val="21"/>
          <w:lang w:eastAsia="zh-CN"/>
        </w:rPr>
      </w:pPr>
      <w:r>
        <w:rPr>
          <w:rFonts w:hint="eastAsia"/>
          <w:b/>
          <w:bCs/>
          <w:sz w:val="21"/>
          <w:lang w:eastAsia="zh-CN"/>
        </w:rPr>
        <w:t>7</w:t>
      </w:r>
      <w:r>
        <w:rPr>
          <w:rFonts w:hint="eastAsia"/>
          <w:sz w:val="21"/>
          <w:lang w:eastAsia="zh-CN"/>
        </w:rPr>
        <w:t xml:space="preserve"> 施工时应考虑对区域周围的交通出行和正常生产生活干扰降到最低；</w:t>
      </w:r>
    </w:p>
    <w:p>
      <w:pPr>
        <w:ind w:left="223" w:firstLine="632" w:firstLineChars="300"/>
        <w:rPr>
          <w:sz w:val="21"/>
          <w:lang w:eastAsia="zh-CN"/>
        </w:rPr>
      </w:pPr>
      <w:r>
        <w:rPr>
          <w:rFonts w:hint="eastAsia"/>
          <w:b/>
          <w:bCs/>
          <w:sz w:val="21"/>
          <w:lang w:eastAsia="zh-CN"/>
        </w:rPr>
        <w:t>8</w:t>
      </w:r>
      <w:r>
        <w:rPr>
          <w:rFonts w:hint="eastAsia"/>
          <w:sz w:val="21"/>
          <w:lang w:eastAsia="zh-CN"/>
        </w:rPr>
        <w:t xml:space="preserve"> 当施工区域内存在高于工作坑底标高的地下水时，应提前考虑降排水措施。</w:t>
      </w:r>
    </w:p>
    <w:p>
      <w:pPr>
        <w:ind w:firstLine="422"/>
        <w:rPr>
          <w:sz w:val="21"/>
          <w:lang w:eastAsia="zh-CN"/>
        </w:rPr>
      </w:pPr>
      <w:r>
        <w:rPr>
          <w:rFonts w:hint="eastAsia"/>
          <w:b/>
          <w:bCs/>
          <w:sz w:val="21"/>
          <w:lang w:eastAsia="zh-CN"/>
        </w:rPr>
        <w:t>6.8.4</w:t>
      </w:r>
      <w:r>
        <w:rPr>
          <w:rFonts w:hint="eastAsia"/>
          <w:sz w:val="21"/>
          <w:lang w:eastAsia="zh-CN"/>
        </w:rPr>
        <w:t xml:space="preserve"> 在碎裂管施工整个过程中，封堵导流可阶段性实施，根据清淤方式选择，视情况确定是否导水，工作基坑制作过程中只要不断管也无须导流，人员井下作业、清除管内障碍物或局部开挖时必须实施封堵导流，碎裂管实施开始直到管道接口处理完成需持续封堵导流作业。</w:t>
      </w:r>
    </w:p>
    <w:p>
      <w:pPr>
        <w:ind w:firstLine="422"/>
        <w:rPr>
          <w:sz w:val="21"/>
          <w:lang w:eastAsia="zh-CN"/>
        </w:rPr>
      </w:pPr>
      <w:r>
        <w:rPr>
          <w:rFonts w:hint="eastAsia"/>
          <w:b/>
          <w:bCs/>
          <w:sz w:val="21"/>
          <w:lang w:eastAsia="zh-CN"/>
        </w:rPr>
        <w:t>6.8.5</w:t>
      </w:r>
      <w:r>
        <w:rPr>
          <w:rFonts w:hint="eastAsia"/>
          <w:sz w:val="21"/>
          <w:lang w:eastAsia="zh-CN"/>
        </w:rPr>
        <w:t xml:space="preserve"> 考虑到工作坑的开挖对周围建筑物安全、人们正常生活的影响以及非开挖修复更新工程设计对工作坑位置的特殊要求制定本条,工作坑的尺寸应满足现行行业标准《城镇排水管道非开挖修复更新工程技术规程》CJJ/T 210的要求。</w:t>
      </w:r>
    </w:p>
    <w:p>
      <w:pPr>
        <w:ind w:firstLine="422"/>
        <w:rPr>
          <w:sz w:val="21"/>
          <w:lang w:eastAsia="zh-CN"/>
        </w:rPr>
      </w:pPr>
      <w:r>
        <w:rPr>
          <w:rFonts w:hint="eastAsia"/>
          <w:b/>
          <w:bCs/>
          <w:sz w:val="21"/>
          <w:lang w:eastAsia="zh-CN"/>
        </w:rPr>
        <w:t xml:space="preserve">6.8.6 </w:t>
      </w:r>
      <w:r>
        <w:rPr>
          <w:rFonts w:hint="eastAsia"/>
          <w:sz w:val="21"/>
          <w:lang w:eastAsia="zh-CN"/>
        </w:rPr>
        <w:t>管道拉入过程中润滑的目的是为了降低新管道与土层之间的摩擦力。需参考地层条件和原有管道周围的环境,来确定润滑泥浆的混合成分、掺加比例以及混合步骤。通常,膨润土润滑剂用于粗粒土层（砂层和砾石层），膨润土和聚合物的混合润滑剂可用于细粒土层和黏土层。新管道拉入后的冷却收缩和应力恢复时间为4h，此条系根据TTC制定的Guidelines for PipeBursting 中的规定。</w:t>
      </w:r>
    </w:p>
    <w:p>
      <w:pPr>
        <w:ind w:firstLine="422"/>
        <w:rPr>
          <w:sz w:val="21"/>
          <w:lang w:eastAsia="zh-CN"/>
        </w:rPr>
      </w:pPr>
      <w:r>
        <w:rPr>
          <w:rFonts w:hint="eastAsia"/>
          <w:b/>
          <w:bCs/>
          <w:sz w:val="21"/>
          <w:lang w:eastAsia="zh-CN"/>
        </w:rPr>
        <w:t xml:space="preserve">6.8.8 </w:t>
      </w:r>
      <w:r>
        <w:rPr>
          <w:rFonts w:hint="eastAsia"/>
          <w:sz w:val="21"/>
          <w:lang w:eastAsia="zh-CN"/>
        </w:rPr>
        <w:t>新管道应力恢复完后，在进管工作坑（检查井）及出管工作坑（检查井）中需对新管道周围土体进行注浆加固处理,以确保新管道周围不发生渗漏且土体稳固。</w:t>
      </w:r>
    </w:p>
    <w:p>
      <w:pPr>
        <w:ind w:firstLine="422"/>
        <w:rPr>
          <w:sz w:val="21"/>
          <w:lang w:eastAsia="zh-CN"/>
        </w:rPr>
      </w:pPr>
      <w:r>
        <w:rPr>
          <w:rFonts w:hint="eastAsia"/>
          <w:b/>
          <w:bCs/>
          <w:sz w:val="21"/>
          <w:lang w:eastAsia="zh-CN"/>
        </w:rPr>
        <w:t>6.8.9</w:t>
      </w:r>
      <w:r>
        <w:rPr>
          <w:rFonts w:hint="eastAsia"/>
          <w:sz w:val="21"/>
          <w:lang w:eastAsia="zh-CN"/>
        </w:rPr>
        <w:t xml:space="preserve"> 本条针对碎裂管法置换管道的预处理作出了要求：理论上讲，管道原位置换可以不对管道进行预处理，但在实际操作中，如果管道内存在大量的淤泥，当碎裂管施工新管道拉入作业基坑时会有大量淤泥涌入作业基坑，存在巨大的安全风险，对在基坑内作业人员的人身安全构成威胁，同时也不符合环保和文明施工规范；碎裂管法施工时往往需要对置换段长中间的检查井进行预处理，如：扩大原管道与检查井接口尺寸，剔除溜槽等障碍，这些作业往往需要人员下井作业，检查井或管道淤堵会对在井下作业人员的人身安全构成威胁；此外，碎裂管施工若遇到既往管道局部修复环或其他特殊坚硬的障碍物等，也会存在导致事故或失败的风险，因此，在碎裂管实施前需要对原管道进行CCTV 或 QV 检测。</w:t>
      </w:r>
    </w:p>
    <w:p>
      <w:pPr>
        <w:ind w:firstLine="422"/>
        <w:rPr>
          <w:sz w:val="21"/>
          <w:lang w:eastAsia="zh-CN"/>
        </w:rPr>
      </w:pPr>
      <w:r>
        <w:rPr>
          <w:rFonts w:hint="eastAsia"/>
          <w:b/>
          <w:bCs/>
          <w:sz w:val="21"/>
          <w:lang w:eastAsia="zh-CN"/>
        </w:rPr>
        <w:t>6.8.10</w:t>
      </w:r>
      <w:r>
        <w:rPr>
          <w:rFonts w:hint="eastAsia"/>
          <w:sz w:val="21"/>
          <w:lang w:eastAsia="zh-CN"/>
        </w:rPr>
        <w:t xml:space="preserve"> 从检查井内对原管道外围结构和溜槽进行破除，有可能会破坏原有检查井或造成管道局部高程起伏，要按照设计要求严格进行，且破除部位新置换的管道标高应满足设计要求。</w:t>
      </w:r>
    </w:p>
    <w:p>
      <w:pPr>
        <w:ind w:firstLine="422"/>
        <w:rPr>
          <w:sz w:val="21"/>
          <w:lang w:eastAsia="zh-CN"/>
        </w:rPr>
      </w:pPr>
      <w:r>
        <w:rPr>
          <w:rFonts w:hint="eastAsia"/>
          <w:b/>
          <w:bCs/>
          <w:sz w:val="21"/>
          <w:lang w:eastAsia="zh-CN"/>
        </w:rPr>
        <w:t>6.8.11</w:t>
      </w:r>
      <w:r>
        <w:rPr>
          <w:rFonts w:hint="eastAsia"/>
          <w:sz w:val="21"/>
          <w:lang w:eastAsia="zh-CN"/>
        </w:rPr>
        <w:t xml:space="preserve"> 由于碎裂管施工是将在役管道割裂或胀裂后向外扩张挤入周围的土壤.保证空间可以拉入一根同径或扩大管径的新管。在役管道被破坏并向外扩张时，周边土层的移动会影响邻近其他管道.并可能引起地表隆起，如果相邻管线距离太小，会对其产生一定的不利影响。实际工程应用中，应根据物探报告，到现场与相关市政管线的维护人员逐一核对位置、埋深等情况，保证施工安全。根据现行行业标准《城镇排水管道非开挖修复更新工程技术规程》CJJ/T 210的有关规定，碎裂管设备与周围其他管道距离不应小于0.8m。与周围建筑设施的距离不应小于2.5m，结合工程实践经验及TTC制定的Guidelines forPipe Bursting中规定碎裂管设备与周围管道和设施的距离要求，结合设备改进发展等因素，待更新管道与周围其他管道距离不应小于600mm。实施扩径置换时，待更新管道与周围其他管道距离不应小于800mm，并不应小于原管道直径的1.5倍。超过该距离应采取相应的措施，如开挖待修复管道与原管道之间的土层，卸除对周围管道的应力。</w:t>
      </w:r>
    </w:p>
    <w:p>
      <w:pPr>
        <w:ind w:firstLine="422"/>
        <w:rPr>
          <w:sz w:val="21"/>
          <w:lang w:eastAsia="zh-CN"/>
        </w:rPr>
      </w:pPr>
      <w:r>
        <w:rPr>
          <w:rFonts w:hint="eastAsia"/>
          <w:b/>
          <w:bCs/>
          <w:sz w:val="21"/>
          <w:lang w:eastAsia="zh-CN"/>
        </w:rPr>
        <w:t>6.8.13</w:t>
      </w:r>
      <w:r>
        <w:rPr>
          <w:rFonts w:hint="eastAsia"/>
          <w:sz w:val="21"/>
          <w:lang w:eastAsia="zh-CN"/>
        </w:rPr>
        <w:t xml:space="preserve"> 增加缓冲套的目的是避免置换过程中因气动锤的冲击力造成管道头撕裂脱开。</w:t>
      </w:r>
    </w:p>
    <w:p>
      <w:pPr>
        <w:ind w:firstLine="422"/>
        <w:rPr>
          <w:sz w:val="21"/>
          <w:lang w:eastAsia="zh-CN"/>
        </w:rPr>
      </w:pPr>
      <w:r>
        <w:rPr>
          <w:rFonts w:hint="eastAsia"/>
          <w:b/>
          <w:bCs/>
          <w:sz w:val="21"/>
          <w:lang w:eastAsia="zh-CN"/>
        </w:rPr>
        <w:t>6.8.17</w:t>
      </w:r>
      <w:r>
        <w:rPr>
          <w:rFonts w:hint="eastAsia"/>
          <w:sz w:val="21"/>
          <w:lang w:eastAsia="zh-CN"/>
        </w:rPr>
        <w:t xml:space="preserve"> 采用注浆润滑措施的目的是降低新管道与土层之间的摩擦力。</w:t>
      </w:r>
    </w:p>
    <w:p>
      <w:pPr>
        <w:ind w:firstLine="420" w:firstLineChars="0"/>
        <w:rPr>
          <w:rFonts w:cs="Times New Roman" w:eastAsiaTheme="minorEastAsia"/>
          <w:color w:val="000000" w:themeColor="text1"/>
          <w:sz w:val="21"/>
          <w:lang w:eastAsia="zh-CN"/>
          <w14:textFill>
            <w14:solidFill>
              <w14:schemeClr w14:val="tx1"/>
            </w14:solidFill>
          </w14:textFill>
        </w:rPr>
      </w:pPr>
      <w:r>
        <w:rPr>
          <w:rFonts w:cs="Times New Roman" w:eastAsiaTheme="minorEastAsia"/>
          <w:b/>
          <w:bCs/>
          <w:color w:val="000000" w:themeColor="text1"/>
          <w:sz w:val="21"/>
          <w:lang w:eastAsia="zh-CN"/>
          <w14:textFill>
            <w14:solidFill>
              <w14:schemeClr w14:val="tx1"/>
            </w14:solidFill>
          </w14:textFill>
        </w:rPr>
        <w:t>6.</w:t>
      </w:r>
      <w:r>
        <w:rPr>
          <w:rFonts w:hint="eastAsia" w:cs="Times New Roman" w:eastAsiaTheme="minorEastAsia"/>
          <w:b/>
          <w:bCs/>
          <w:color w:val="000000" w:themeColor="text1"/>
          <w:sz w:val="21"/>
          <w:lang w:eastAsia="zh-CN"/>
          <w14:textFill>
            <w14:solidFill>
              <w14:schemeClr w14:val="tx1"/>
            </w14:solidFill>
          </w14:textFill>
        </w:rPr>
        <w:t>8</w:t>
      </w:r>
      <w:r>
        <w:rPr>
          <w:rFonts w:cs="Times New Roman" w:eastAsiaTheme="minorEastAsia"/>
          <w:b/>
          <w:bCs/>
          <w:color w:val="000000" w:themeColor="text1"/>
          <w:sz w:val="21"/>
          <w:lang w:eastAsia="zh-CN"/>
          <w14:textFill>
            <w14:solidFill>
              <w14:schemeClr w14:val="tx1"/>
            </w14:solidFill>
          </w14:textFill>
        </w:rPr>
        <w:t>.2</w:t>
      </w:r>
      <w:r>
        <w:rPr>
          <w:rFonts w:hint="eastAsia" w:cs="Times New Roman" w:eastAsiaTheme="minorEastAsia"/>
          <w:b/>
          <w:bCs/>
          <w:color w:val="000000" w:themeColor="text1"/>
          <w:sz w:val="21"/>
          <w:lang w:eastAsia="zh-CN"/>
          <w14:textFill>
            <w14:solidFill>
              <w14:schemeClr w14:val="tx1"/>
            </w14:solidFill>
          </w14:textFill>
        </w:rPr>
        <w:t>4</w:t>
      </w:r>
      <w:r>
        <w:rPr>
          <w:rFonts w:cs="Times New Roman" w:eastAsiaTheme="minorEastAsia"/>
          <w:b/>
          <w:bCs/>
          <w:color w:val="000000" w:themeColor="text1"/>
          <w:sz w:val="21"/>
          <w:lang w:eastAsia="zh-CN"/>
          <w14:textFill>
            <w14:solidFill>
              <w14:schemeClr w14:val="tx1"/>
            </w14:solidFill>
          </w14:textFill>
        </w:rPr>
        <w:t xml:space="preserve"> </w:t>
      </w:r>
      <w:r>
        <w:rPr>
          <w:rFonts w:hint="eastAsia" w:cs="Times New Roman" w:eastAsiaTheme="minorEastAsia"/>
          <w:color w:val="000000" w:themeColor="text1"/>
          <w:sz w:val="21"/>
          <w:lang w:eastAsia="zh-CN"/>
          <w14:textFill>
            <w14:solidFill>
              <w14:schemeClr w14:val="tx1"/>
            </w14:solidFill>
          </w14:textFill>
        </w:rPr>
        <w:t>拉杆与原管道轴线位置误差过大会导致新置入管道的高程发生较大改变，拉杆与原管道轴线夹角过大会导致快接杆受力不均，出现快接杆与设备之间相对位置偏差过大，造成快接杆牵拉困难，同时容易造成快接杆的损坏。</w:t>
      </w:r>
    </w:p>
    <w:p>
      <w:pPr>
        <w:autoSpaceDN/>
        <w:ind w:firstLine="420" w:firstLineChars="0"/>
        <w:rPr>
          <w:rFonts w:cs="Times New Roman"/>
          <w:snapToGrid/>
          <w:sz w:val="21"/>
          <w:lang w:eastAsia="zh-CN"/>
        </w:rPr>
      </w:pPr>
      <w:r>
        <w:rPr>
          <w:rFonts w:hint="eastAsia" w:cs="Times New Roman"/>
          <w:b/>
          <w:bCs/>
          <w:snapToGrid/>
          <w:sz w:val="21"/>
          <w:lang w:eastAsia="zh-CN"/>
        </w:rPr>
        <w:t>6.8.29</w:t>
      </w:r>
      <w:r>
        <w:rPr>
          <w:rFonts w:hint="eastAsia" w:cs="Times New Roman"/>
          <w:snapToGrid/>
          <w:sz w:val="21"/>
          <w:lang w:eastAsia="zh-CN"/>
        </w:rPr>
        <w:t xml:space="preserve"> 若原管道周围为淤泥、流砂等松软地质条件时，由于受管道周围土体附着力不足的因素影响，往往会出现原管道在裂管刀前端堆积无法割裂，从而造成裂管施工卡顿，需要局部开挖清除堆积物后继续牵拉。</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6.8.31</w:t>
      </w:r>
      <w:r>
        <w:rPr>
          <w:rFonts w:hint="eastAsia" w:cs="Times New Roman" w:eastAsiaTheme="minorEastAsia"/>
          <w:color w:val="000000" w:themeColor="text1"/>
          <w:sz w:val="21"/>
          <w:lang w:eastAsia="zh-CN"/>
          <w14:textFill>
            <w14:solidFill>
              <w14:schemeClr w14:val="tx1"/>
            </w14:solidFill>
          </w14:textFill>
        </w:rPr>
        <w:t xml:space="preserve"> 勘察的目的是避免在施工过程中会发生地面隆起，避免对周边地下管线和设施造成损坏。</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6.8.35</w:t>
      </w:r>
      <w:r>
        <w:rPr>
          <w:rFonts w:hint="eastAsia" w:cs="Times New Roman" w:eastAsiaTheme="minorEastAsia"/>
          <w:color w:val="000000" w:themeColor="text1"/>
          <w:sz w:val="21"/>
          <w:lang w:eastAsia="zh-CN"/>
          <w14:textFill>
            <w14:solidFill>
              <w14:schemeClr w14:val="tx1"/>
            </w14:solidFill>
          </w14:textFill>
        </w:rPr>
        <w:t xml:space="preserve"> 如顶入速度过快易造成短管接口折裂，顶入过慢造成胀管器和短管之间距离太长会使异物掉入胀管器和短管之间的空隙，从而使短管前推阻力过大。</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6.8.38</w:t>
      </w:r>
      <w:r>
        <w:rPr>
          <w:rFonts w:hint="eastAsia" w:cs="Times New Roman" w:eastAsiaTheme="minorEastAsia"/>
          <w:color w:val="000000" w:themeColor="text1"/>
          <w:sz w:val="21"/>
          <w:lang w:eastAsia="zh-CN"/>
          <w14:textFill>
            <w14:solidFill>
              <w14:schemeClr w14:val="tx1"/>
            </w14:solidFill>
          </w14:textFill>
        </w:rPr>
        <w:t xml:space="preserve"> 变径修复受限于管道外部因素较多。</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6.8.41</w:t>
      </w:r>
      <w:r>
        <w:rPr>
          <w:rFonts w:hint="eastAsia" w:cs="Times New Roman" w:eastAsiaTheme="minorEastAsia"/>
          <w:color w:val="000000" w:themeColor="text1"/>
          <w:sz w:val="21"/>
          <w:lang w:eastAsia="zh-CN"/>
          <w14:textFill>
            <w14:solidFill>
              <w14:schemeClr w14:val="tx1"/>
            </w14:solidFill>
          </w14:textFill>
        </w:rPr>
        <w:t xml:space="preserve"> 裂管头割裂刀的角度是依据施工具体工况而定的，施工中需要相对固定，考虑因素：原管道病害缺陷情况、周围管线分布情况、管道周围地质特点等。扩管头在裂管施工中受到多种因素制约，受力是不均匀的，往往会发生转动，如果不加以约束会导致施工质量偏差或安全事故的发生。</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6.8.42</w:t>
      </w:r>
      <w:r>
        <w:rPr>
          <w:rFonts w:hint="eastAsia" w:cs="Times New Roman" w:eastAsiaTheme="minorEastAsia"/>
          <w:color w:val="000000" w:themeColor="text1"/>
          <w:sz w:val="21"/>
          <w:lang w:eastAsia="zh-CN"/>
          <w14:textFill>
            <w14:solidFill>
              <w14:schemeClr w14:val="tx1"/>
            </w14:solidFill>
          </w14:textFill>
        </w:rPr>
        <w:t xml:space="preserve"> 碎裂管法短管置换施工时，其实质是利用液压穿心千斤顶的顶力，通过传力短杆将顶力转换为拉力，一直传至位于最后端的紧固装置，紧固丝杆、紧固螺栓、“U”型顶铁和后端盖组合装置将拉力转化为顶力，将短管逐节顶入就位，施工时每一节短管受到外壁摩擦阻力后都会向后挤压后方的管道同时产生微量的变形或位移，最终都会累计叠加在最前端，当累计位移尺寸大于承插自由长度时，就会脱开从而导致施工事故或失败。</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6.8.44</w:t>
      </w:r>
      <w:r>
        <w:rPr>
          <w:rFonts w:hint="eastAsia" w:cs="Times New Roman" w:eastAsiaTheme="minorEastAsia"/>
          <w:color w:val="000000" w:themeColor="text1"/>
          <w:sz w:val="21"/>
          <w:lang w:eastAsia="zh-CN"/>
          <w14:textFill>
            <w14:solidFill>
              <w14:schemeClr w14:val="tx1"/>
            </w14:solidFill>
          </w14:textFill>
        </w:rPr>
        <w:t xml:space="preserve"> 为了保证碎裂管时短接杆拉力居中，同时保证短管在巨大拉力下接口处不会产生严重屈服变形，应在回拉短管内同步安装扶正器。</w:t>
      </w:r>
      <w:bookmarkStart w:id="428" w:name="_Toc196915269"/>
      <w:bookmarkStart w:id="429" w:name="_Toc196377669"/>
      <w:bookmarkStart w:id="430" w:name="_Toc196295172"/>
      <w:bookmarkStart w:id="431" w:name="_Toc196750458"/>
      <w:r>
        <w:rPr>
          <w:rFonts w:eastAsia="黑体" w:cs="Times New Roman"/>
          <w:color w:val="000000" w:themeColor="text1"/>
          <w:lang w:eastAsia="zh-CN"/>
          <w14:textFill>
            <w14:solidFill>
              <w14:schemeClr w14:val="tx1"/>
            </w14:solidFill>
          </w14:textFill>
        </w:rPr>
        <w:br w:type="page"/>
      </w:r>
    </w:p>
    <w:bookmarkEnd w:id="428"/>
    <w:bookmarkEnd w:id="429"/>
    <w:bookmarkEnd w:id="430"/>
    <w:bookmarkEnd w:id="431"/>
    <w:p>
      <w:pPr>
        <w:pStyle w:val="15"/>
        <w:ind w:firstLine="643"/>
        <w:rPr>
          <w:rFonts w:ascii="Times New Roman" w:hAnsi="Times New Roman" w:eastAsia="黑体" w:cs="Times New Roman"/>
          <w:color w:val="000000" w:themeColor="text1"/>
          <w:lang w:eastAsia="zh-CN"/>
          <w14:textFill>
            <w14:solidFill>
              <w14:schemeClr w14:val="tx1"/>
            </w14:solidFill>
          </w14:textFill>
        </w:rPr>
      </w:pPr>
      <w:bookmarkStart w:id="432" w:name="_Toc196915273"/>
      <w:bookmarkStart w:id="433" w:name="_Toc196377673"/>
      <w:bookmarkStart w:id="434" w:name="_Toc196295176"/>
      <w:bookmarkStart w:id="435" w:name="_Toc196750462"/>
      <w:r>
        <w:rPr>
          <w:rFonts w:hint="eastAsia" w:ascii="Times New Roman" w:hAnsi="Times New Roman" w:eastAsia="黑体" w:cs="Times New Roman"/>
          <w:color w:val="000000" w:themeColor="text1"/>
          <w:lang w:eastAsia="zh-CN"/>
          <w14:textFill>
            <w14:solidFill>
              <w14:schemeClr w14:val="tx1"/>
            </w14:solidFill>
          </w14:textFill>
        </w:rPr>
        <w:t>8</w:t>
      </w:r>
      <w:r>
        <w:rPr>
          <w:rFonts w:ascii="Times New Roman" w:hAnsi="Times New Roman" w:eastAsia="黑体" w:cs="Times New Roman"/>
          <w:color w:val="000000" w:themeColor="text1"/>
          <w:lang w:eastAsia="zh-CN"/>
          <w14:textFill>
            <w14:solidFill>
              <w14:schemeClr w14:val="tx1"/>
            </w14:solidFill>
          </w14:textFill>
        </w:rPr>
        <w:t xml:space="preserve"> </w:t>
      </w:r>
      <w:r>
        <w:rPr>
          <w:rFonts w:hint="eastAsia" w:ascii="Times New Roman" w:hAnsi="Times New Roman" w:eastAsia="黑体" w:cs="Times New Roman"/>
          <w:color w:val="000000" w:themeColor="text1"/>
          <w:lang w:eastAsia="zh-CN"/>
          <w14:textFill>
            <w14:solidFill>
              <w14:schemeClr w14:val="tx1"/>
            </w14:solidFill>
          </w14:textFill>
        </w:rPr>
        <w:t>验收</w:t>
      </w:r>
    </w:p>
    <w:p>
      <w:pPr>
        <w:pStyle w:val="3"/>
        <w:ind w:firstLine="560"/>
      </w:pPr>
      <w:r>
        <w:rPr>
          <w:rFonts w:hint="eastAsia"/>
        </w:rPr>
        <w:t>8</w:t>
      </w:r>
      <w:r>
        <w:t>.</w:t>
      </w:r>
      <w:r>
        <w:rPr>
          <w:rFonts w:hint="eastAsia"/>
        </w:rPr>
        <w:t>2</w:t>
      </w:r>
      <w:r>
        <w:t xml:space="preserve"> </w:t>
      </w:r>
      <w:r>
        <w:rPr>
          <w:rFonts w:hint="eastAsia"/>
        </w:rPr>
        <w:t>管道预处理</w:t>
      </w:r>
    </w:p>
    <w:p>
      <w:pPr>
        <w:ind w:firstLine="422"/>
        <w:rPr>
          <w:rFonts w:cs="Times New Roman"/>
          <w:sz w:val="21"/>
          <w:lang w:eastAsia="zh-CN"/>
        </w:rPr>
      </w:pPr>
      <w:r>
        <w:rPr>
          <w:rFonts w:hint="eastAsia" w:cs="Times New Roman"/>
          <w:b/>
          <w:bCs/>
          <w:sz w:val="21"/>
          <w:lang w:eastAsia="zh-CN"/>
        </w:rPr>
        <w:t>8.2.2</w:t>
      </w:r>
      <w:r>
        <w:rPr>
          <w:rFonts w:hint="eastAsia" w:cs="Times New Roman"/>
          <w:sz w:val="21"/>
          <w:lang w:eastAsia="zh-CN"/>
        </w:rPr>
        <w:t xml:space="preserve"> 埋深超过3m且管径大于600mm的管道一般采用管内探地雷达；埋深3m以内的管道建议采用地面探地雷达。</w:t>
      </w:r>
    </w:p>
    <w:p>
      <w:pPr>
        <w:pStyle w:val="3"/>
        <w:ind w:firstLine="560"/>
      </w:pPr>
      <w:r>
        <w:rPr>
          <w:rFonts w:hint="eastAsia"/>
        </w:rPr>
        <w:t>8</w:t>
      </w:r>
      <w:r>
        <w:t>.</w:t>
      </w:r>
      <w:r>
        <w:rPr>
          <w:rFonts w:hint="eastAsia"/>
        </w:rPr>
        <w:t>3</w:t>
      </w:r>
      <w:r>
        <w:t xml:space="preserve"> </w:t>
      </w:r>
      <w:r>
        <w:rPr>
          <w:rFonts w:hint="eastAsia"/>
        </w:rPr>
        <w:t>紫外光原位固化法</w:t>
      </w:r>
    </w:p>
    <w:p>
      <w:pPr>
        <w:ind w:firstLine="422"/>
        <w:rPr>
          <w:sz w:val="21"/>
          <w:lang w:eastAsia="zh-CN"/>
        </w:rPr>
      </w:pPr>
      <w:r>
        <w:rPr>
          <w:rFonts w:hint="eastAsia"/>
          <w:b/>
          <w:bCs/>
          <w:sz w:val="21"/>
          <w:lang w:eastAsia="zh-CN"/>
        </w:rPr>
        <w:t>8.3.6</w:t>
      </w:r>
      <w:r>
        <w:rPr>
          <w:rFonts w:hint="eastAsia"/>
          <w:sz w:val="21"/>
          <w:lang w:eastAsia="zh-CN"/>
        </w:rPr>
        <w:t xml:space="preserve"> 样品取出后，应严格密封避光保存，并在监理或业主监督下送检，以确保内衬管性能检测的真实性。应按本规程 4.3 节规定的短期力学性能、苯乙烯含量以及材料的上下表面硬度进行检测，基于光固化辐射特点，在远离光源的一侧，存在固化不完全的潜在问题。</w:t>
      </w:r>
    </w:p>
    <w:p>
      <w:pPr>
        <w:ind w:firstLine="420"/>
        <w:rPr>
          <w:sz w:val="21"/>
          <w:lang w:eastAsia="zh-CN"/>
        </w:rPr>
      </w:pPr>
      <w:r>
        <w:rPr>
          <w:rFonts w:hint="eastAsia"/>
          <w:sz w:val="21"/>
          <w:lang w:eastAsia="zh-CN"/>
        </w:rPr>
        <w:t>固化试样的力学性能达不到要求可能是由以下原因造成的：(1)内衬软管浸润过程中的原因有内衬软管中的树脂用量不足；树脂浸润不密实；稀释剂、填充剂添加过多。(2)施工过程中的原因有原管道预处理不到位，局部渗漏冲刷导致树脂流失；原管道内有凸起物未预处理，导致凸起物处内衬管壁变薄，厚度不达标。(3)固化时紫外灯强度不够，固化反应不彻底。因此要求严控树脂浸润工艺，对原管道缺陷进行严格预处理，确保固化过程中的光照度、温度和速度，并保持足够长的固化反应时间。对于强度不达标的内衬管，将内衬管分段分片割除并清理干净后，重新进行紫外光固化施工。</w:t>
      </w:r>
    </w:p>
    <w:p>
      <w:pPr>
        <w:ind w:firstLine="420"/>
        <w:rPr>
          <w:sz w:val="21"/>
          <w:lang w:eastAsia="zh-CN"/>
        </w:rPr>
      </w:pPr>
      <w:r>
        <w:rPr>
          <w:rFonts w:hint="eastAsia"/>
          <w:sz w:val="21"/>
          <w:lang w:eastAsia="zh-CN"/>
        </w:rPr>
        <w:t>固化完成后，内衬管内外侧的硬度应一致，偏差不应高于10%，用于验证固化的完整性。</w:t>
      </w:r>
    </w:p>
    <w:p>
      <w:pPr>
        <w:ind w:firstLine="420"/>
        <w:rPr>
          <w:sz w:val="21"/>
          <w:lang w:eastAsia="zh-CN"/>
        </w:rPr>
      </w:pPr>
      <w:r>
        <w:rPr>
          <w:rFonts w:hint="eastAsia"/>
          <w:sz w:val="21"/>
          <w:lang w:eastAsia="zh-CN"/>
        </w:rPr>
        <w:t>内衬管投入使用后，应具有良好的防渗性能。美国现行标准《使用低压空气对塑料自流排水管道进行安装验收的标准试验方法》ASTM F1417规定，一定压强下，通过空气从排水管道溢出的速率检验管道的气密性;德国密实性测试是根据《排水管道的铺设和检验》DIN EN1610进行，将待测基材的防水层划开，滴加具有特殊颜色的实验液体，在0.5bar真空条件下，持续30min，观察其是否有渗漏。</w:t>
      </w:r>
    </w:p>
    <w:p>
      <w:pPr>
        <w:ind w:firstLine="422"/>
        <w:rPr>
          <w:sz w:val="21"/>
          <w:lang w:eastAsia="zh-CN"/>
        </w:rPr>
      </w:pPr>
      <w:r>
        <w:rPr>
          <w:rFonts w:hint="eastAsia"/>
          <w:b/>
          <w:bCs/>
          <w:sz w:val="21"/>
          <w:lang w:eastAsia="zh-CN"/>
        </w:rPr>
        <w:t>8</w:t>
      </w:r>
      <w:r>
        <w:rPr>
          <w:b/>
          <w:bCs/>
          <w:sz w:val="21"/>
          <w:lang w:eastAsia="zh-CN"/>
        </w:rPr>
        <w:t>.</w:t>
      </w:r>
      <w:r>
        <w:rPr>
          <w:rFonts w:hint="eastAsia"/>
          <w:b/>
          <w:bCs/>
          <w:sz w:val="21"/>
          <w:lang w:eastAsia="zh-CN"/>
        </w:rPr>
        <w:t>3</w:t>
      </w:r>
      <w:r>
        <w:rPr>
          <w:b/>
          <w:bCs/>
          <w:sz w:val="21"/>
          <w:lang w:eastAsia="zh-CN"/>
        </w:rPr>
        <w:t>.</w:t>
      </w:r>
      <w:r>
        <w:rPr>
          <w:rFonts w:hint="eastAsia"/>
          <w:b/>
          <w:bCs/>
          <w:sz w:val="21"/>
          <w:lang w:eastAsia="zh-CN"/>
        </w:rPr>
        <w:t xml:space="preserve">7 </w:t>
      </w:r>
      <w:r>
        <w:rPr>
          <w:rFonts w:hint="eastAsia"/>
          <w:sz w:val="21"/>
          <w:lang w:eastAsia="zh-CN"/>
        </w:rPr>
        <w:t>壁厚是原位固化材料的关键指标之一，反映了玻纤软管的各项性能以及原有管道病害情况和环境影响因素，如管道直径、破损程度、地下水压、过水压力等，如某管道存在多种病害，原则上按最差的条件进行设计。光固化材料的主要问题是复合材料和总壁厚的确定。复合材料的壁厚应按总厚度减去内外膜进行确定，如图6.2.6所示。通过显微镜仔细观察各个层间的分界点，量取各层的厚度值。壁厚测试应按照《塑料管道系统塑料部件尺寸的测定》</w:t>
      </w:r>
      <w:r>
        <w:rPr>
          <w:sz w:val="21"/>
          <w:lang w:eastAsia="zh-CN"/>
        </w:rPr>
        <w:t>GB/T</w:t>
      </w:r>
      <w:r>
        <w:rPr>
          <w:rFonts w:hint="eastAsia"/>
          <w:sz w:val="21"/>
          <w:lang w:eastAsia="zh-CN"/>
        </w:rPr>
        <w:t xml:space="preserve"> </w:t>
      </w:r>
      <w:r>
        <w:rPr>
          <w:sz w:val="21"/>
          <w:lang w:eastAsia="zh-CN"/>
        </w:rPr>
        <w:t xml:space="preserve">8806 </w:t>
      </w:r>
      <w:r>
        <w:rPr>
          <w:rFonts w:hint="eastAsia"/>
          <w:sz w:val="21"/>
          <w:lang w:eastAsia="zh-CN"/>
        </w:rPr>
        <w:t>的相关规定进行测试。</w:t>
      </w:r>
    </w:p>
    <w:p>
      <w:pPr>
        <w:ind w:firstLine="422"/>
        <w:jc w:val="center"/>
        <w:rPr>
          <w:rFonts w:eastAsia="黑体"/>
          <w:b/>
          <w:bCs/>
          <w:sz w:val="21"/>
          <w:lang w:eastAsia="zh-CN"/>
        </w:rPr>
      </w:pPr>
      <w:r>
        <w:rPr>
          <w:b/>
          <w:bCs/>
          <w:sz w:val="21"/>
          <w:lang w:eastAsia="zh-CN"/>
        </w:rPr>
        <w:drawing>
          <wp:inline distT="0" distB="0" distL="0" distR="0">
            <wp:extent cx="3241040" cy="1565910"/>
            <wp:effectExtent l="0" t="0" r="0" b="0"/>
            <wp:docPr id="1751783879" name="图片 4"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83879" name="图片 4" descr="表格&#10;&#10;AI 生成的内容可能不正确。"/>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249538" cy="1570389"/>
                    </a:xfrm>
                    <a:prstGeom prst="rect">
                      <a:avLst/>
                    </a:prstGeom>
                    <a:noFill/>
                    <a:ln>
                      <a:noFill/>
                    </a:ln>
                  </pic:spPr>
                </pic:pic>
              </a:graphicData>
            </a:graphic>
          </wp:inline>
        </w:drawing>
      </w:r>
    </w:p>
    <w:p>
      <w:pPr>
        <w:ind w:firstLine="420"/>
        <w:jc w:val="center"/>
        <w:rPr>
          <w:rFonts w:eastAsia="黑体" w:cs="Times New Roman"/>
          <w:sz w:val="21"/>
          <w:lang w:eastAsia="zh-CN"/>
        </w:rPr>
      </w:pPr>
      <w:r>
        <w:rPr>
          <w:rFonts w:hint="eastAsia" w:eastAsia="黑体" w:cs="Times New Roman"/>
          <w:sz w:val="21"/>
          <w:lang w:eastAsia="zh-CN"/>
        </w:rPr>
        <w:t>图8.3.7 壁厚测试</w:t>
      </w:r>
    </w:p>
    <w:p>
      <w:pPr>
        <w:ind w:firstLine="422"/>
        <w:rPr>
          <w:b/>
          <w:bCs/>
          <w:sz w:val="21"/>
          <w:lang w:eastAsia="zh-CN"/>
        </w:rPr>
      </w:pPr>
      <w:r>
        <w:rPr>
          <w:rFonts w:hint="eastAsia"/>
          <w:b/>
          <w:bCs/>
          <w:sz w:val="21"/>
          <w:lang w:eastAsia="zh-CN"/>
        </w:rPr>
        <w:t>8</w:t>
      </w:r>
      <w:r>
        <w:rPr>
          <w:b/>
          <w:bCs/>
          <w:sz w:val="21"/>
          <w:lang w:eastAsia="zh-CN"/>
        </w:rPr>
        <w:t>.</w:t>
      </w:r>
      <w:r>
        <w:rPr>
          <w:rFonts w:hint="eastAsia"/>
          <w:b/>
          <w:bCs/>
          <w:sz w:val="21"/>
          <w:lang w:eastAsia="zh-CN"/>
        </w:rPr>
        <w:t>3</w:t>
      </w:r>
      <w:r>
        <w:rPr>
          <w:b/>
          <w:bCs/>
          <w:sz w:val="21"/>
          <w:lang w:eastAsia="zh-CN"/>
        </w:rPr>
        <w:t>.</w:t>
      </w:r>
      <w:r>
        <w:rPr>
          <w:rFonts w:hint="eastAsia"/>
          <w:b/>
          <w:bCs/>
          <w:sz w:val="21"/>
          <w:lang w:eastAsia="zh-CN"/>
        </w:rPr>
        <w:t xml:space="preserve">9 </w:t>
      </w:r>
      <w:r>
        <w:rPr>
          <w:rFonts w:hint="eastAsia"/>
          <w:sz w:val="21"/>
          <w:lang w:eastAsia="zh-CN"/>
        </w:rPr>
        <w:t>内衬管表面存在局部开裂可能是由以下原因造成的：</w:t>
      </w:r>
    </w:p>
    <w:p>
      <w:pPr>
        <w:ind w:left="420" w:firstLine="422"/>
        <w:rPr>
          <w:sz w:val="21"/>
          <w:lang w:eastAsia="zh-CN"/>
        </w:rPr>
      </w:pPr>
      <w:r>
        <w:rPr>
          <w:b/>
          <w:bCs/>
          <w:sz w:val="21"/>
          <w:lang w:eastAsia="zh-CN"/>
        </w:rPr>
        <w:t>1</w:t>
      </w:r>
      <w:r>
        <w:rPr>
          <w:rFonts w:hint="eastAsia"/>
          <w:sz w:val="21"/>
          <w:lang w:eastAsia="zh-CN"/>
        </w:rPr>
        <w:t xml:space="preserve"> 内衬软管直径偏小，过度扩张导致内衬管偏薄、厚度不达标，严重时导致内衬管破裂：</w:t>
      </w:r>
    </w:p>
    <w:p>
      <w:pPr>
        <w:ind w:left="420" w:firstLine="422"/>
        <w:rPr>
          <w:sz w:val="21"/>
          <w:lang w:eastAsia="zh-CN"/>
        </w:rPr>
      </w:pPr>
      <w:r>
        <w:rPr>
          <w:b/>
          <w:bCs/>
          <w:sz w:val="21"/>
          <w:lang w:eastAsia="zh-CN"/>
        </w:rPr>
        <w:t>2</w:t>
      </w:r>
      <w:r>
        <w:rPr>
          <w:rFonts w:hint="eastAsia"/>
          <w:sz w:val="21"/>
          <w:lang w:eastAsia="zh-CN"/>
        </w:rPr>
        <w:t xml:space="preserve"> 内衬软管运输、吊放、翻转或牵引安装过程中，设备、工作台、井壁、管壁等存在的尖锐物，造成了内衬软管划痕及破裂；</w:t>
      </w:r>
    </w:p>
    <w:p>
      <w:pPr>
        <w:ind w:left="420" w:firstLine="422"/>
        <w:rPr>
          <w:sz w:val="21"/>
          <w:lang w:eastAsia="zh-CN"/>
        </w:rPr>
      </w:pPr>
      <w:r>
        <w:rPr>
          <w:b/>
          <w:bCs/>
          <w:sz w:val="21"/>
          <w:lang w:eastAsia="zh-CN"/>
        </w:rPr>
        <w:t>3</w:t>
      </w:r>
      <w:r>
        <w:rPr>
          <w:rFonts w:hint="eastAsia"/>
          <w:sz w:val="21"/>
          <w:lang w:eastAsia="zh-CN"/>
        </w:rPr>
        <w:t xml:space="preserve"> 内衬管冷却速度过快，收缩引起拉裂。一旦内衬管出现开裂，就应判为不合格工程，需要局部重新修复或整段重新修复。将内衬管分段分片割除并清理干净后，重新进行紫外光固化施工。</w:t>
      </w:r>
    </w:p>
    <w:p>
      <w:pPr>
        <w:ind w:firstLine="420"/>
        <w:rPr>
          <w:sz w:val="21"/>
          <w:lang w:eastAsia="zh-CN"/>
        </w:rPr>
      </w:pPr>
      <w:r>
        <w:rPr>
          <w:rFonts w:hint="eastAsia"/>
          <w:sz w:val="21"/>
          <w:lang w:eastAsia="zh-CN"/>
        </w:rPr>
        <w:t>内衬管的内部出现局部鼓包或降起可能是由以下原因造成的：</w:t>
      </w:r>
    </w:p>
    <w:p>
      <w:pPr>
        <w:ind w:left="418" w:firstLine="422"/>
        <w:rPr>
          <w:sz w:val="21"/>
          <w:lang w:eastAsia="zh-CN"/>
        </w:rPr>
      </w:pPr>
      <w:r>
        <w:rPr>
          <w:b/>
          <w:bCs/>
          <w:sz w:val="21"/>
          <w:lang w:eastAsia="zh-CN"/>
        </w:rPr>
        <w:t>1</w:t>
      </w:r>
      <w:r>
        <w:rPr>
          <w:rFonts w:hint="eastAsia"/>
          <w:sz w:val="21"/>
          <w:lang w:eastAsia="zh-CN"/>
        </w:rPr>
        <w:t xml:space="preserve"> 原管道内部凸出部分处理不彻底；</w:t>
      </w:r>
    </w:p>
    <w:p>
      <w:pPr>
        <w:ind w:left="418" w:firstLine="422"/>
        <w:rPr>
          <w:sz w:val="21"/>
          <w:lang w:eastAsia="zh-CN"/>
        </w:rPr>
      </w:pPr>
      <w:r>
        <w:rPr>
          <w:b/>
          <w:bCs/>
          <w:sz w:val="21"/>
          <w:lang w:eastAsia="zh-CN"/>
        </w:rPr>
        <w:t>2</w:t>
      </w:r>
      <w:r>
        <w:rPr>
          <w:rFonts w:hint="eastAsia"/>
          <w:sz w:val="21"/>
          <w:lang w:eastAsia="zh-CN"/>
        </w:rPr>
        <w:t xml:space="preserve"> 固化过程中内衬管内部气压偏低；</w:t>
      </w:r>
    </w:p>
    <w:p>
      <w:pPr>
        <w:ind w:left="418" w:firstLine="422"/>
        <w:rPr>
          <w:sz w:val="21"/>
          <w:lang w:eastAsia="zh-CN"/>
        </w:rPr>
      </w:pPr>
      <w:r>
        <w:rPr>
          <w:b/>
          <w:bCs/>
          <w:sz w:val="21"/>
          <w:lang w:eastAsia="zh-CN"/>
        </w:rPr>
        <w:t>3</w:t>
      </w:r>
      <w:r>
        <w:rPr>
          <w:rFonts w:hint="eastAsia"/>
          <w:sz w:val="21"/>
          <w:lang w:eastAsia="zh-CN"/>
        </w:rPr>
        <w:t xml:space="preserve"> 原管道缺陷处理不到位，渗水积聚在内衬管与原管道的环状间隙中所致。隆起会影响过流能力。因此在预处理时要将原管道的渗漏点彻底消除，固化时保持足够的气压。</w:t>
      </w:r>
    </w:p>
    <w:p>
      <w:pPr>
        <w:ind w:firstLine="420"/>
        <w:rPr>
          <w:sz w:val="21"/>
          <w:lang w:eastAsia="zh-CN"/>
        </w:rPr>
      </w:pPr>
      <w:r>
        <w:rPr>
          <w:rFonts w:hint="eastAsia"/>
          <w:sz w:val="21"/>
          <w:lang w:eastAsia="zh-CN"/>
        </w:rPr>
        <w:t>固化后的内衬管与原管道间存在间隙可能是由以下原因造成的：</w:t>
      </w:r>
    </w:p>
    <w:p>
      <w:pPr>
        <w:ind w:left="418" w:firstLine="422"/>
        <w:rPr>
          <w:sz w:val="21"/>
          <w:lang w:eastAsia="zh-CN"/>
        </w:rPr>
      </w:pPr>
      <w:r>
        <w:rPr>
          <w:b/>
          <w:bCs/>
          <w:sz w:val="21"/>
          <w:lang w:eastAsia="zh-CN"/>
        </w:rPr>
        <w:t>1</w:t>
      </w:r>
      <w:r>
        <w:rPr>
          <w:rFonts w:hint="eastAsia"/>
          <w:sz w:val="21"/>
          <w:lang w:eastAsia="zh-CN"/>
        </w:rPr>
        <w:t xml:space="preserve"> 尺寸裁剪偏差，对原管道尺寸测量不精确或没有严格进行裁剪；</w:t>
      </w:r>
    </w:p>
    <w:p>
      <w:pPr>
        <w:ind w:left="418" w:firstLine="422"/>
        <w:rPr>
          <w:sz w:val="21"/>
          <w:lang w:eastAsia="zh-CN"/>
        </w:rPr>
      </w:pPr>
      <w:r>
        <w:rPr>
          <w:b/>
          <w:bCs/>
          <w:sz w:val="21"/>
          <w:lang w:eastAsia="zh-CN"/>
        </w:rPr>
        <w:t>2</w:t>
      </w:r>
      <w:r>
        <w:rPr>
          <w:rFonts w:hint="eastAsia"/>
          <w:sz w:val="21"/>
          <w:lang w:eastAsia="zh-CN"/>
        </w:rPr>
        <w:t xml:space="preserve"> 固化过程中压力控制不到位，施工气压过低，导致内衬材料不能充分膨胀，无法紧贴管壁；</w:t>
      </w:r>
    </w:p>
    <w:p>
      <w:pPr>
        <w:ind w:left="418" w:firstLine="422"/>
        <w:rPr>
          <w:sz w:val="21"/>
          <w:lang w:eastAsia="zh-CN"/>
        </w:rPr>
      </w:pPr>
      <w:r>
        <w:rPr>
          <w:b/>
          <w:bCs/>
          <w:sz w:val="21"/>
          <w:lang w:eastAsia="zh-CN"/>
        </w:rPr>
        <w:t>3</w:t>
      </w:r>
      <w:r>
        <w:rPr>
          <w:rFonts w:hint="eastAsia"/>
          <w:sz w:val="21"/>
          <w:lang w:eastAsia="zh-CN"/>
        </w:rPr>
        <w:t xml:space="preserve"> 原管道存在变形、脱节、错位、局部凸起等缺陷，而预处理时未能完全消除这些缺陷，因此要求精确测量原管道尺寸精确裁剪与制作内衬软管，施工前做好原管道预处理工作，固化时保持足够高的气压，使软管紧贴原管内壁。</w:t>
      </w:r>
    </w:p>
    <w:p>
      <w:pPr>
        <w:ind w:firstLine="420"/>
        <w:rPr>
          <w:sz w:val="21"/>
          <w:lang w:eastAsia="zh-CN"/>
        </w:rPr>
      </w:pPr>
      <w:r>
        <w:rPr>
          <w:rFonts w:hint="eastAsia"/>
          <w:sz w:val="21"/>
          <w:lang w:eastAsia="zh-CN"/>
        </w:rPr>
        <w:t>固化后的内衬管中存在白斑可能是由于内衬软管树脂浸润过程中，抽真空和碾压工艺不到位，致使树脂浸润不密实，含有气泡。因此要求严控树脂浸润工艺，消除气泡。如果白斑数量超出规范要求，局部缺陷需局部切除和修复，如果在整个管段上出现了较多的白斑，则需全部移除内衬管，重新修复。</w:t>
      </w:r>
    </w:p>
    <w:p>
      <w:pPr>
        <w:ind w:firstLine="420"/>
        <w:rPr>
          <w:sz w:val="21"/>
          <w:lang w:eastAsia="zh-CN"/>
        </w:rPr>
      </w:pPr>
      <w:r>
        <w:rPr>
          <w:rFonts w:hint="eastAsia"/>
          <w:sz w:val="21"/>
          <w:lang w:eastAsia="zh-CN"/>
        </w:rPr>
        <w:t>紫外光固化后的内衬管表面有褶皱可能是由于以下原因造成：</w:t>
      </w:r>
    </w:p>
    <w:p>
      <w:pPr>
        <w:ind w:left="420" w:firstLine="422"/>
        <w:rPr>
          <w:sz w:val="21"/>
          <w:lang w:eastAsia="zh-CN"/>
        </w:rPr>
      </w:pPr>
      <w:r>
        <w:rPr>
          <w:b/>
          <w:bCs/>
          <w:sz w:val="21"/>
          <w:lang w:eastAsia="zh-CN"/>
        </w:rPr>
        <w:t>1</w:t>
      </w:r>
      <w:r>
        <w:rPr>
          <w:rFonts w:hint="eastAsia"/>
          <w:sz w:val="21"/>
          <w:lang w:eastAsia="zh-CN"/>
        </w:rPr>
        <w:t xml:space="preserve"> 内衬软管外表面的面积与原管道内表面的面积不一致，可能是由于测量数据偏差或制作偏差，导致内衬软管外径与原管道内径尺寸不能很好匹配；</w:t>
      </w:r>
    </w:p>
    <w:p>
      <w:pPr>
        <w:ind w:left="418" w:firstLine="422"/>
        <w:rPr>
          <w:sz w:val="21"/>
          <w:lang w:eastAsia="zh-CN"/>
        </w:rPr>
      </w:pPr>
      <w:r>
        <w:rPr>
          <w:b/>
          <w:bCs/>
          <w:sz w:val="21"/>
          <w:lang w:eastAsia="zh-CN"/>
        </w:rPr>
        <w:t>2</w:t>
      </w:r>
      <w:r>
        <w:rPr>
          <w:rFonts w:hint="eastAsia"/>
          <w:sz w:val="21"/>
          <w:lang w:eastAsia="zh-CN"/>
        </w:rPr>
        <w:t xml:space="preserve"> 原管道存在局部变形、缩径、变径、转弯等情形；</w:t>
      </w:r>
    </w:p>
    <w:p>
      <w:pPr>
        <w:ind w:left="418" w:firstLine="422"/>
        <w:rPr>
          <w:sz w:val="21"/>
          <w:lang w:eastAsia="zh-CN"/>
        </w:rPr>
      </w:pPr>
      <w:r>
        <w:rPr>
          <w:b/>
          <w:bCs/>
          <w:sz w:val="21"/>
          <w:lang w:eastAsia="zh-CN"/>
        </w:rPr>
        <w:t>3</w:t>
      </w:r>
      <w:r>
        <w:rPr>
          <w:rFonts w:hint="eastAsia"/>
          <w:sz w:val="21"/>
          <w:lang w:eastAsia="zh-CN"/>
        </w:rPr>
        <w:t xml:space="preserve"> 固化时内衬软管内部的鼓胀压力不足。</w:t>
      </w:r>
    </w:p>
    <w:p>
      <w:pPr>
        <w:ind w:firstLine="420"/>
        <w:rPr>
          <w:sz w:val="21"/>
          <w:lang w:eastAsia="zh-CN"/>
        </w:rPr>
      </w:pPr>
      <w:r>
        <w:rPr>
          <w:rFonts w:hint="eastAsia"/>
          <w:sz w:val="21"/>
          <w:lang w:eastAsia="zh-CN"/>
        </w:rPr>
        <w:t>为避免固化内衬管表面产生褶皱，应采取预防措施：</w:t>
      </w:r>
    </w:p>
    <w:p>
      <w:pPr>
        <w:ind w:left="418" w:firstLine="422"/>
        <w:rPr>
          <w:sz w:val="21"/>
          <w:lang w:eastAsia="zh-CN"/>
        </w:rPr>
      </w:pPr>
      <w:r>
        <w:rPr>
          <w:b/>
          <w:bCs/>
          <w:sz w:val="21"/>
          <w:lang w:eastAsia="zh-CN"/>
        </w:rPr>
        <w:t>1</w:t>
      </w:r>
      <w:r>
        <w:rPr>
          <w:rFonts w:hint="eastAsia"/>
          <w:sz w:val="21"/>
          <w:lang w:eastAsia="zh-CN"/>
        </w:rPr>
        <w:t xml:space="preserve"> 精确测量原管道管径沿纵轴线的尺寸，并精确裁剪；</w:t>
      </w:r>
    </w:p>
    <w:p>
      <w:pPr>
        <w:ind w:left="418" w:firstLine="422"/>
        <w:rPr>
          <w:sz w:val="21"/>
          <w:lang w:eastAsia="zh-CN"/>
        </w:rPr>
      </w:pPr>
      <w:r>
        <w:rPr>
          <w:b/>
          <w:bCs/>
          <w:sz w:val="21"/>
          <w:lang w:eastAsia="zh-CN"/>
        </w:rPr>
        <w:t>2</w:t>
      </w:r>
      <w:r>
        <w:rPr>
          <w:rFonts w:hint="eastAsia"/>
          <w:sz w:val="21"/>
          <w:lang w:eastAsia="zh-CN"/>
        </w:rPr>
        <w:t xml:space="preserve"> 对原管道缺陷作处理，使之满足修复前的预处理要求；</w:t>
      </w:r>
    </w:p>
    <w:p>
      <w:pPr>
        <w:ind w:left="418" w:firstLine="422"/>
        <w:rPr>
          <w:sz w:val="21"/>
          <w:lang w:eastAsia="zh-CN"/>
        </w:rPr>
      </w:pPr>
      <w:r>
        <w:rPr>
          <w:b/>
          <w:bCs/>
          <w:sz w:val="21"/>
          <w:lang w:eastAsia="zh-CN"/>
        </w:rPr>
        <w:t>3</w:t>
      </w:r>
      <w:r>
        <w:rPr>
          <w:rFonts w:hint="eastAsia"/>
          <w:sz w:val="21"/>
          <w:lang w:eastAsia="zh-CN"/>
        </w:rPr>
        <w:t xml:space="preserve"> 固化过程中，增大内衬软管内部的充气压力，使内衬软管紧贴原管道内壁，如产生褶皱管段不符合规范要求，应将内衬管分段分片割除并清理干净后，重新进行紫外光固化施工。</w:t>
      </w:r>
    </w:p>
    <w:p>
      <w:pPr>
        <w:ind w:firstLine="420"/>
        <w:rPr>
          <w:rFonts w:eastAsia="黑体"/>
          <w:b/>
          <w:bCs/>
          <w:sz w:val="21"/>
          <w:lang w:eastAsia="zh-CN"/>
        </w:rPr>
      </w:pPr>
      <w:r>
        <w:rPr>
          <w:rFonts w:hint="eastAsia"/>
          <w:sz w:val="21"/>
          <w:lang w:eastAsia="zh-CN"/>
        </w:rPr>
        <w:t>《紫外光固化修复技术规程》ASTM F2019 规定内衬管固化后应尽量减少内壁褶皱；《城镇排水管道非开挖修复更新工程技术规程》CJJ/T 210 规定内衬管固化后应尽量减少内壁褶皱，内衬管的表面应光洁、无局部划伤、磨损、气泡或干斑等缺陷。</w:t>
      </w:r>
    </w:p>
    <w:p>
      <w:pPr>
        <w:pStyle w:val="3"/>
        <w:ind w:firstLine="560"/>
      </w:pPr>
      <w:r>
        <w:rPr>
          <w:rFonts w:hint="eastAsia"/>
        </w:rPr>
        <w:t>8</w:t>
      </w:r>
      <w:r>
        <w:t>.</w:t>
      </w:r>
      <w:r>
        <w:rPr>
          <w:rFonts w:hint="eastAsia"/>
        </w:rPr>
        <w:t>4</w:t>
      </w:r>
      <w:r>
        <w:t xml:space="preserve"> </w:t>
      </w:r>
      <w:r>
        <w:rPr>
          <w:rFonts w:hint="eastAsia"/>
        </w:rPr>
        <w:t>翻转式原位固化法</w:t>
      </w:r>
    </w:p>
    <w:p>
      <w:pPr>
        <w:ind w:firstLine="422"/>
        <w:rPr>
          <w:rFonts w:hint="eastAsia" w:ascii="宋体" w:hAnsi="宋体"/>
          <w:sz w:val="21"/>
          <w:lang w:eastAsia="zh-CN"/>
        </w:rPr>
      </w:pPr>
      <w:r>
        <w:rPr>
          <w:rFonts w:hint="eastAsia" w:cs="Times New Roman"/>
          <w:b/>
          <w:bCs/>
          <w:sz w:val="21"/>
          <w:lang w:eastAsia="zh-CN"/>
        </w:rPr>
        <w:t>8.4.4</w:t>
      </w:r>
      <w:r>
        <w:rPr>
          <w:rFonts w:hint="eastAsia"/>
          <w:sz w:val="21"/>
          <w:lang w:eastAsia="zh-CN"/>
        </w:rPr>
        <w:t xml:space="preserve"> </w:t>
      </w:r>
      <w:r>
        <w:rPr>
          <w:rFonts w:hint="eastAsia" w:ascii="宋体" w:hAnsi="宋体"/>
          <w:sz w:val="21"/>
          <w:lang w:eastAsia="zh-CN"/>
        </w:rPr>
        <w:t>壁厚是原为固化材料的关键指标之一，厚度反映了内衬软管的各项性能以及原有管道病害情况和环境影响因素，如管道直径、破损程度、地下水压、过水压力等。</w:t>
      </w:r>
    </w:p>
    <w:p>
      <w:pPr>
        <w:pStyle w:val="3"/>
        <w:ind w:firstLine="560"/>
      </w:pPr>
      <w:r>
        <w:rPr>
          <w:rFonts w:hint="eastAsia"/>
        </w:rPr>
        <w:t>8</w:t>
      </w:r>
      <w:r>
        <w:t>.</w:t>
      </w:r>
      <w:r>
        <w:rPr>
          <w:rFonts w:hint="eastAsia"/>
        </w:rPr>
        <w:t>5</w:t>
      </w:r>
      <w:r>
        <w:t xml:space="preserve"> </w:t>
      </w:r>
      <w:r>
        <w:rPr>
          <w:rFonts w:hint="eastAsia"/>
        </w:rPr>
        <w:t>原位热塑成型法</w:t>
      </w:r>
    </w:p>
    <w:p>
      <w:pPr>
        <w:ind w:firstLine="422"/>
        <w:rPr>
          <w:sz w:val="21"/>
          <w:lang w:eastAsia="zh-CN"/>
        </w:rPr>
      </w:pPr>
      <w:r>
        <w:rPr>
          <w:rFonts w:hint="eastAsia"/>
          <w:b/>
          <w:bCs/>
          <w:snapToGrid/>
          <w:sz w:val="21"/>
          <w:lang w:eastAsia="zh-CN"/>
        </w:rPr>
        <w:t>8.5.2</w:t>
      </w:r>
      <w:r>
        <w:rPr>
          <w:rFonts w:hint="eastAsia"/>
          <w:snapToGrid/>
          <w:sz w:val="21"/>
          <w:lang w:eastAsia="zh-CN"/>
        </w:rPr>
        <w:t xml:space="preserve"> </w:t>
      </w:r>
      <w:r>
        <w:rPr>
          <w:rFonts w:hint="eastAsia"/>
          <w:sz w:val="21"/>
          <w:lang w:eastAsia="zh-CN"/>
        </w:rPr>
        <w:t>管道内部条件是影响原位热塑成型法（</w:t>
      </w:r>
      <w:r>
        <w:rPr>
          <w:sz w:val="21"/>
          <w:lang w:eastAsia="zh-CN"/>
        </w:rPr>
        <w:t>FIPP</w:t>
      </w:r>
      <w:r>
        <w:rPr>
          <w:rFonts w:hint="eastAsia"/>
          <w:sz w:val="21"/>
          <w:lang w:eastAsia="zh-CN"/>
        </w:rPr>
        <w:t>）修复效果的主要控制因素之一，</w:t>
      </w:r>
      <w:r>
        <w:rPr>
          <w:sz w:val="21"/>
          <w:lang w:eastAsia="zh-CN"/>
        </w:rPr>
        <w:t>必须在施工之前对预处理后的管道进行全面的电视（CCTV）检测</w:t>
      </w:r>
      <w:r>
        <w:rPr>
          <w:rFonts w:hint="eastAsia"/>
          <w:sz w:val="21"/>
          <w:lang w:eastAsia="zh-CN"/>
        </w:rPr>
        <w:t>，确保管道清洁并且无障碍物，保证内衬管顺利地安装到预定位置，并达到最优的修复效果。</w:t>
      </w:r>
    </w:p>
    <w:p>
      <w:pPr>
        <w:ind w:firstLine="422"/>
        <w:rPr>
          <w:rFonts w:hint="eastAsia" w:ascii="宋体" w:hAnsi="宋体"/>
          <w:sz w:val="21"/>
          <w:lang w:eastAsia="zh-CN"/>
        </w:rPr>
      </w:pPr>
      <w:r>
        <w:rPr>
          <w:rFonts w:hint="eastAsia"/>
          <w:b/>
          <w:bCs/>
          <w:snapToGrid/>
          <w:sz w:val="21"/>
          <w:lang w:eastAsia="zh-CN"/>
        </w:rPr>
        <w:t xml:space="preserve">8.5.3 </w:t>
      </w:r>
      <w:r>
        <w:rPr>
          <w:rFonts w:hint="eastAsia" w:ascii="宋体" w:hAnsi="宋体"/>
          <w:sz w:val="21"/>
          <w:lang w:eastAsia="zh-CN"/>
        </w:rPr>
        <w:t>内衬管的最小厚度不得小于设计值。测试方法参照现行国家标准《塑料管道系统 塑料部件尺寸的测定》</w:t>
      </w:r>
      <w:r>
        <w:rPr>
          <w:rFonts w:cs="Times New Roman"/>
          <w:sz w:val="21"/>
          <w:lang w:eastAsia="zh-CN"/>
        </w:rPr>
        <w:t>GB/T 8806</w:t>
      </w:r>
      <w:r>
        <w:rPr>
          <w:rFonts w:hint="eastAsia" w:ascii="宋体" w:hAnsi="宋体"/>
          <w:sz w:val="21"/>
          <w:lang w:eastAsia="zh-CN"/>
        </w:rPr>
        <w:t>的有关规定。使用卡尺测定管道最小和最大直径，至少进行六次测量，使用圆柱或球砧管千分尺测定最小和最大壁厚，至少进行八次测量，取平均值，以百分比计算壁厚范围</w:t>
      </w:r>
      <w:r>
        <w:rPr>
          <w:rFonts w:cs="Times New Roman"/>
          <w:sz w:val="21"/>
          <w:lang w:eastAsia="zh-CN"/>
        </w:rPr>
        <w:t>E</w:t>
      </w:r>
      <w:r>
        <w:rPr>
          <w:rFonts w:hint="eastAsia" w:ascii="宋体" w:hAnsi="宋体"/>
          <w:sz w:val="21"/>
          <w:lang w:eastAsia="zh-CN"/>
        </w:rPr>
        <w:t>。</w:t>
      </w:r>
    </w:p>
    <w:tbl>
      <w:tblPr>
        <w:tblStyle w:val="17"/>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4"/>
        <w:gridCol w:w="27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765" w:type="dxa"/>
          </w:tcPr>
          <w:p>
            <w:pPr>
              <w:ind w:firstLine="420"/>
              <w:rPr>
                <w:rFonts w:hint="eastAsia" w:ascii="宋体" w:hAnsi="宋体"/>
                <w:sz w:val="21"/>
                <w:lang w:eastAsia="zh-CN"/>
              </w:rPr>
            </w:pPr>
          </w:p>
        </w:tc>
        <w:tc>
          <w:tcPr>
            <w:tcW w:w="2764" w:type="dxa"/>
          </w:tcPr>
          <w:p>
            <w:pPr>
              <w:ind w:firstLine="420"/>
              <w:jc w:val="center"/>
              <w:rPr>
                <w:rFonts w:hint="eastAsia" w:ascii="宋体" w:hAnsi="宋体"/>
                <w:sz w:val="21"/>
              </w:rPr>
            </w:pPr>
            <m:oMathPara>
              <m:oMath>
                <m:r>
                  <m:rPr/>
                  <w:rPr>
                    <w:rFonts w:ascii="Cambria Math" w:hAnsi="Cambria Math"/>
                    <w:sz w:val="21"/>
                  </w:rPr>
                  <m:t>E</m:t>
                </m:r>
                <m:r>
                  <m:rPr>
                    <m:sty m:val="p"/>
                  </m:rPr>
                  <w:rPr>
                    <w:rFonts w:ascii="Cambria Math" w:hAnsi="Cambria Math"/>
                    <w:sz w:val="21"/>
                  </w:rPr>
                  <m:t>=</m:t>
                </m:r>
                <m:f>
                  <m:fPr>
                    <m:ctrlPr>
                      <w:rPr>
                        <w:rFonts w:ascii="Cambria Math" w:hAnsi="Cambria Math"/>
                        <w:sz w:val="21"/>
                      </w:rPr>
                    </m:ctrlPr>
                  </m:fPr>
                  <m:num>
                    <m:r>
                      <m:rPr/>
                      <w:rPr>
                        <w:rFonts w:ascii="Cambria Math" w:hAnsi="Cambria Math"/>
                        <w:sz w:val="21"/>
                      </w:rPr>
                      <m:t>A</m:t>
                    </m:r>
                    <m:r>
                      <m:rPr>
                        <m:sty m:val="p"/>
                      </m:rPr>
                      <w:rPr>
                        <w:rFonts w:ascii="Cambria Math" w:hAnsi="Cambria Math"/>
                        <w:sz w:val="21"/>
                      </w:rPr>
                      <m:t>−</m:t>
                    </m:r>
                    <m:r>
                      <m:rPr/>
                      <w:rPr>
                        <w:rFonts w:ascii="Cambria Math" w:hAnsi="Cambria Math"/>
                        <w:sz w:val="21"/>
                      </w:rPr>
                      <m:t>B</m:t>
                    </m:r>
                    <m:ctrlPr>
                      <w:rPr>
                        <w:rFonts w:ascii="Cambria Math" w:hAnsi="Cambria Math"/>
                        <w:sz w:val="21"/>
                      </w:rPr>
                    </m:ctrlPr>
                  </m:num>
                  <m:den>
                    <m:r>
                      <m:rPr/>
                      <w:rPr>
                        <w:rFonts w:ascii="Cambria Math" w:hAnsi="Cambria Math"/>
                        <w:sz w:val="21"/>
                      </w:rPr>
                      <m:t>A</m:t>
                    </m:r>
                    <m:ctrlPr>
                      <w:rPr>
                        <w:rFonts w:ascii="Cambria Math" w:hAnsi="Cambria Math"/>
                        <w:sz w:val="21"/>
                      </w:rPr>
                    </m:ctrlPr>
                  </m:den>
                </m:f>
                <m:r>
                  <m:rPr>
                    <m:sty m:val="p"/>
                  </m:rPr>
                  <w:rPr>
                    <w:rFonts w:ascii="Cambria Math" w:hAnsi="Cambria Math"/>
                    <w:sz w:val="21"/>
                  </w:rPr>
                  <m:t>100</m:t>
                </m:r>
              </m:oMath>
            </m:oMathPara>
          </w:p>
        </w:tc>
        <w:tc>
          <w:tcPr>
            <w:tcW w:w="2767" w:type="dxa"/>
            <w:vAlign w:val="center"/>
          </w:tcPr>
          <w:p>
            <w:pPr>
              <w:ind w:firstLine="420"/>
              <w:jc w:val="right"/>
              <w:rPr>
                <w:sz w:val="21"/>
              </w:rPr>
            </w:pPr>
            <w:r>
              <w:rPr>
                <w:sz w:val="21"/>
              </w:rPr>
              <w:t>（</w:t>
            </w:r>
            <w:r>
              <w:rPr>
                <w:rFonts w:hint="eastAsia"/>
                <w:sz w:val="21"/>
                <w:lang w:eastAsia="zh-CN"/>
              </w:rPr>
              <w:t>8.5</w:t>
            </w:r>
            <w:r>
              <w:rPr>
                <w:sz w:val="21"/>
              </w:rPr>
              <w:t>.3）</w:t>
            </w:r>
          </w:p>
        </w:tc>
      </w:tr>
    </w:tbl>
    <w:p>
      <w:pPr>
        <w:ind w:firstLine="420"/>
        <w:rPr>
          <w:rFonts w:hint="eastAsia" w:ascii="宋体" w:hAnsi="宋体"/>
          <w:sz w:val="21"/>
        </w:rPr>
      </w:pPr>
      <w:r>
        <w:rPr>
          <w:rFonts w:ascii="宋体" w:hAnsi="宋体"/>
          <w:sz w:val="21"/>
        </w:rPr>
        <w:t>式</w:t>
      </w:r>
      <w:r>
        <w:rPr>
          <w:rFonts w:hint="eastAsia" w:ascii="宋体" w:hAnsi="宋体"/>
          <w:sz w:val="21"/>
        </w:rPr>
        <w:t>中：</w:t>
      </w:r>
    </w:p>
    <w:p>
      <w:pPr>
        <w:ind w:left="420" w:firstLine="420"/>
        <w:rPr>
          <w:rFonts w:hint="eastAsia" w:ascii="宋体" w:hAnsi="宋体"/>
          <w:sz w:val="21"/>
        </w:rPr>
      </w:pPr>
      <w:r>
        <w:rPr>
          <w:rFonts w:cs="Times New Roman"/>
          <w:sz w:val="21"/>
        </w:rPr>
        <w:t>A</w:t>
      </w:r>
      <w:r>
        <w:rPr>
          <w:rFonts w:hint="eastAsia" w:ascii="宋体" w:hAnsi="宋体"/>
          <w:sz w:val="21"/>
        </w:rPr>
        <w:t>—</w:t>
      </w:r>
      <w:r>
        <w:rPr>
          <w:rFonts w:ascii="宋体" w:hAnsi="宋体"/>
          <w:sz w:val="21"/>
        </w:rPr>
        <w:t>任意横截面处的最大厚度</w:t>
      </w:r>
      <w:r>
        <w:rPr>
          <w:rFonts w:hint="eastAsia" w:ascii="宋体" w:hAnsi="宋体"/>
          <w:sz w:val="21"/>
        </w:rPr>
        <w:t>（</w:t>
      </w:r>
      <w:r>
        <w:rPr>
          <w:rFonts w:cs="Times New Roman"/>
          <w:sz w:val="21"/>
        </w:rPr>
        <w:t>mm</w:t>
      </w:r>
      <w:r>
        <w:rPr>
          <w:rFonts w:hint="eastAsia" w:ascii="宋体" w:hAnsi="宋体"/>
          <w:sz w:val="21"/>
        </w:rPr>
        <w:t>）</w:t>
      </w:r>
      <w:r>
        <w:rPr>
          <w:rFonts w:ascii="宋体" w:hAnsi="宋体"/>
          <w:sz w:val="21"/>
        </w:rPr>
        <w:t>；</w:t>
      </w:r>
    </w:p>
    <w:p>
      <w:pPr>
        <w:ind w:left="420" w:firstLine="420"/>
        <w:rPr>
          <w:rFonts w:hint="eastAsia" w:ascii="宋体" w:hAnsi="宋体"/>
          <w:sz w:val="21"/>
          <w:lang w:eastAsia="zh-CN"/>
        </w:rPr>
      </w:pPr>
      <w:r>
        <w:rPr>
          <w:rFonts w:cs="Times New Roman"/>
          <w:sz w:val="21"/>
          <w:lang w:eastAsia="zh-CN"/>
        </w:rPr>
        <w:t>B</w:t>
      </w:r>
      <w:r>
        <w:rPr>
          <w:rFonts w:hint="eastAsia" w:ascii="宋体" w:hAnsi="宋体"/>
          <w:sz w:val="21"/>
          <w:lang w:eastAsia="zh-CN"/>
        </w:rPr>
        <w:t>—</w:t>
      </w:r>
      <w:r>
        <w:rPr>
          <w:rFonts w:ascii="宋体" w:hAnsi="宋体"/>
          <w:sz w:val="21"/>
          <w:lang w:eastAsia="zh-CN"/>
        </w:rPr>
        <w:t>任意横截面处的最小厚度</w:t>
      </w:r>
      <w:r>
        <w:rPr>
          <w:rFonts w:hint="eastAsia" w:ascii="宋体" w:hAnsi="宋体"/>
          <w:sz w:val="21"/>
          <w:lang w:eastAsia="zh-CN"/>
        </w:rPr>
        <w:t>（</w:t>
      </w:r>
      <w:r>
        <w:rPr>
          <w:rFonts w:cs="Times New Roman"/>
          <w:sz w:val="21"/>
          <w:lang w:eastAsia="zh-CN"/>
        </w:rPr>
        <w:t>mm</w:t>
      </w:r>
      <w:r>
        <w:rPr>
          <w:rFonts w:hint="eastAsia" w:ascii="宋体" w:hAnsi="宋体"/>
          <w:sz w:val="21"/>
          <w:lang w:eastAsia="zh-CN"/>
        </w:rPr>
        <w:t>）</w:t>
      </w:r>
      <w:r>
        <w:rPr>
          <w:rFonts w:ascii="宋体" w:hAnsi="宋体"/>
          <w:sz w:val="21"/>
          <w:lang w:eastAsia="zh-CN"/>
        </w:rPr>
        <w:t>。</w:t>
      </w:r>
    </w:p>
    <w:p>
      <w:pPr>
        <w:ind w:firstLine="420"/>
        <w:rPr>
          <w:rFonts w:hint="eastAsia" w:ascii="宋体" w:hAnsi="宋体"/>
          <w:sz w:val="21"/>
          <w:lang w:eastAsia="zh-CN"/>
        </w:rPr>
      </w:pPr>
      <w:r>
        <w:rPr>
          <w:rFonts w:hint="eastAsia" w:ascii="宋体" w:hAnsi="宋体"/>
          <w:sz w:val="21"/>
          <w:lang w:eastAsia="zh-CN"/>
        </w:rPr>
        <w:t>《塑料管道系统 塑料部件尺寸的测定》</w:t>
      </w:r>
      <w:r>
        <w:rPr>
          <w:rFonts w:cs="Times New Roman"/>
          <w:sz w:val="21"/>
          <w:lang w:eastAsia="zh-CN"/>
        </w:rPr>
        <w:t>（GB/T 8806）</w:t>
      </w:r>
      <w:r>
        <w:rPr>
          <w:rFonts w:ascii="宋体" w:hAnsi="宋体"/>
          <w:sz w:val="21"/>
          <w:lang w:eastAsia="zh-CN"/>
        </w:rPr>
        <w:t>规定平均外径和平均内径可用</w:t>
      </w:r>
      <w:r>
        <w:rPr>
          <w:rFonts w:cs="Times New Roman"/>
          <w:sz w:val="21"/>
        </w:rPr>
        <w:t>π</w:t>
      </w:r>
      <w:r>
        <w:rPr>
          <w:rFonts w:ascii="宋体" w:hAnsi="宋体"/>
          <w:sz w:val="21"/>
          <w:lang w:eastAsia="zh-CN"/>
        </w:rPr>
        <w:t>尺直接测量，或根据表</w:t>
      </w:r>
      <w:r>
        <w:rPr>
          <w:rFonts w:hint="eastAsia" w:cs="Times New Roman"/>
          <w:sz w:val="21"/>
          <w:lang w:eastAsia="zh-CN"/>
        </w:rPr>
        <w:t>8.5.3</w:t>
      </w:r>
      <w:r>
        <w:rPr>
          <w:rFonts w:ascii="宋体" w:hAnsi="宋体"/>
          <w:sz w:val="21"/>
          <w:lang w:eastAsia="zh-CN"/>
        </w:rPr>
        <w:t>的要求对每个选定截面上沿环向均匀间隔测量的一系列单个值计算平均值。</w:t>
      </w:r>
    </w:p>
    <w:p>
      <w:pPr>
        <w:ind w:firstLine="422"/>
        <w:jc w:val="center"/>
        <w:rPr>
          <w:rFonts w:hint="eastAsia" w:ascii="宋体" w:hAnsi="宋体"/>
          <w:b/>
          <w:bCs/>
          <w:sz w:val="21"/>
          <w:lang w:eastAsia="zh-CN"/>
        </w:rPr>
      </w:pPr>
      <w:r>
        <w:rPr>
          <w:rFonts w:hint="eastAsia" w:ascii="宋体" w:hAnsi="宋体"/>
          <w:b/>
          <w:bCs/>
          <w:sz w:val="21"/>
          <w:lang w:eastAsia="zh-CN"/>
        </w:rPr>
        <w:t>表</w:t>
      </w:r>
      <w:r>
        <w:rPr>
          <w:rFonts w:hint="eastAsia" w:cs="Times New Roman"/>
          <w:b/>
          <w:bCs/>
          <w:sz w:val="21"/>
          <w:lang w:eastAsia="zh-CN"/>
        </w:rPr>
        <w:t>8.5</w:t>
      </w:r>
      <w:r>
        <w:rPr>
          <w:rFonts w:cs="Times New Roman"/>
          <w:b/>
          <w:bCs/>
          <w:sz w:val="21"/>
          <w:lang w:eastAsia="zh-CN"/>
        </w:rPr>
        <w:t>.3</w:t>
      </w:r>
      <w:r>
        <w:rPr>
          <w:rFonts w:hint="eastAsia" w:cs="Times New Roman"/>
          <w:b/>
          <w:bCs/>
          <w:sz w:val="21"/>
          <w:lang w:eastAsia="zh-CN"/>
        </w:rPr>
        <w:t xml:space="preserve"> </w:t>
      </w:r>
      <w:r>
        <w:rPr>
          <w:rFonts w:hint="eastAsia" w:ascii="宋体" w:hAnsi="宋体"/>
          <w:b/>
          <w:bCs/>
          <w:sz w:val="21"/>
          <w:lang w:eastAsia="zh-CN"/>
        </w:rPr>
        <w:t>给定公称尺寸的单个直径测量的数量</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ind w:firstLine="420"/>
              <w:jc w:val="center"/>
              <w:rPr>
                <w:rFonts w:cs="Times New Roman"/>
                <w:sz w:val="21"/>
                <w:lang w:eastAsia="zh-CN"/>
              </w:rPr>
            </w:pPr>
            <w:r>
              <w:rPr>
                <w:rFonts w:cs="Times New Roman"/>
                <w:sz w:val="21"/>
                <w:lang w:eastAsia="zh-CN"/>
              </w:rPr>
              <w:t>管材或管件的公称尺寸/mm</w:t>
            </w:r>
          </w:p>
        </w:tc>
        <w:tc>
          <w:tcPr>
            <w:tcW w:w="4148" w:type="dxa"/>
            <w:vAlign w:val="center"/>
          </w:tcPr>
          <w:p>
            <w:pPr>
              <w:ind w:firstLine="420"/>
              <w:jc w:val="center"/>
              <w:rPr>
                <w:rFonts w:cs="Times New Roman"/>
                <w:sz w:val="21"/>
                <w:lang w:eastAsia="zh-CN"/>
              </w:rPr>
            </w:pPr>
            <w:r>
              <w:rPr>
                <w:rFonts w:cs="Times New Roman"/>
                <w:sz w:val="21"/>
                <w:lang w:eastAsia="zh-CN"/>
              </w:rPr>
              <w:t>给定截面要求单个直径测量的数量/个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ind w:firstLine="420"/>
              <w:jc w:val="center"/>
              <w:rPr>
                <w:rFonts w:cs="Times New Roman"/>
                <w:sz w:val="21"/>
              </w:rPr>
            </w:pPr>
            <w:r>
              <w:rPr>
                <w:rFonts w:hint="eastAsia" w:cs="Times New Roman"/>
                <w:sz w:val="21"/>
                <w:lang w:eastAsia="zh-CN"/>
              </w:rPr>
              <w:t>≤</w:t>
            </w:r>
            <w:r>
              <w:rPr>
                <w:rFonts w:cs="Times New Roman"/>
                <w:sz w:val="21"/>
              </w:rPr>
              <w:t>40</w:t>
            </w:r>
          </w:p>
        </w:tc>
        <w:tc>
          <w:tcPr>
            <w:tcW w:w="4148" w:type="dxa"/>
            <w:vAlign w:val="center"/>
          </w:tcPr>
          <w:p>
            <w:pPr>
              <w:ind w:firstLine="420"/>
              <w:jc w:val="center"/>
              <w:rPr>
                <w:rFonts w:cs="Times New Roman"/>
                <w:sz w:val="21"/>
              </w:rPr>
            </w:pPr>
            <w:r>
              <w:rPr>
                <w:rFonts w:cs="Times New Roman"/>
                <w:sz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ind w:firstLine="420"/>
              <w:jc w:val="center"/>
              <w:rPr>
                <w:rFonts w:cs="Times New Roman"/>
                <w:sz w:val="21"/>
              </w:rPr>
            </w:pPr>
            <w:r>
              <w:rPr>
                <w:rFonts w:cs="Times New Roman"/>
                <w:sz w:val="21"/>
              </w:rPr>
              <w:t>40～600</w:t>
            </w:r>
          </w:p>
        </w:tc>
        <w:tc>
          <w:tcPr>
            <w:tcW w:w="4148" w:type="dxa"/>
            <w:vAlign w:val="center"/>
          </w:tcPr>
          <w:p>
            <w:pPr>
              <w:ind w:firstLine="420"/>
              <w:jc w:val="center"/>
              <w:rPr>
                <w:rFonts w:cs="Times New Roman"/>
                <w:sz w:val="21"/>
              </w:rPr>
            </w:pPr>
            <w:r>
              <w:rPr>
                <w:rFonts w:cs="Times New Roman"/>
                <w:sz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ind w:firstLine="420"/>
              <w:jc w:val="center"/>
              <w:rPr>
                <w:rFonts w:cs="Times New Roman"/>
                <w:sz w:val="21"/>
              </w:rPr>
            </w:pPr>
            <w:r>
              <w:rPr>
                <w:rFonts w:cs="Times New Roman"/>
                <w:sz w:val="21"/>
              </w:rPr>
              <w:t>600～1600</w:t>
            </w:r>
          </w:p>
        </w:tc>
        <w:tc>
          <w:tcPr>
            <w:tcW w:w="4148" w:type="dxa"/>
            <w:vAlign w:val="center"/>
          </w:tcPr>
          <w:p>
            <w:pPr>
              <w:ind w:firstLine="420"/>
              <w:jc w:val="center"/>
              <w:rPr>
                <w:rFonts w:cs="Times New Roman"/>
                <w:sz w:val="21"/>
              </w:rPr>
            </w:pPr>
            <w:r>
              <w:rPr>
                <w:rFonts w:cs="Times New Roman"/>
                <w:sz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ind w:firstLine="420"/>
              <w:jc w:val="center"/>
              <w:rPr>
                <w:rFonts w:cs="Times New Roman"/>
                <w:sz w:val="21"/>
              </w:rPr>
            </w:pPr>
            <w:r>
              <w:rPr>
                <w:rFonts w:cs="Times New Roman"/>
                <w:sz w:val="21"/>
              </w:rPr>
              <w:t>＞1600</w:t>
            </w:r>
          </w:p>
        </w:tc>
        <w:tc>
          <w:tcPr>
            <w:tcW w:w="4148" w:type="dxa"/>
            <w:vAlign w:val="center"/>
          </w:tcPr>
          <w:p>
            <w:pPr>
              <w:ind w:firstLine="420"/>
              <w:jc w:val="center"/>
              <w:rPr>
                <w:rFonts w:cs="Times New Roman"/>
                <w:sz w:val="21"/>
              </w:rPr>
            </w:pPr>
            <w:r>
              <w:rPr>
                <w:rFonts w:cs="Times New Roman"/>
                <w:sz w:val="21"/>
              </w:rPr>
              <w:t>12</w:t>
            </w:r>
          </w:p>
        </w:tc>
      </w:tr>
    </w:tbl>
    <w:p>
      <w:pPr>
        <w:ind w:firstLine="420"/>
        <w:rPr>
          <w:rFonts w:hint="eastAsia" w:ascii="宋体" w:hAnsi="宋体"/>
          <w:sz w:val="21"/>
          <w:lang w:eastAsia="zh-CN"/>
        </w:rPr>
      </w:pPr>
      <w:r>
        <w:rPr>
          <w:rFonts w:ascii="宋体" w:hAnsi="宋体"/>
          <w:sz w:val="21"/>
          <w:lang w:eastAsia="zh-CN"/>
        </w:rPr>
        <w:t>壁厚的测量使用管壁测厚仪或其他相同精度等级的测量仪器。在选定的被测截面上，沿环向均匀间隔至少</w:t>
      </w:r>
      <w:r>
        <w:rPr>
          <w:rFonts w:cs="Times New Roman"/>
          <w:sz w:val="21"/>
          <w:lang w:eastAsia="zh-CN"/>
        </w:rPr>
        <w:t>6</w:t>
      </w:r>
      <w:r>
        <w:rPr>
          <w:rFonts w:ascii="宋体" w:hAnsi="宋体"/>
          <w:sz w:val="21"/>
          <w:lang w:eastAsia="zh-CN"/>
        </w:rPr>
        <w:t>点进行壁厚测量。</w:t>
      </w:r>
    </w:p>
    <w:p>
      <w:pPr>
        <w:ind w:firstLine="422"/>
        <w:rPr>
          <w:rFonts w:hint="eastAsia" w:ascii="宋体" w:hAnsi="宋体"/>
          <w:sz w:val="21"/>
          <w:lang w:eastAsia="zh-CN"/>
        </w:rPr>
      </w:pPr>
      <w:r>
        <w:rPr>
          <w:rFonts w:hint="eastAsia"/>
          <w:b/>
          <w:bCs/>
          <w:snapToGrid/>
          <w:sz w:val="21"/>
          <w:lang w:eastAsia="zh-CN"/>
        </w:rPr>
        <w:t xml:space="preserve">8.5.8 </w:t>
      </w:r>
      <w:r>
        <w:rPr>
          <w:rFonts w:hint="eastAsia" w:ascii="宋体" w:hAnsi="宋体"/>
          <w:sz w:val="21"/>
          <w:lang w:eastAsia="zh-CN"/>
        </w:rPr>
        <w:t>成型后的内衬管与原有管道存在间隙可能是由以下原因造成的：</w:t>
      </w:r>
    </w:p>
    <w:p>
      <w:pPr>
        <w:ind w:left="418" w:firstLine="422"/>
        <w:rPr>
          <w:rFonts w:hint="eastAsia" w:ascii="宋体" w:hAnsi="宋体"/>
          <w:sz w:val="21"/>
          <w:lang w:eastAsia="zh-CN"/>
        </w:rPr>
      </w:pPr>
      <w:r>
        <w:rPr>
          <w:rFonts w:cs="Times New Roman"/>
          <w:b/>
          <w:bCs/>
          <w:sz w:val="21"/>
          <w:lang w:eastAsia="zh-CN"/>
        </w:rPr>
        <w:t>1</w:t>
      </w:r>
      <w:r>
        <w:rPr>
          <w:rFonts w:ascii="宋体" w:hAnsi="宋体"/>
          <w:sz w:val="21"/>
          <w:lang w:eastAsia="zh-CN"/>
        </w:rPr>
        <w:t xml:space="preserve"> </w:t>
      </w:r>
      <w:r>
        <w:rPr>
          <w:rFonts w:hint="eastAsia" w:ascii="宋体" w:hAnsi="宋体"/>
          <w:sz w:val="21"/>
          <w:lang w:eastAsia="zh-CN"/>
        </w:rPr>
        <w:t>尺寸裁剪偏差，对原管道尺寸测量不精确或没有严格进行裁剪。</w:t>
      </w:r>
    </w:p>
    <w:p>
      <w:pPr>
        <w:ind w:left="418" w:firstLine="422"/>
        <w:rPr>
          <w:rFonts w:hint="eastAsia" w:ascii="宋体" w:hAnsi="宋体"/>
          <w:sz w:val="21"/>
          <w:lang w:eastAsia="zh-CN"/>
        </w:rPr>
      </w:pPr>
      <w:r>
        <w:rPr>
          <w:rFonts w:cs="Times New Roman"/>
          <w:b/>
          <w:bCs/>
          <w:sz w:val="21"/>
          <w:lang w:eastAsia="zh-CN"/>
        </w:rPr>
        <w:t>2</w:t>
      </w:r>
      <w:r>
        <w:rPr>
          <w:rFonts w:hint="eastAsia" w:cs="Times New Roman"/>
          <w:b/>
          <w:bCs/>
          <w:sz w:val="21"/>
          <w:lang w:eastAsia="zh-CN"/>
        </w:rPr>
        <w:t xml:space="preserve"> </w:t>
      </w:r>
      <w:r>
        <w:rPr>
          <w:rFonts w:hint="eastAsia" w:ascii="宋体" w:hAnsi="宋体"/>
          <w:sz w:val="21"/>
          <w:lang w:eastAsia="zh-CN"/>
        </w:rPr>
        <w:t>成型过程中压力控制不到位，施工气压过低，导致内衬材料不能充分膨胀，无法紧密贴合管壁。</w:t>
      </w:r>
    </w:p>
    <w:p>
      <w:pPr>
        <w:ind w:left="418" w:firstLine="422"/>
        <w:rPr>
          <w:rFonts w:hint="eastAsia" w:ascii="宋体" w:hAnsi="宋体"/>
          <w:sz w:val="21"/>
          <w:lang w:eastAsia="zh-CN"/>
        </w:rPr>
      </w:pPr>
      <w:r>
        <w:rPr>
          <w:rFonts w:cs="Times New Roman"/>
          <w:b/>
          <w:bCs/>
          <w:sz w:val="21"/>
          <w:lang w:eastAsia="zh-CN"/>
        </w:rPr>
        <w:t>3</w:t>
      </w:r>
      <w:r>
        <w:rPr>
          <w:rFonts w:hint="eastAsia" w:cs="Times New Roman"/>
          <w:b/>
          <w:bCs/>
          <w:sz w:val="21"/>
          <w:lang w:eastAsia="zh-CN"/>
        </w:rPr>
        <w:t xml:space="preserve"> </w:t>
      </w:r>
      <w:r>
        <w:rPr>
          <w:rFonts w:hint="eastAsia" w:ascii="宋体" w:hAnsi="宋体"/>
          <w:sz w:val="21"/>
          <w:lang w:eastAsia="zh-CN"/>
        </w:rPr>
        <w:t>原管道存在变形、脱节、错位、局部凸起等缺陷，而预处理时未能完全消除这些缺陷，因此要求精确测量原管道尺寸，精确裁切与制作折叠管，施工前做好原管道预处理工作，成型过程时保持足够高的气压，使得内衬管紧密贴合原有管道。</w:t>
      </w:r>
    </w:p>
    <w:p>
      <w:pPr>
        <w:pStyle w:val="3"/>
        <w:ind w:firstLine="560"/>
      </w:pPr>
      <w:r>
        <w:rPr>
          <w:rFonts w:hint="eastAsia"/>
        </w:rPr>
        <w:t>8</w:t>
      </w:r>
      <w:r>
        <w:t>.</w:t>
      </w:r>
      <w:r>
        <w:rPr>
          <w:rFonts w:hint="eastAsia"/>
        </w:rPr>
        <w:t>9</w:t>
      </w:r>
      <w:r>
        <w:t xml:space="preserve"> </w:t>
      </w:r>
      <w:r>
        <w:rPr>
          <w:rFonts w:hint="eastAsia"/>
        </w:rPr>
        <w:t>碎裂管法</w:t>
      </w:r>
    </w:p>
    <w:p>
      <w:pPr>
        <w:ind w:firstLine="42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8.9</w:t>
      </w:r>
      <w:r>
        <w:rPr>
          <w:rFonts w:cs="Times New Roman" w:eastAsiaTheme="minorEastAsia"/>
          <w:b/>
          <w:bCs/>
          <w:color w:val="000000" w:themeColor="text1"/>
          <w:sz w:val="21"/>
          <w:lang w:eastAsia="zh-CN"/>
          <w14:textFill>
            <w14:solidFill>
              <w14:schemeClr w14:val="tx1"/>
            </w14:solidFill>
          </w14:textFill>
        </w:rPr>
        <w:t>.2</w:t>
      </w:r>
      <w:r>
        <w:rPr>
          <w:rFonts w:cs="Times New Roman" w:eastAsiaTheme="minorEastAsia"/>
          <w:color w:val="000000" w:themeColor="text1"/>
          <w:sz w:val="21"/>
          <w:lang w:eastAsia="zh-CN"/>
          <w14:textFill>
            <w14:solidFill>
              <w14:schemeClr w14:val="tx1"/>
            </w14:solidFill>
          </w14:textFill>
        </w:rPr>
        <w:t xml:space="preserve"> 为保证碎裂管法的施工质量特制定本条。要求施工前对管道外表面划痕、刻槽、破损程度进行检测，同时为确保施工过程中管道外表面遭到进一步的破碎，要求施工后对牵拉出的管道外表面进行取样检测。如果不满足本条要求，则需采取相应的处理措施。</w:t>
      </w:r>
    </w:p>
    <w:p>
      <w:pPr>
        <w:ind w:firstLine="0" w:firstLineChars="0"/>
        <w:rPr>
          <w:lang w:eastAsia="zh-CN"/>
        </w:rPr>
      </w:pPr>
    </w:p>
    <w:p>
      <w:pPr>
        <w:kinsoku/>
        <w:autoSpaceDE/>
        <w:autoSpaceDN/>
        <w:adjustRightInd/>
        <w:snapToGrid/>
        <w:spacing w:line="240" w:lineRule="auto"/>
        <w:ind w:firstLine="0" w:firstLineChars="0"/>
        <w:jc w:val="left"/>
        <w:textAlignment w:val="auto"/>
        <w:rPr>
          <w:rFonts w:eastAsia="黑体" w:cs="Times New Roman"/>
          <w:b/>
          <w:bCs/>
          <w:color w:val="000000" w:themeColor="text1"/>
          <w:sz w:val="32"/>
          <w:szCs w:val="32"/>
          <w:lang w:eastAsia="zh-CN"/>
          <w14:textFill>
            <w14:solidFill>
              <w14:schemeClr w14:val="tx1"/>
            </w14:solidFill>
          </w14:textFill>
        </w:rPr>
      </w:pPr>
      <w:r>
        <w:rPr>
          <w:rFonts w:eastAsia="黑体" w:cs="Times New Roman"/>
          <w:color w:val="000000" w:themeColor="text1"/>
          <w:lang w:eastAsia="zh-CN"/>
          <w14:textFill>
            <w14:solidFill>
              <w14:schemeClr w14:val="tx1"/>
            </w14:solidFill>
          </w14:textFill>
        </w:rPr>
        <w:br w:type="page"/>
      </w:r>
    </w:p>
    <w:p>
      <w:pPr>
        <w:pStyle w:val="15"/>
        <w:ind w:firstLine="643"/>
        <w:rPr>
          <w:rFonts w:ascii="Times New Roman" w:hAnsi="Times New Roman" w:eastAsia="黑体" w:cs="Times New Roman"/>
          <w:color w:val="000000" w:themeColor="text1"/>
          <w:lang w:eastAsia="zh-CN"/>
          <w14:textFill>
            <w14:solidFill>
              <w14:schemeClr w14:val="tx1"/>
            </w14:solidFill>
          </w14:textFill>
        </w:rPr>
      </w:pPr>
      <w:bookmarkStart w:id="436" w:name="OLE_LINK95"/>
      <w:r>
        <w:rPr>
          <w:rFonts w:hint="eastAsia" w:ascii="Times New Roman" w:hAnsi="Times New Roman" w:eastAsia="黑体" w:cs="Times New Roman"/>
          <w:color w:val="000000" w:themeColor="text1"/>
          <w:lang w:eastAsia="zh-CN"/>
          <w14:textFill>
            <w14:solidFill>
              <w14:schemeClr w14:val="tx1"/>
            </w14:solidFill>
          </w14:textFill>
        </w:rPr>
        <w:t>9</w:t>
      </w:r>
      <w:r>
        <w:rPr>
          <w:rFonts w:ascii="Times New Roman" w:hAnsi="Times New Roman" w:eastAsia="黑体" w:cs="Times New Roman"/>
          <w:color w:val="000000" w:themeColor="text1"/>
          <w:lang w:eastAsia="zh-CN"/>
          <w14:textFill>
            <w14:solidFill>
              <w14:schemeClr w14:val="tx1"/>
            </w14:solidFill>
          </w14:textFill>
        </w:rPr>
        <w:t xml:space="preserve"> 数字化</w:t>
      </w:r>
      <w:bookmarkEnd w:id="432"/>
      <w:bookmarkEnd w:id="433"/>
      <w:bookmarkEnd w:id="434"/>
      <w:bookmarkEnd w:id="435"/>
    </w:p>
    <w:bookmarkEnd w:id="436"/>
    <w:p>
      <w:pPr>
        <w:pStyle w:val="3"/>
        <w:ind w:firstLine="560"/>
      </w:pPr>
      <w:bookmarkStart w:id="437" w:name="_Toc196750463"/>
      <w:bookmarkStart w:id="438" w:name="_Toc196295177"/>
      <w:bookmarkStart w:id="439" w:name="_Toc196377674"/>
      <w:bookmarkStart w:id="440" w:name="_Toc196915274"/>
      <w:bookmarkStart w:id="441" w:name="_Toc187611899"/>
      <w:r>
        <w:rPr>
          <w:rFonts w:hint="eastAsia"/>
        </w:rPr>
        <w:t>9</w:t>
      </w:r>
      <w:r>
        <w:t>.1 一般规定</w:t>
      </w:r>
      <w:bookmarkEnd w:id="437"/>
      <w:bookmarkEnd w:id="438"/>
      <w:bookmarkEnd w:id="439"/>
      <w:bookmarkEnd w:id="440"/>
      <w:bookmarkEnd w:id="441"/>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.1.1 </w:t>
      </w:r>
      <w:r>
        <w:rPr>
          <w:rFonts w:cs="Times New Roman" w:eastAsiaTheme="minorEastAsia"/>
          <w:color w:val="000000" w:themeColor="text1"/>
          <w:sz w:val="21"/>
          <w:lang w:eastAsia="zh-CN"/>
          <w14:textFill>
            <w14:solidFill>
              <w14:schemeClr w14:val="tx1"/>
            </w14:solidFill>
          </w14:textFill>
        </w:rPr>
        <w:t>市政排水管道原位固化修复工程应根据管道检测评估报告进行设计和施工。排水管道原位固化修复工程施工时，应制定和采取相应安全措施，并应符合现行行业标准《城镇排水管道维护安全技术规程》CIJ 6 的有关规定。排水管道原位固化修复工程所用的管材、管件、构(配)件等材料应有质量合格证书、性能检测报告和使用说明书。排水管道原位固化修复工程施工过程中所产生的污物、噪声及振动应符合国家环境保护的有关规定并应进行伴随/旁站监控。排水管道原位固化修复工程应在验收合格后方可投入使用。</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.1.2</w:t>
      </w:r>
      <w:r>
        <w:rPr>
          <w:rFonts w:cs="Times New Roman" w:eastAsiaTheme="minorEastAsia"/>
          <w:color w:val="000000" w:themeColor="text1"/>
          <w:sz w:val="21"/>
          <w:lang w:eastAsia="zh-CN"/>
          <w14:textFill>
            <w14:solidFill>
              <w14:schemeClr w14:val="tx1"/>
            </w14:solidFill>
          </w14:textFill>
        </w:rPr>
        <w:t xml:space="preserve"> 云平台拥有大量的计算、存储和服务功能，对于单个原位固化修复工程，可将其数据存储至本地。但是，随着时间的推移，工程数量势必会越来越多，本地无法满足存储、管理和运维等要求，这时就需要云平台对其进行管理。物联网是利用局城网或互联网等通信技术把传感器、计算机和人或物联系在一起的媒介，可实现信息化和远程控制;云计算只需用户在具备网络接人条件的地方，就可以随时随地获取数据资源;大数据是目前最具优势的数据分析处理方式，主要包括数据的收集、存储、处理分析和应用。</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.1.3</w:t>
      </w:r>
      <w:r>
        <w:rPr>
          <w:rFonts w:cs="Times New Roman" w:eastAsiaTheme="minorEastAsia"/>
          <w:color w:val="000000" w:themeColor="text1"/>
          <w:sz w:val="21"/>
          <w:lang w:eastAsia="zh-CN"/>
          <w14:textFill>
            <w14:solidFill>
              <w14:schemeClr w14:val="tx1"/>
            </w14:solidFill>
          </w14:textFill>
        </w:rPr>
        <w:t xml:space="preserve"> 原有数字化信息包括: CCTV 探测图片信息、图纸信息、管道维修维护检测信息;新设数字化信息包括:传感器数据信息、管道内各气体含量信息、视频信息、施工信息等。结合数据融合技术，对于新旧信息进行对比融合，若出现数据的格式不对应应采取对应措施，提前作好格式的规定或将信息统一转化为同种格式，并进行数据整合与分析。本规程将原有数字化信息和新设数字化信息都纳人数字化信息系统进行统一管理，确保修复过程数据的完整性和可靠性。</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1.4</w:t>
      </w:r>
      <w:r>
        <w:rPr>
          <w:rFonts w:cs="Times New Roman" w:eastAsiaTheme="minorEastAsia"/>
          <w:color w:val="000000" w:themeColor="text1"/>
          <w:sz w:val="21"/>
          <w:lang w:eastAsia="zh-CN"/>
          <w14:textFill>
            <w14:solidFill>
              <w14:schemeClr w14:val="tx1"/>
            </w14:solidFill>
          </w14:textFill>
        </w:rPr>
        <w:t xml:space="preserve"> 排水管道中的有毒有害气体，例如甲烷、硫化氢、氨气、一氧化碳等，都会对人体健康造成伤害，甚至危害生命。所以在进行人工作业时，施工人员必须拥有有限空间作业证，必须实时监测管道内有毒有害气体，确保施工人员的生命安全。</w:t>
      </w:r>
    </w:p>
    <w:p>
      <w:pPr>
        <w:pStyle w:val="3"/>
        <w:ind w:firstLine="560"/>
      </w:pPr>
      <w:bookmarkStart w:id="442" w:name="_Toc196295178"/>
      <w:bookmarkStart w:id="443" w:name="_Toc196377675"/>
      <w:bookmarkStart w:id="444" w:name="_Toc196915275"/>
      <w:bookmarkStart w:id="445" w:name="_Toc196750464"/>
      <w:bookmarkStart w:id="446" w:name="_Toc187611900"/>
      <w:r>
        <w:rPr>
          <w:rFonts w:hint="eastAsia"/>
        </w:rPr>
        <w:t>9</w:t>
      </w:r>
      <w:r>
        <w:t>.2 信息系统构成</w:t>
      </w:r>
      <w:bookmarkEnd w:id="442"/>
      <w:bookmarkEnd w:id="443"/>
      <w:bookmarkEnd w:id="444"/>
      <w:bookmarkEnd w:id="445"/>
      <w:bookmarkEnd w:id="446"/>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.2.1</w:t>
      </w:r>
      <w:r>
        <w:rPr>
          <w:rFonts w:cs="Times New Roman" w:eastAsiaTheme="minorEastAsia"/>
          <w:color w:val="000000" w:themeColor="text1"/>
          <w:sz w:val="21"/>
          <w:lang w:eastAsia="zh-CN"/>
          <w14:textFill>
            <w14:solidFill>
              <w14:schemeClr w14:val="tx1"/>
            </w14:solidFill>
          </w14:textFill>
        </w:rPr>
        <w:t xml:space="preserve"> 为了满足不同客户的需求，该系统将开放二次开发功能,用户可以根据自身的需求，利用功能扩展接口对系统进行的功能扩展和修改。</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.2.3</w:t>
      </w:r>
      <w:r>
        <w:rPr>
          <w:rFonts w:cs="Times New Roman" w:eastAsiaTheme="minorEastAsia"/>
          <w:color w:val="000000" w:themeColor="text1"/>
          <w:sz w:val="21"/>
          <w:lang w:eastAsia="zh-CN"/>
          <w14:textFill>
            <w14:solidFill>
              <w14:schemeClr w14:val="tx1"/>
            </w14:solidFill>
          </w14:textFill>
        </w:rPr>
        <w:t xml:space="preserve"> 该拓扑图(图</w:t>
      </w:r>
      <w:r>
        <w:rPr>
          <w:rFonts w:hint="eastAsia" w:cs="Times New Roman" w:eastAsiaTheme="minorEastAsia"/>
          <w:color w:val="000000" w:themeColor="text1"/>
          <w:sz w:val="21"/>
          <w:lang w:eastAsia="zh-CN"/>
          <w14:textFill>
            <w14:solidFill>
              <w14:schemeClr w14:val="tx1"/>
            </w14:solidFill>
          </w14:textFill>
        </w:rPr>
        <w:t>9.2.3</w:t>
      </w:r>
      <w:r>
        <w:rPr>
          <w:rFonts w:cs="Times New Roman" w:eastAsiaTheme="minorEastAsia"/>
          <w:color w:val="000000" w:themeColor="text1"/>
          <w:sz w:val="21"/>
          <w:lang w:eastAsia="zh-CN"/>
          <w14:textFill>
            <w14:solidFill>
              <w14:schemeClr w14:val="tx1"/>
            </w14:solidFill>
          </w14:textFill>
        </w:rPr>
        <w:t>)将原位固化修复工程按照信息化的方式分为感知层、网络层和应用层。感知层主要是各种传感器采集到的信息以及工程相关信息。感知层的数据传输至网络层，利用云平台等技术对信息进行存储、分析。用户利用网络，从网络层的平台提取数据，进行数据的应用如智能报警、远程控制等。人们利用数据应用，可以通过网络层作为中间纽带对感知层进行远程控制。</w:t>
      </w:r>
    </w:p>
    <w:p>
      <w:pPr>
        <w:jc w:val="center"/>
        <w:rPr>
          <w:rFonts w:cs="Times New Roman"/>
          <w:color w:val="000000" w:themeColor="text1"/>
          <w:lang w:eastAsia="zh-CN"/>
          <w14:textFill>
            <w14:solidFill>
              <w14:schemeClr w14:val="tx1"/>
            </w14:solidFill>
          </w14:textFill>
        </w:rPr>
      </w:pPr>
      <w:r>
        <w:rPr>
          <w:rFonts w:cs="Times New Roman"/>
          <w:color w:val="000000" w:themeColor="text1"/>
          <w:lang w:eastAsia="zh-CN"/>
          <w14:textFill>
            <w14:solidFill>
              <w14:schemeClr w14:val="tx1"/>
            </w14:solidFill>
          </w14:textFill>
        </w:rPr>
        <w:drawing>
          <wp:inline distT="0" distB="0" distL="0" distR="0">
            <wp:extent cx="5274310" cy="2966085"/>
            <wp:effectExtent l="0" t="0" r="2540" b="5715"/>
            <wp:docPr id="1884222279" name="图片 3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22279" name="图片 38" descr="图示&#10;&#10;描述已自动生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966085"/>
                    </a:xfrm>
                    <a:prstGeom prst="rect">
                      <a:avLst/>
                    </a:prstGeom>
                    <a:noFill/>
                    <a:ln>
                      <a:noFill/>
                    </a:ln>
                  </pic:spPr>
                </pic:pic>
              </a:graphicData>
            </a:graphic>
          </wp:inline>
        </w:drawing>
      </w:r>
    </w:p>
    <w:p>
      <w:pPr>
        <w:pStyle w:val="6"/>
        <w:ind w:firstLine="120"/>
        <w:jc w:val="center"/>
        <w:rPr>
          <w:rFonts w:ascii="Times New Roman" w:hAnsi="Times New Roman" w:cs="Times New Roman" w:eastAsiaTheme="majorEastAsia"/>
          <w:b/>
          <w:bCs/>
          <w:color w:val="000000" w:themeColor="text1"/>
          <w:sz w:val="21"/>
          <w:szCs w:val="21"/>
          <w14:textFill>
            <w14:solidFill>
              <w14:schemeClr w14:val="tx1"/>
            </w14:solidFill>
          </w14:textFill>
        </w:rPr>
      </w:pPr>
      <w:r>
        <w:rPr>
          <w:rFonts w:ascii="Times New Roman" w:hAnsi="Times New Roman" w:cs="Times New Roman" w:eastAsiaTheme="majorEastAsia"/>
          <w:b/>
          <w:bCs/>
          <w:color w:val="000000" w:themeColor="text1"/>
          <w:sz w:val="21"/>
          <w:szCs w:val="21"/>
          <w14:textFill>
            <w14:solidFill>
              <w14:schemeClr w14:val="tx1"/>
            </w14:solidFill>
          </w14:textFill>
        </w:rPr>
        <w:t>图</w:t>
      </w:r>
      <w:r>
        <w:rPr>
          <w:rFonts w:hint="eastAsia" w:ascii="Times New Roman" w:hAnsi="Times New Roman" w:cs="Times New Roman" w:eastAsiaTheme="majorEastAsia"/>
          <w:b/>
          <w:bCs/>
          <w:color w:val="000000" w:themeColor="text1"/>
          <w:sz w:val="21"/>
          <w:szCs w:val="21"/>
          <w14:textFill>
            <w14:solidFill>
              <w14:schemeClr w14:val="tx1"/>
            </w14:solidFill>
          </w14:textFill>
        </w:rPr>
        <w:t>9.2.3</w:t>
      </w:r>
      <w:r>
        <w:rPr>
          <w:rFonts w:ascii="Times New Roman" w:hAnsi="Times New Roman" w:cs="Times New Roman" w:eastAsiaTheme="majorEastAsia"/>
          <w:b/>
          <w:bCs/>
          <w:color w:val="000000" w:themeColor="text1"/>
          <w:sz w:val="21"/>
          <w:szCs w:val="21"/>
          <w14:textFill>
            <w14:solidFill>
              <w14:schemeClr w14:val="tx1"/>
            </w14:solidFill>
          </w14:textFill>
        </w:rPr>
        <w:t xml:space="preserve"> 信息系统拓扑图</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.2.4 </w:t>
      </w:r>
      <w:r>
        <w:rPr>
          <w:rFonts w:cs="Times New Roman" w:eastAsiaTheme="minorEastAsia"/>
          <w:color w:val="000000" w:themeColor="text1"/>
          <w:sz w:val="21"/>
          <w:lang w:eastAsia="zh-CN"/>
          <w14:textFill>
            <w14:solidFill>
              <w14:schemeClr w14:val="tx1"/>
            </w14:solidFill>
          </w14:textFill>
        </w:rPr>
        <w:t xml:space="preserve"> 感知层是物联网的“皮肤”和“五官”，用于识别物体和采集信息，其中包括原位固化修复工程所需各类传感器和感知设备。</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.2.5 </w:t>
      </w:r>
      <w:r>
        <w:rPr>
          <w:rFonts w:cs="Times New Roman" w:eastAsiaTheme="minorEastAsia"/>
          <w:color w:val="000000" w:themeColor="text1"/>
          <w:sz w:val="21"/>
          <w:lang w:eastAsia="zh-CN"/>
          <w14:textFill>
            <w14:solidFill>
              <w14:schemeClr w14:val="tx1"/>
            </w14:solidFill>
          </w14:textFill>
        </w:rPr>
        <w:t>设备感知设备采集的对象包括电视检査(CCTV)设备、清淤设备、水泵、风机、锅炉、固化施工设备、卷扬机、发电机;环境感知设备采集的对象包括修复管段及上下游封堵倒流断面、施工场地、材料存储;图像感知设备采集的对象包括修复管段、检查井、施工场地、材料;身份和位置感知设备采集的对象包括设备、人员、材料。对以上采集对象所采集的信息也作出了相应规定，通过感知设备得到信息，并利用网络传输通信协议，对感知对象信息进行采集、传输、分析，从而达到控制对象的目的。</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.2.6</w:t>
      </w:r>
      <w:r>
        <w:rPr>
          <w:rFonts w:cs="Times New Roman" w:eastAsiaTheme="minorEastAsia"/>
          <w:color w:val="000000" w:themeColor="text1"/>
          <w:sz w:val="21"/>
          <w:lang w:eastAsia="zh-CN"/>
          <w14:textFill>
            <w14:solidFill>
              <w14:schemeClr w14:val="tx1"/>
            </w14:solidFill>
          </w14:textFill>
        </w:rPr>
        <w:t xml:space="preserve"> 将感知数据传输至网络层时，应考虑信息安全问题，国家标准《信息安全技术 物联网感知层接入通信网的安全要求GB/T 37093-2018 提出了通信网络接入系统、感知信息传输网络及感知层接入的安全技术要求。</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.2.8 </w:t>
      </w:r>
      <w:r>
        <w:rPr>
          <w:rFonts w:cs="Times New Roman" w:eastAsiaTheme="minorEastAsia"/>
          <w:color w:val="000000" w:themeColor="text1"/>
          <w:sz w:val="21"/>
          <w:lang w:eastAsia="zh-CN"/>
          <w14:textFill>
            <w14:solidFill>
              <w14:schemeClr w14:val="tx1"/>
            </w14:solidFill>
          </w14:textFill>
        </w:rPr>
        <w:t>为了保障感知层数据的准确传输，使用 TCP/IP(网际传输协议)、FTP(文件传输协议)UDP(用户数据报协议)进行传输，可保证数据的准确性和一致性。</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.2.9</w:t>
      </w:r>
      <w:r>
        <w:rPr>
          <w:rFonts w:cs="Times New Roman" w:eastAsiaTheme="minorEastAsia"/>
          <w:color w:val="000000" w:themeColor="text1"/>
          <w:sz w:val="21"/>
          <w:lang w:eastAsia="zh-CN"/>
          <w14:textFill>
            <w14:solidFill>
              <w14:schemeClr w14:val="tx1"/>
            </w14:solidFill>
          </w14:textFill>
        </w:rPr>
        <w:t xml:space="preserve"> 对于不同类型的数据，要采用其对应格式，如数值类型：整型(int)、单精度浮点型(foat)、双精度浮点型(double )。对于字符采用字符串(sting)类型。</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.2.11</w:t>
      </w:r>
      <w:r>
        <w:rPr>
          <w:rFonts w:cs="Times New Roman" w:eastAsiaTheme="minorEastAsia"/>
          <w:color w:val="000000" w:themeColor="text1"/>
          <w:sz w:val="21"/>
          <w:lang w:eastAsia="zh-CN"/>
          <w14:textFill>
            <w14:solidFill>
              <w14:schemeClr w14:val="tx1"/>
            </w14:solidFill>
          </w14:textFill>
        </w:rPr>
        <w:t xml:space="preserve"> 对于有效数据，在人库时其对应数据的属性及其类型要一致，以免使用过程中存在错误。为了保证原位固化修复工程数据的追溯和应用，应长期保存工程监测数据。</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.2.12</w:t>
      </w:r>
      <w:r>
        <w:rPr>
          <w:rFonts w:cs="Times New Roman" w:eastAsiaTheme="minorEastAsia"/>
          <w:color w:val="000000" w:themeColor="text1"/>
          <w:sz w:val="21"/>
          <w:lang w:eastAsia="zh-CN"/>
          <w14:textFill>
            <w14:solidFill>
              <w14:schemeClr w14:val="tx1"/>
            </w14:solidFill>
          </w14:textFill>
        </w:rPr>
        <w:t xml:space="preserve"> 考虑同种设备可能需要多台，设备的编号应作为数据库表中的主属性，便于对设备进行查询和管理。</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.2.13</w:t>
      </w:r>
      <w:r>
        <w:rPr>
          <w:rFonts w:cs="Times New Roman" w:eastAsiaTheme="minorEastAsia"/>
          <w:color w:val="000000" w:themeColor="text1"/>
          <w:sz w:val="21"/>
          <w:lang w:eastAsia="zh-CN"/>
          <w14:textFill>
            <w14:solidFill>
              <w14:schemeClr w14:val="tx1"/>
            </w14:solidFill>
          </w14:textFill>
        </w:rPr>
        <w:t xml:space="preserve"> 对于给定的数据模型中数据及其联系所具有的制约和依存规则，用以限定符合数据模型的数据库状态以及状态的变化，以保证数据的正确、有效和相容;根据数据的质量监控，对于常出现差错明显的传感器，要重新对其进行铺设和整改。</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.2.15 </w:t>
      </w:r>
      <w:r>
        <w:rPr>
          <w:rFonts w:cs="Times New Roman" w:eastAsiaTheme="minorEastAsia"/>
          <w:color w:val="000000" w:themeColor="text1"/>
          <w:sz w:val="21"/>
          <w:lang w:eastAsia="zh-CN"/>
          <w14:textFill>
            <w14:solidFill>
              <w14:schemeClr w14:val="tx1"/>
            </w14:solidFill>
          </w14:textFill>
        </w:rPr>
        <w:t>为确保修复设备的规范使用，应对其使用情况进行记录并实现可视化查阅，通过实时检测对比并通过曲线显示，可以更加直观的显示出数据的变化;设置网络信息安全防护措施防止数据信息泄露;RTU(远程终端单元)，英文全称Remote TermimnaUnit，中文全称为远程终端控制系统，负责对现场信号、工业设备的监测和控制。</w:t>
      </w:r>
    </w:p>
    <w:p>
      <w:pPr>
        <w:ind w:firstLine="420"/>
        <w:rPr>
          <w:rFonts w:cs="Times New Roman" w:eastAsiaTheme="minorEastAsia"/>
          <w:color w:val="000000" w:themeColor="text1"/>
          <w:sz w:val="21"/>
          <w:lang w:eastAsia="zh-CN"/>
          <w14:textFill>
            <w14:solidFill>
              <w14:schemeClr w14:val="tx1"/>
            </w14:solidFill>
          </w14:textFill>
        </w:rPr>
      </w:pPr>
      <w:r>
        <w:rPr>
          <w:rFonts w:cs="Times New Roman" w:eastAsiaTheme="minorEastAsia"/>
          <w:color w:val="000000" w:themeColor="text1"/>
          <w:sz w:val="21"/>
          <w:lang w:eastAsia="zh-CN"/>
          <w14:textFill>
            <w14:solidFill>
              <w14:schemeClr w14:val="tx1"/>
            </w14:solidFill>
          </w14:textFill>
        </w:rPr>
        <w:t>1 RTU 是一种耐用的现场智能处理器，它支持SCADA控制中心与现场器件间的通信。它是一个独立的数据获取与控制单元。</w:t>
      </w:r>
    </w:p>
    <w:p>
      <w:pPr>
        <w:ind w:firstLine="420"/>
        <w:rPr>
          <w:rFonts w:cs="Times New Roman" w:eastAsiaTheme="minorEastAsia"/>
          <w:color w:val="000000" w:themeColor="text1"/>
          <w:sz w:val="21"/>
          <w:lang w:eastAsia="zh-CN"/>
          <w14:textFill>
            <w14:solidFill>
              <w14:schemeClr w14:val="tx1"/>
            </w14:solidFill>
          </w14:textFill>
        </w:rPr>
      </w:pPr>
      <w:r>
        <w:rPr>
          <w:rFonts w:cs="Times New Roman" w:eastAsiaTheme="minorEastAsia"/>
          <w:color w:val="000000" w:themeColor="text1"/>
          <w:sz w:val="21"/>
          <w:lang w:eastAsia="zh-CN"/>
          <w14:textFill>
            <w14:solidFill>
              <w14:schemeClr w14:val="tx1"/>
            </w14:solidFill>
          </w14:textFill>
        </w:rPr>
        <w:t>2 RTU 通常具有优良的通信能力和更大的存储容量，适用于更恶劣的温度和湿度环境，提供更多的计算功能。RTU产品在石油天然气、水利、电力调度、市政调度等行业 SCADA系统中广泛应用。</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.2.16</w:t>
      </w:r>
      <w:r>
        <w:rPr>
          <w:rFonts w:cs="Times New Roman" w:eastAsiaTheme="minorEastAsia"/>
          <w:color w:val="000000" w:themeColor="text1"/>
          <w:sz w:val="21"/>
          <w:lang w:eastAsia="zh-CN"/>
          <w14:textFill>
            <w14:solidFill>
              <w14:schemeClr w14:val="tx1"/>
            </w14:solidFill>
          </w14:textFill>
        </w:rPr>
        <w:t xml:space="preserve"> 以往的原位固化修复工程，需要大量人工作业，每个施工环节都存在安全隐患，其中危害生命安全的隐患包括无机污染物、有机污染物、辐射、有毒有害气体、漏水、漏电等;设备安全隐患包括短时间内反复重启和其他非正常工作状态;材料安全隐患包括材料温度、湿度、固化温度、固化时间、施工拉力和压力等。利用数字化信息管理系统的施工预警模块，对以上信息提供预警和报警功能，从而提高原位固化修复工程的安全性。</w:t>
      </w:r>
    </w:p>
    <w:p>
      <w:pPr>
        <w:pStyle w:val="3"/>
        <w:ind w:firstLine="560"/>
      </w:pPr>
      <w:bookmarkStart w:id="447" w:name="_Toc196295179"/>
      <w:bookmarkStart w:id="448" w:name="_Toc187611901"/>
      <w:bookmarkStart w:id="449" w:name="_Toc196377676"/>
      <w:bookmarkStart w:id="450" w:name="_Toc196915276"/>
      <w:bookmarkStart w:id="451" w:name="_Toc196750465"/>
      <w:r>
        <w:rPr>
          <w:rFonts w:hint="eastAsia"/>
        </w:rPr>
        <w:t>9</w:t>
      </w:r>
      <w:r>
        <w:t>.3 在线监测布点</w:t>
      </w:r>
      <w:bookmarkEnd w:id="447"/>
      <w:bookmarkEnd w:id="448"/>
      <w:bookmarkEnd w:id="449"/>
      <w:bookmarkEnd w:id="450"/>
      <w:bookmarkEnd w:id="451"/>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.3.1</w:t>
      </w:r>
      <w:r>
        <w:rPr>
          <w:rFonts w:cs="Times New Roman" w:eastAsiaTheme="minorEastAsia"/>
          <w:color w:val="000000" w:themeColor="text1"/>
          <w:sz w:val="21"/>
          <w:lang w:eastAsia="zh-CN"/>
          <w14:textFill>
            <w14:solidFill>
              <w14:schemeClr w14:val="tx1"/>
            </w14:solidFill>
          </w14:textFill>
        </w:rPr>
        <w:t xml:space="preserve"> 遵循针对性、持续性和有效性等原则，监测点位的布设应遵循全面性、多样性、均匀性、经济性和可行性等基本原则。</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.3.2</w:t>
      </w:r>
      <w:r>
        <w:rPr>
          <w:rFonts w:cs="Times New Roman" w:eastAsiaTheme="minorEastAsia"/>
          <w:color w:val="000000" w:themeColor="text1"/>
          <w:sz w:val="21"/>
          <w:lang w:eastAsia="zh-CN"/>
          <w14:textFill>
            <w14:solidFill>
              <w14:schemeClr w14:val="tx1"/>
            </w14:solidFill>
          </w14:textFill>
        </w:rPr>
        <w:t xml:space="preserve"> 监测方案制定过程中，根据收集的资料，首先进行监测点位的初步筛选与布置，然后进行现场踏勘形成监测布点图。紫外光固化施工、热水固化施工、蒸汽固化施工和常温固化施工在线监测布点示意图见图 </w:t>
      </w:r>
      <w:r>
        <w:rPr>
          <w:rFonts w:hint="eastAsia" w:cs="Times New Roman" w:eastAsiaTheme="minorEastAsia"/>
          <w:color w:val="000000" w:themeColor="text1"/>
          <w:sz w:val="21"/>
          <w:lang w:eastAsia="zh-CN"/>
          <w14:textFill>
            <w14:solidFill>
              <w14:schemeClr w14:val="tx1"/>
            </w14:solidFill>
          </w14:textFill>
        </w:rPr>
        <w:t>9.3.2-1</w:t>
      </w:r>
      <w:r>
        <w:rPr>
          <w:rFonts w:cs="Times New Roman" w:eastAsiaTheme="minorEastAsia"/>
          <w:color w:val="000000" w:themeColor="text1"/>
          <w:sz w:val="21"/>
          <w:lang w:eastAsia="zh-CN"/>
          <w14:textFill>
            <w14:solidFill>
              <w14:schemeClr w14:val="tx1"/>
            </w14:solidFill>
          </w14:textFill>
        </w:rPr>
        <w:t>、图</w:t>
      </w:r>
      <w:r>
        <w:rPr>
          <w:rFonts w:hint="eastAsia" w:cs="Times New Roman" w:eastAsiaTheme="minorEastAsia"/>
          <w:color w:val="000000" w:themeColor="text1"/>
          <w:sz w:val="21"/>
          <w:lang w:eastAsia="zh-CN"/>
          <w14:textFill>
            <w14:solidFill>
              <w14:schemeClr w14:val="tx1"/>
            </w14:solidFill>
          </w14:textFill>
        </w:rPr>
        <w:t>9.3.2-2</w:t>
      </w:r>
      <w:r>
        <w:rPr>
          <w:rFonts w:cs="Times New Roman" w:eastAsiaTheme="minorEastAsia"/>
          <w:color w:val="000000" w:themeColor="text1"/>
          <w:sz w:val="21"/>
          <w:lang w:eastAsia="zh-CN"/>
          <w14:textFill>
            <w14:solidFill>
              <w14:schemeClr w14:val="tx1"/>
            </w14:solidFill>
          </w14:textFill>
        </w:rPr>
        <w:t>、图</w:t>
      </w:r>
      <w:r>
        <w:rPr>
          <w:rFonts w:hint="eastAsia" w:cs="Times New Roman" w:eastAsiaTheme="minorEastAsia"/>
          <w:color w:val="000000" w:themeColor="text1"/>
          <w:sz w:val="21"/>
          <w:lang w:eastAsia="zh-CN"/>
          <w14:textFill>
            <w14:solidFill>
              <w14:schemeClr w14:val="tx1"/>
            </w14:solidFill>
          </w14:textFill>
        </w:rPr>
        <w:t>9.3.2-3</w:t>
      </w:r>
      <w:r>
        <w:rPr>
          <w:rFonts w:cs="Times New Roman" w:eastAsiaTheme="minorEastAsia"/>
          <w:color w:val="000000" w:themeColor="text1"/>
          <w:sz w:val="21"/>
          <w:lang w:eastAsia="zh-CN"/>
          <w14:textFill>
            <w14:solidFill>
              <w14:schemeClr w14:val="tx1"/>
            </w14:solidFill>
          </w14:textFill>
        </w:rPr>
        <w:t xml:space="preserve"> 和图</w:t>
      </w:r>
      <w:r>
        <w:rPr>
          <w:rFonts w:hint="eastAsia" w:cs="Times New Roman" w:eastAsiaTheme="minorEastAsia"/>
          <w:color w:val="000000" w:themeColor="text1"/>
          <w:sz w:val="21"/>
          <w:lang w:eastAsia="zh-CN"/>
          <w14:textFill>
            <w14:solidFill>
              <w14:schemeClr w14:val="tx1"/>
            </w14:solidFill>
          </w14:textFill>
        </w:rPr>
        <w:t>9.3.2-4</w:t>
      </w:r>
      <w:r>
        <w:rPr>
          <w:rFonts w:cs="Times New Roman" w:eastAsiaTheme="minorEastAsia"/>
          <w:color w:val="000000" w:themeColor="text1"/>
          <w:sz w:val="21"/>
          <w:lang w:eastAsia="zh-CN"/>
          <w14:textFill>
            <w14:solidFill>
              <w14:schemeClr w14:val="tx1"/>
            </w14:solidFill>
          </w14:textFill>
        </w:rPr>
        <w:t>。</w:t>
      </w:r>
    </w:p>
    <w:p>
      <w:pPr>
        <w:jc w:val="center"/>
        <w:rPr>
          <w:rFonts w:cs="Times New Roman"/>
          <w:color w:val="000000" w:themeColor="text1"/>
          <w:lang w:eastAsia="zh-CN"/>
          <w14:textFill>
            <w14:solidFill>
              <w14:schemeClr w14:val="tx1"/>
            </w14:solidFill>
          </w14:textFill>
        </w:rPr>
      </w:pPr>
      <w:r>
        <w:rPr>
          <w:rFonts w:cs="Times New Roman"/>
          <w:color w:val="000000" w:themeColor="text1"/>
          <w:lang w:eastAsia="zh-CN"/>
          <w14:textFill>
            <w14:solidFill>
              <w14:schemeClr w14:val="tx1"/>
            </w14:solidFill>
          </w14:textFill>
        </w:rPr>
        <w:drawing>
          <wp:inline distT="0" distB="0" distL="0" distR="0">
            <wp:extent cx="3203575" cy="1401445"/>
            <wp:effectExtent l="0" t="0" r="0" b="8255"/>
            <wp:docPr id="1516028157" name="图片 36"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28157" name="图片 36" descr="图示, 工程绘图&#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203575" cy="1401445"/>
                    </a:xfrm>
                    <a:prstGeom prst="rect">
                      <a:avLst/>
                    </a:prstGeom>
                    <a:noFill/>
                    <a:ln>
                      <a:noFill/>
                    </a:ln>
                  </pic:spPr>
                </pic:pic>
              </a:graphicData>
            </a:graphic>
          </wp:inline>
        </w:drawing>
      </w:r>
    </w:p>
    <w:p>
      <w:pPr>
        <w:pStyle w:val="6"/>
        <w:ind w:firstLine="120"/>
        <w:jc w:val="center"/>
        <w:rPr>
          <w:rFonts w:ascii="Times New Roman" w:hAnsi="Times New Roman" w:cs="Times New Roman" w:eastAsiaTheme="majorEastAsia"/>
          <w:b/>
          <w:bCs/>
          <w:color w:val="000000" w:themeColor="text1"/>
          <w:sz w:val="21"/>
          <w:szCs w:val="21"/>
          <w14:textFill>
            <w14:solidFill>
              <w14:schemeClr w14:val="tx1"/>
            </w14:solidFill>
          </w14:textFill>
        </w:rPr>
      </w:pPr>
      <w:r>
        <w:rPr>
          <w:rFonts w:ascii="Times New Roman" w:hAnsi="Times New Roman" w:cs="Times New Roman" w:eastAsiaTheme="majorEastAsia"/>
          <w:b/>
          <w:bCs/>
          <w:color w:val="000000" w:themeColor="text1"/>
          <w:sz w:val="21"/>
          <w:szCs w:val="21"/>
          <w14:textFill>
            <w14:solidFill>
              <w14:schemeClr w14:val="tx1"/>
            </w14:solidFill>
          </w14:textFill>
        </w:rPr>
        <w:t xml:space="preserve">图 </w:t>
      </w:r>
      <w:r>
        <w:rPr>
          <w:rFonts w:hint="eastAsia" w:ascii="Times New Roman" w:hAnsi="Times New Roman" w:cs="Times New Roman" w:eastAsiaTheme="majorEastAsia"/>
          <w:b/>
          <w:bCs/>
          <w:color w:val="000000" w:themeColor="text1"/>
          <w:sz w:val="21"/>
          <w:szCs w:val="21"/>
          <w14:textFill>
            <w14:solidFill>
              <w14:schemeClr w14:val="tx1"/>
            </w14:solidFill>
          </w14:textFill>
        </w:rPr>
        <w:t>9.3.2</w:t>
      </w:r>
      <w:r>
        <w:rPr>
          <w:rFonts w:ascii="Times New Roman" w:hAnsi="Times New Roman" w:cs="Times New Roman" w:eastAsiaTheme="majorEastAsia"/>
          <w:b/>
          <w:bCs/>
          <w:color w:val="000000" w:themeColor="text1"/>
          <w:sz w:val="21"/>
          <w:szCs w:val="21"/>
          <w14:textFill>
            <w14:solidFill>
              <w14:schemeClr w14:val="tx1"/>
            </w14:solidFill>
          </w14:textFill>
        </w:rPr>
        <w:t xml:space="preserve"> 紫外光固化施工在线监测布点示意图</w:t>
      </w:r>
    </w:p>
    <w:p>
      <w:pPr>
        <w:pStyle w:val="6"/>
        <w:ind w:firstLine="120"/>
        <w:jc w:val="center"/>
        <w:rPr>
          <w:rFonts w:ascii="Times New Roman" w:hAnsi="Times New Roman" w:cs="Times New Roman" w:eastAsiaTheme="majorEastAsia"/>
          <w:b/>
          <w:bCs/>
          <w:color w:val="000000" w:themeColor="text1"/>
          <w:sz w:val="21"/>
          <w:szCs w:val="21"/>
          <w14:textFill>
            <w14:solidFill>
              <w14:schemeClr w14:val="tx1"/>
            </w14:solidFill>
          </w14:textFill>
        </w:rPr>
      </w:pPr>
      <w:r>
        <w:rPr>
          <w:rFonts w:ascii="Times New Roman" w:hAnsi="Times New Roman" w:cs="Times New Roman" w:eastAsiaTheme="majorEastAsia"/>
          <w:b/>
          <w:bCs/>
          <w:color w:val="000000" w:themeColor="text1"/>
          <w:sz w:val="21"/>
          <w:szCs w:val="21"/>
          <w14:textFill>
            <w14:solidFill>
              <w14:schemeClr w14:val="tx1"/>
            </w14:solidFill>
          </w14:textFill>
        </w:rPr>
        <w:t>1、6—温度采集位点；2—有害气体采集位点；3—本地信息存储；4、5、7—压力采集位点；8—流量采集位点</w:t>
      </w:r>
    </w:p>
    <w:p>
      <w:pPr>
        <w:jc w:val="center"/>
        <w:rPr>
          <w:rFonts w:cs="Times New Roman"/>
          <w:color w:val="000000" w:themeColor="text1"/>
          <w:lang w:eastAsia="zh-CN"/>
          <w14:textFill>
            <w14:solidFill>
              <w14:schemeClr w14:val="tx1"/>
            </w14:solidFill>
          </w14:textFill>
        </w:rPr>
      </w:pPr>
      <w:r>
        <w:rPr>
          <w:rFonts w:cs="Times New Roman"/>
          <w:color w:val="000000" w:themeColor="text1"/>
          <w:lang w:eastAsia="zh-CN"/>
          <w14:textFill>
            <w14:solidFill>
              <w14:schemeClr w14:val="tx1"/>
            </w14:solidFill>
          </w14:textFill>
        </w:rPr>
        <w:drawing>
          <wp:inline distT="0" distB="0" distL="0" distR="0">
            <wp:extent cx="3157855" cy="1427480"/>
            <wp:effectExtent l="0" t="0" r="4445" b="1270"/>
            <wp:docPr id="542125766" name="图片 37" descr="各种颜色的地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25766" name="图片 37" descr="各种颜色的地图&#10;&#10;低可信度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57855" cy="1427480"/>
                    </a:xfrm>
                    <a:prstGeom prst="rect">
                      <a:avLst/>
                    </a:prstGeom>
                    <a:noFill/>
                    <a:ln>
                      <a:noFill/>
                    </a:ln>
                  </pic:spPr>
                </pic:pic>
              </a:graphicData>
            </a:graphic>
          </wp:inline>
        </w:drawing>
      </w:r>
    </w:p>
    <w:p>
      <w:pPr>
        <w:pStyle w:val="6"/>
        <w:ind w:firstLine="120"/>
        <w:jc w:val="center"/>
        <w:rPr>
          <w:rFonts w:ascii="Times New Roman" w:hAnsi="Times New Roman" w:cs="Times New Roman" w:eastAsiaTheme="majorEastAsia"/>
          <w:b/>
          <w:bCs/>
          <w:color w:val="000000" w:themeColor="text1"/>
          <w:sz w:val="21"/>
          <w:szCs w:val="21"/>
          <w14:textFill>
            <w14:solidFill>
              <w14:schemeClr w14:val="tx1"/>
            </w14:solidFill>
          </w14:textFill>
        </w:rPr>
      </w:pPr>
      <w:r>
        <w:rPr>
          <w:rFonts w:ascii="Times New Roman" w:hAnsi="Times New Roman" w:cs="Times New Roman" w:eastAsiaTheme="majorEastAsia"/>
          <w:b/>
          <w:bCs/>
          <w:color w:val="000000" w:themeColor="text1"/>
          <w:sz w:val="21"/>
          <w:szCs w:val="21"/>
          <w14:textFill>
            <w14:solidFill>
              <w14:schemeClr w14:val="tx1"/>
            </w14:solidFill>
          </w14:textFill>
        </w:rPr>
        <w:t xml:space="preserve">图 </w:t>
      </w:r>
      <w:r>
        <w:rPr>
          <w:rFonts w:hint="eastAsia" w:ascii="Times New Roman" w:hAnsi="Times New Roman" w:cs="Times New Roman" w:eastAsiaTheme="majorEastAsia"/>
          <w:b/>
          <w:bCs/>
          <w:color w:val="000000" w:themeColor="text1"/>
          <w:sz w:val="21"/>
          <w:szCs w:val="21"/>
          <w14:textFill>
            <w14:solidFill>
              <w14:schemeClr w14:val="tx1"/>
            </w14:solidFill>
          </w14:textFill>
        </w:rPr>
        <w:t>9.3.2-2</w:t>
      </w:r>
      <w:r>
        <w:rPr>
          <w:rFonts w:ascii="Times New Roman" w:hAnsi="Times New Roman" w:cs="Times New Roman" w:eastAsiaTheme="majorEastAsia"/>
          <w:b/>
          <w:bCs/>
          <w:color w:val="000000" w:themeColor="text1"/>
          <w:sz w:val="21"/>
          <w:szCs w:val="21"/>
          <w14:textFill>
            <w14:solidFill>
              <w14:schemeClr w14:val="tx1"/>
            </w14:solidFill>
          </w14:textFill>
        </w:rPr>
        <w:t xml:space="preserve"> 热水固化施工在线监测布点示意图</w:t>
      </w:r>
    </w:p>
    <w:p>
      <w:pPr>
        <w:pStyle w:val="6"/>
        <w:ind w:firstLine="120"/>
        <w:jc w:val="center"/>
        <w:rPr>
          <w:rFonts w:ascii="Times New Roman" w:hAnsi="Times New Roman" w:cs="Times New Roman" w:eastAsiaTheme="majorEastAsia"/>
          <w:b/>
          <w:bCs/>
          <w:color w:val="000000" w:themeColor="text1"/>
          <w:sz w:val="21"/>
          <w:szCs w:val="21"/>
          <w14:textFill>
            <w14:solidFill>
              <w14:schemeClr w14:val="tx1"/>
            </w14:solidFill>
          </w14:textFill>
        </w:rPr>
      </w:pPr>
      <w:r>
        <w:rPr>
          <w:rFonts w:ascii="Times New Roman" w:hAnsi="Times New Roman" w:cs="Times New Roman" w:eastAsiaTheme="majorEastAsia"/>
          <w:b/>
          <w:bCs/>
          <w:color w:val="000000" w:themeColor="text1"/>
          <w:sz w:val="21"/>
          <w:szCs w:val="21"/>
          <w14:textFill>
            <w14:solidFill>
              <w14:schemeClr w14:val="tx1"/>
            </w14:solidFill>
          </w14:textFill>
        </w:rPr>
        <w:t>1、4、5、7、8—温度采集位点；2—有害气体采集位点；3、10—流量采集位点；6、9—压力采集位点</w:t>
      </w:r>
    </w:p>
    <w:p>
      <w:pPr>
        <w:jc w:val="center"/>
        <w:rPr>
          <w:rFonts w:cs="Times New Roman"/>
          <w:color w:val="000000" w:themeColor="text1"/>
          <w:lang w:eastAsia="zh-CN"/>
          <w14:textFill>
            <w14:solidFill>
              <w14:schemeClr w14:val="tx1"/>
            </w14:solidFill>
          </w14:textFill>
        </w:rPr>
      </w:pPr>
      <w:r>
        <w:rPr>
          <w:rFonts w:cs="Times New Roman"/>
          <w:color w:val="000000" w:themeColor="text1"/>
          <w:lang w:eastAsia="zh-CN"/>
          <w14:textFill>
            <w14:solidFill>
              <w14:schemeClr w14:val="tx1"/>
            </w14:solidFill>
          </w14:textFill>
        </w:rPr>
        <w:drawing>
          <wp:inline distT="0" distB="0" distL="0" distR="0">
            <wp:extent cx="3078480" cy="1453515"/>
            <wp:effectExtent l="0" t="0" r="7620" b="0"/>
            <wp:docPr id="130765714" name="图片 38"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5714" name="图片 38" descr="地图的截图&#10;&#10;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78480" cy="1453515"/>
                    </a:xfrm>
                    <a:prstGeom prst="rect">
                      <a:avLst/>
                    </a:prstGeom>
                    <a:noFill/>
                    <a:ln>
                      <a:noFill/>
                    </a:ln>
                  </pic:spPr>
                </pic:pic>
              </a:graphicData>
            </a:graphic>
          </wp:inline>
        </w:drawing>
      </w:r>
    </w:p>
    <w:p>
      <w:pPr>
        <w:pStyle w:val="6"/>
        <w:ind w:firstLine="120"/>
        <w:jc w:val="center"/>
        <w:rPr>
          <w:rFonts w:ascii="Times New Roman" w:hAnsi="Times New Roman" w:cs="Times New Roman" w:eastAsiaTheme="majorEastAsia"/>
          <w:b/>
          <w:bCs/>
          <w:color w:val="000000" w:themeColor="text1"/>
          <w:sz w:val="21"/>
          <w:szCs w:val="21"/>
          <w14:textFill>
            <w14:solidFill>
              <w14:schemeClr w14:val="tx1"/>
            </w14:solidFill>
          </w14:textFill>
        </w:rPr>
      </w:pPr>
      <w:r>
        <w:rPr>
          <w:rFonts w:ascii="Times New Roman" w:hAnsi="Times New Roman" w:cs="Times New Roman" w:eastAsiaTheme="majorEastAsia"/>
          <w:b/>
          <w:bCs/>
          <w:color w:val="000000" w:themeColor="text1"/>
          <w:sz w:val="21"/>
          <w:szCs w:val="21"/>
          <w14:textFill>
            <w14:solidFill>
              <w14:schemeClr w14:val="tx1"/>
            </w14:solidFill>
          </w14:textFill>
        </w:rPr>
        <w:t xml:space="preserve">图 </w:t>
      </w:r>
      <w:r>
        <w:rPr>
          <w:rFonts w:hint="eastAsia" w:ascii="Times New Roman" w:hAnsi="Times New Roman" w:cs="Times New Roman" w:eastAsiaTheme="majorEastAsia"/>
          <w:b/>
          <w:bCs/>
          <w:color w:val="000000" w:themeColor="text1"/>
          <w:sz w:val="21"/>
          <w:szCs w:val="21"/>
          <w14:textFill>
            <w14:solidFill>
              <w14:schemeClr w14:val="tx1"/>
            </w14:solidFill>
          </w14:textFill>
        </w:rPr>
        <w:t>9.3.2-3</w:t>
      </w:r>
      <w:r>
        <w:rPr>
          <w:rFonts w:ascii="Times New Roman" w:hAnsi="Times New Roman" w:cs="Times New Roman" w:eastAsiaTheme="majorEastAsia"/>
          <w:b/>
          <w:bCs/>
          <w:color w:val="000000" w:themeColor="text1"/>
          <w:sz w:val="21"/>
          <w:szCs w:val="21"/>
          <w14:textFill>
            <w14:solidFill>
              <w14:schemeClr w14:val="tx1"/>
            </w14:solidFill>
          </w14:textFill>
        </w:rPr>
        <w:t xml:space="preserve"> 蒸汽固化施工在线监测布点示意图</w:t>
      </w:r>
    </w:p>
    <w:p>
      <w:pPr>
        <w:pStyle w:val="6"/>
        <w:ind w:firstLine="120"/>
        <w:jc w:val="center"/>
        <w:rPr>
          <w:rFonts w:ascii="Times New Roman" w:hAnsi="Times New Roman" w:cs="Times New Roman" w:eastAsiaTheme="majorEastAsia"/>
          <w:b/>
          <w:bCs/>
          <w:color w:val="000000" w:themeColor="text1"/>
          <w:sz w:val="21"/>
          <w:szCs w:val="21"/>
          <w14:textFill>
            <w14:solidFill>
              <w14:schemeClr w14:val="tx1"/>
            </w14:solidFill>
          </w14:textFill>
        </w:rPr>
      </w:pPr>
      <w:r>
        <w:rPr>
          <w:rFonts w:ascii="Times New Roman" w:hAnsi="Times New Roman" w:cs="Times New Roman" w:eastAsiaTheme="majorEastAsia"/>
          <w:b/>
          <w:bCs/>
          <w:color w:val="000000" w:themeColor="text1"/>
          <w:sz w:val="21"/>
          <w:szCs w:val="21"/>
          <w14:textFill>
            <w14:solidFill>
              <w14:schemeClr w14:val="tx1"/>
            </w14:solidFill>
          </w14:textFill>
        </w:rPr>
        <w:t>1、3、5、8—温度采集位点；2—有害气体采集位点；4、6、7、9—压力采集位点；10—流量采集位点</w:t>
      </w:r>
    </w:p>
    <w:p>
      <w:pPr>
        <w:jc w:val="center"/>
        <w:rPr>
          <w:rFonts w:cs="Times New Roman"/>
          <w:color w:val="000000" w:themeColor="text1"/>
          <w:lang w:eastAsia="zh-CN"/>
          <w14:textFill>
            <w14:solidFill>
              <w14:schemeClr w14:val="tx1"/>
            </w14:solidFill>
          </w14:textFill>
        </w:rPr>
      </w:pPr>
      <w:r>
        <w:rPr>
          <w:rFonts w:cs="Times New Roman"/>
          <w:color w:val="000000" w:themeColor="text1"/>
          <w:lang w:eastAsia="zh-CN"/>
          <w14:textFill>
            <w14:solidFill>
              <w14:schemeClr w14:val="tx1"/>
            </w14:solidFill>
          </w14:textFill>
        </w:rPr>
        <w:drawing>
          <wp:inline distT="0" distB="0" distL="0" distR="0">
            <wp:extent cx="3078480" cy="1558925"/>
            <wp:effectExtent l="0" t="0" r="7620" b="3175"/>
            <wp:docPr id="1215074219" name="图片 3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74219" name="图片 39" descr="图示, 工程绘图&#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78480" cy="1558925"/>
                    </a:xfrm>
                    <a:prstGeom prst="rect">
                      <a:avLst/>
                    </a:prstGeom>
                    <a:noFill/>
                    <a:ln>
                      <a:noFill/>
                    </a:ln>
                  </pic:spPr>
                </pic:pic>
              </a:graphicData>
            </a:graphic>
          </wp:inline>
        </w:drawing>
      </w:r>
    </w:p>
    <w:p>
      <w:pPr>
        <w:pStyle w:val="6"/>
        <w:ind w:firstLine="120"/>
        <w:jc w:val="center"/>
        <w:rPr>
          <w:rFonts w:ascii="Times New Roman" w:hAnsi="Times New Roman" w:cs="Times New Roman" w:eastAsiaTheme="majorEastAsia"/>
          <w:b/>
          <w:bCs/>
          <w:color w:val="000000" w:themeColor="text1"/>
          <w:sz w:val="21"/>
          <w:szCs w:val="21"/>
          <w14:textFill>
            <w14:solidFill>
              <w14:schemeClr w14:val="tx1"/>
            </w14:solidFill>
          </w14:textFill>
        </w:rPr>
      </w:pPr>
      <w:r>
        <w:rPr>
          <w:rFonts w:ascii="Times New Roman" w:hAnsi="Times New Roman" w:cs="Times New Roman" w:eastAsiaTheme="majorEastAsia"/>
          <w:b/>
          <w:bCs/>
          <w:color w:val="000000" w:themeColor="text1"/>
          <w:sz w:val="21"/>
          <w:szCs w:val="21"/>
          <w14:textFill>
            <w14:solidFill>
              <w14:schemeClr w14:val="tx1"/>
            </w14:solidFill>
          </w14:textFill>
        </w:rPr>
        <w:t xml:space="preserve">图 </w:t>
      </w:r>
      <w:r>
        <w:rPr>
          <w:rFonts w:hint="eastAsia" w:ascii="Times New Roman" w:hAnsi="Times New Roman" w:cs="Times New Roman" w:eastAsiaTheme="majorEastAsia"/>
          <w:b/>
          <w:bCs/>
          <w:color w:val="000000" w:themeColor="text1"/>
          <w:sz w:val="21"/>
          <w:szCs w:val="21"/>
          <w14:textFill>
            <w14:solidFill>
              <w14:schemeClr w14:val="tx1"/>
            </w14:solidFill>
          </w14:textFill>
        </w:rPr>
        <w:t>9.3.2-4</w:t>
      </w:r>
      <w:r>
        <w:rPr>
          <w:rFonts w:ascii="Times New Roman" w:hAnsi="Times New Roman" w:cs="Times New Roman" w:eastAsiaTheme="majorEastAsia"/>
          <w:b/>
          <w:bCs/>
          <w:color w:val="000000" w:themeColor="text1"/>
          <w:sz w:val="21"/>
          <w:szCs w:val="21"/>
          <w14:textFill>
            <w14:solidFill>
              <w14:schemeClr w14:val="tx1"/>
            </w14:solidFill>
          </w14:textFill>
        </w:rPr>
        <w:t xml:space="preserve"> 常温固化施工在线监测布点示意图</w:t>
      </w:r>
    </w:p>
    <w:p>
      <w:pPr>
        <w:pStyle w:val="6"/>
        <w:ind w:firstLine="120"/>
        <w:jc w:val="center"/>
        <w:rPr>
          <w:rFonts w:ascii="Times New Roman" w:hAnsi="Times New Roman" w:cs="Times New Roman" w:eastAsiaTheme="majorEastAsia"/>
          <w:b/>
          <w:bCs/>
          <w:color w:val="000000" w:themeColor="text1"/>
          <w:sz w:val="21"/>
          <w:szCs w:val="21"/>
          <w14:textFill>
            <w14:solidFill>
              <w14:schemeClr w14:val="tx1"/>
            </w14:solidFill>
          </w14:textFill>
        </w:rPr>
      </w:pPr>
      <w:r>
        <w:rPr>
          <w:rFonts w:ascii="Times New Roman" w:hAnsi="Times New Roman" w:cs="Times New Roman" w:eastAsiaTheme="majorEastAsia"/>
          <w:b/>
          <w:bCs/>
          <w:color w:val="000000" w:themeColor="text1"/>
          <w:sz w:val="21"/>
          <w:szCs w:val="21"/>
          <w14:textFill>
            <w14:solidFill>
              <w14:schemeClr w14:val="tx1"/>
            </w14:solidFill>
          </w14:textFill>
        </w:rPr>
        <w:t>1、4、5、7、8—温度采集位点；2—有害气体采集位点；3、10—流量采集位点；6、9—压力采集位点</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.3.4</w:t>
      </w:r>
      <w:r>
        <w:rPr>
          <w:rFonts w:cs="Times New Roman" w:eastAsiaTheme="minorEastAsia"/>
          <w:color w:val="000000" w:themeColor="text1"/>
          <w:sz w:val="21"/>
          <w:lang w:eastAsia="zh-CN"/>
          <w14:textFill>
            <w14:solidFill>
              <w14:schemeClr w14:val="tx1"/>
            </w14:solidFill>
          </w14:textFill>
        </w:rPr>
        <w:t xml:space="preserve"> 原位固化修复工程涉及多种传感器，在传感器和系统之间进行通信，就需要一种共同的接口，所以要统一传感器的编码格式。离线存储是为了防止不可抗力导致数据丢失的功能。</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.3.8</w:t>
      </w:r>
      <w:r>
        <w:rPr>
          <w:rFonts w:cs="Times New Roman" w:eastAsiaTheme="minorEastAsia"/>
          <w:color w:val="000000" w:themeColor="text1"/>
          <w:sz w:val="21"/>
          <w:lang w:eastAsia="zh-CN"/>
          <w14:textFill>
            <w14:solidFill>
              <w14:schemeClr w14:val="tx1"/>
            </w14:solidFill>
          </w14:textFill>
        </w:rPr>
        <w:t xml:space="preserve"> 原管道中结构性和功能性缺陷包括破裂、变形、腐蚀错口、起伏、脱节、接口材料脱落、支管暗接、渗漏，以及沉积、结垢、树根、残墙、坝根、障碍物、浮渣等。以上缺陷均作为修复管段视频监测的对象。</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.3.9 </w:t>
      </w:r>
      <w:r>
        <w:rPr>
          <w:rFonts w:cs="Times New Roman" w:eastAsiaTheme="minorEastAsia"/>
          <w:color w:val="000000" w:themeColor="text1"/>
          <w:sz w:val="21"/>
          <w:lang w:eastAsia="zh-CN"/>
          <w14:textFill>
            <w14:solidFill>
              <w14:schemeClr w14:val="tx1"/>
            </w14:solidFill>
          </w14:textFill>
        </w:rPr>
        <w:t>《城镇排水水质水量在线监测系统技术要求》CJ/T252-2011规定了城镇排水自动监测系统的构成及功能、现场监测站设备及在线监测器配置、设备的技术要求、运行管理的技术要求与监测数据的质量。</w:t>
      </w:r>
    </w:p>
    <w:p>
      <w:pPr>
        <w:pStyle w:val="3"/>
        <w:ind w:firstLine="560"/>
      </w:pPr>
      <w:bookmarkStart w:id="452" w:name="_Toc196295180"/>
      <w:bookmarkStart w:id="453" w:name="_Toc196377677"/>
      <w:bookmarkStart w:id="454" w:name="_Toc196915277"/>
      <w:bookmarkStart w:id="455" w:name="_Toc196750466"/>
      <w:bookmarkStart w:id="456" w:name="_Toc187611902"/>
      <w:r>
        <w:rPr>
          <w:rFonts w:hint="eastAsia"/>
        </w:rPr>
        <w:t>9</w:t>
      </w:r>
      <w:r>
        <w:t>.4 在线监测设备</w:t>
      </w:r>
      <w:bookmarkEnd w:id="452"/>
      <w:bookmarkEnd w:id="453"/>
      <w:bookmarkEnd w:id="454"/>
      <w:bookmarkEnd w:id="455"/>
      <w:bookmarkEnd w:id="456"/>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.4.1</w:t>
      </w:r>
      <w:r>
        <w:rPr>
          <w:rFonts w:cs="Times New Roman" w:eastAsiaTheme="minorEastAsia"/>
          <w:color w:val="000000" w:themeColor="text1"/>
          <w:sz w:val="21"/>
          <w:lang w:eastAsia="zh-CN"/>
          <w14:textFill>
            <w14:solidFill>
              <w14:schemeClr w14:val="tx1"/>
            </w14:solidFill>
          </w14:textFill>
        </w:rPr>
        <w:t xml:space="preserve">  在线监测具有很强的系统性，对于不同的监测目标，需要对雨量、水量、有毒有害气体等多项指标进行监测。针对不同的监测指标和要求，选择不同类型的在线监测设备。</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w:t>
      </w:r>
      <w:r>
        <w:rPr>
          <w:rFonts w:hint="eastAsia" w:cs="Times New Roman" w:eastAsiaTheme="minorEastAsia"/>
          <w:b/>
          <w:bCs/>
          <w:color w:val="000000" w:themeColor="text1"/>
          <w:sz w:val="21"/>
          <w:lang w:eastAsia="zh-CN"/>
          <w14:textFill>
            <w14:solidFill>
              <w14:schemeClr w14:val="tx1"/>
            </w14:solidFill>
          </w14:textFill>
        </w:rPr>
        <w:t>4.3</w:t>
      </w:r>
      <w:r>
        <w:rPr>
          <w:rFonts w:cs="Times New Roman" w:eastAsiaTheme="minorEastAsia"/>
          <w:color w:val="000000" w:themeColor="text1"/>
          <w:sz w:val="21"/>
          <w:lang w:eastAsia="zh-CN"/>
          <w14:textFill>
            <w14:solidFill>
              <w14:schemeClr w14:val="tx1"/>
            </w14:solidFill>
          </w14:textFill>
        </w:rPr>
        <w:t xml:space="preserve"> 市政排水管道属于地下工程，运行环境、工况复杂，在线监测设备的选择应便于在监测点位进行快速安装与调试。其中，水量监测设备应适应非满流、满管、浅流、逆流等实际工况。在线监测不仅要收集数据，还需要利用实时数据进行预警报警，因此需要具备高稳定性，能够持续收集数据;为了建立统一的监测系统，实现软硬一体，对实时数据进行分析处理，实现智能报警等功能。</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.4.3</w:t>
      </w:r>
      <w:r>
        <w:rPr>
          <w:rFonts w:cs="Times New Roman" w:eastAsiaTheme="minorEastAsia"/>
          <w:color w:val="000000" w:themeColor="text1"/>
          <w:sz w:val="21"/>
          <w:lang w:eastAsia="zh-CN"/>
          <w14:textFill>
            <w14:solidFill>
              <w14:schemeClr w14:val="tx1"/>
            </w14:solidFill>
          </w14:textFill>
        </w:rPr>
        <w:t xml:space="preserve"> 本条对防护等级进行规定。在线监测设备有些需要安装于管道内或井下，日常运行环境湿度大，当管道负荷增大时，设备存在与水接触甚至被淹没的可能性，在此条件下仍需要保障设备能够正常工作，就需要设备达到最高级别的防水等级标准IP68。设备室外安装部分被水流淹没的可能性较小，主要是防护日常降雨和空气颗粒物等，防护等级的要求适当降低，达到IP65即可。</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.4.4</w:t>
      </w:r>
      <w:r>
        <w:rPr>
          <w:rFonts w:cs="Times New Roman" w:eastAsiaTheme="minorEastAsia"/>
          <w:color w:val="000000" w:themeColor="text1"/>
          <w:sz w:val="21"/>
          <w:lang w:eastAsia="zh-CN"/>
          <w14:textFill>
            <w14:solidFill>
              <w14:schemeClr w14:val="tx1"/>
            </w14:solidFill>
          </w14:textFill>
        </w:rPr>
        <w:t xml:space="preserve"> 本条对密闭空间安装设备的防爆要求进行规定。地下管网管线长、结构复杂、环境恶劣，管道中生活污水、工业废水中所含的有机和无机物质在密闭的条件下极易发生复杂的物理、化学、生物反应，产生易燃易爆气体，所以对在线监测设备要求有安全防爆的能力，即在规定的工作场景下，正常工作或规定的故障状态下产生的电火花或热效应均不能点燃规定的爆炸性混合物。在线监测设备宜达到本质安全防爆等级，以是否通过IECEX、NEPSI、ATEX等的防爆认证为准，并验证防爆型式是否为本质安全型。如:IECEX的防爆等级为EXiaIICT3Ga的为本质安全防爆。</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.4.5</w:t>
      </w:r>
      <w:r>
        <w:rPr>
          <w:rFonts w:cs="Times New Roman" w:eastAsiaTheme="minorEastAsia"/>
          <w:color w:val="000000" w:themeColor="text1"/>
          <w:sz w:val="21"/>
          <w:lang w:eastAsia="zh-CN"/>
          <w14:textFill>
            <w14:solidFill>
              <w14:schemeClr w14:val="tx1"/>
            </w14:solidFill>
          </w14:textFill>
        </w:rPr>
        <w:t xml:space="preserve"> 并不是所有点位都适合采用市电供电，为支持不同点位的监测需求，监测设备应能够进行自供电，避免现场供电带来的不便。其中，并下安装的设备，电池宜选用防爆电池供电。</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.4.6 </w:t>
      </w:r>
      <w:r>
        <w:rPr>
          <w:rFonts w:cs="Times New Roman" w:eastAsiaTheme="minorEastAsia"/>
          <w:color w:val="000000" w:themeColor="text1"/>
          <w:sz w:val="21"/>
          <w:lang w:eastAsia="zh-CN"/>
          <w14:textFill>
            <w14:solidFill>
              <w14:schemeClr w14:val="tx1"/>
            </w14:solidFill>
          </w14:textFill>
        </w:rPr>
        <w:t>考虑到数据的持续性，为避免在断电情况下数据丢失，需要设备具有掉电保护功能。</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.4.7</w:t>
      </w:r>
      <w:r>
        <w:rPr>
          <w:rFonts w:cs="Times New Roman" w:eastAsiaTheme="minorEastAsia"/>
          <w:color w:val="000000" w:themeColor="text1"/>
          <w:sz w:val="21"/>
          <w:lang w:eastAsia="zh-CN"/>
          <w14:textFill>
            <w14:solidFill>
              <w14:schemeClr w14:val="tx1"/>
            </w14:solidFill>
          </w14:textFill>
        </w:rPr>
        <w:t xml:space="preserve"> 在线监测设备对监测点位数据进行采集后，需要对数据进行传输，基于临时监测、轮换监测等监测方式对设备便携性、可移动性的考虑、建议优先采用无线网络的通信方式，减少对安装环境的限制，避免额外铺设网线等工作;在没有无线信号覆盖的区域，或者有线网络接人方便且不影响设备可移动性的情况下，可以采用有线网络。</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.4.9 </w:t>
      </w:r>
      <w:r>
        <w:rPr>
          <w:rFonts w:cs="Times New Roman" w:eastAsiaTheme="minorEastAsia"/>
          <w:color w:val="000000" w:themeColor="text1"/>
          <w:sz w:val="21"/>
          <w:lang w:eastAsia="zh-CN"/>
          <w14:textFill>
            <w14:solidFill>
              <w14:schemeClr w14:val="tx1"/>
            </w14:solidFill>
          </w14:textFill>
        </w:rPr>
        <w:t>在线监测设备采集的数据具有非常高的时效性，不同时间所采集的数据，代表性也不同。因此，监测设备应具备时间校对功能，确保数据采集时间的准确性。同时低电量报警功能便于工作人员及时更换电池。</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.4.11</w:t>
      </w:r>
      <w:r>
        <w:rPr>
          <w:rFonts w:cs="Times New Roman" w:eastAsiaTheme="minorEastAsia"/>
          <w:color w:val="000000" w:themeColor="text1"/>
          <w:sz w:val="21"/>
          <w:lang w:eastAsia="zh-CN"/>
          <w14:textFill>
            <w14:solidFill>
              <w14:schemeClr w14:val="tx1"/>
            </w14:solidFill>
          </w14:textFill>
        </w:rPr>
        <w:t xml:space="preserve"> 在线监测设备对监测点位数据采集后，需要将采集到的数据上传到上位机，可采取无线传输、以太网传输和有线传输的方式:无线传输可以通过NB-1oT、蓝牙、4G/5G等方式进行信息传递。NB-Io为窄带物联网(万物互联网络的一个重要分支)。NB-LoT 构建于蜂窝网络，只消耗大约180kHz的带宽，可直接部署于 GSM 网络、UMTS 网络或 LTE 网络，以降低部署成本，其特点为低功耗、广覆盖、大连接。蓝牙是一种支持设备短距离通信(-般10m内)的无线电技术，能在设备间实现方便快捷，灵活安全、低成本、低功耗的数据通信和语音通信。4G/5G技术为当今应用最多的技术，信息传输应用较多，且目前5G技术传输速度更快，便于在线系统的实时显示。以太网是最早的局域网也是目前应用最为广泛的局域网，其核心技术是CSMA/CD，采用冲突检测功能的载波监听多路访问介质访问控制方法。以太网使用的局域网标准是IEEE802.3，它定义了CSMA/CD 总线介质层与物理层规范。以太网所使用的传输介质包括同轴电缆、双绞线和光纤，可以更好地避免干扰。在没有无线网络的范围区域，可以采用有线方式，其传输过程中数据包的丢失更少，更加稳定。</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.4.12</w:t>
      </w:r>
      <w:r>
        <w:rPr>
          <w:rFonts w:cs="Times New Roman" w:eastAsiaTheme="minorEastAsia"/>
          <w:color w:val="000000" w:themeColor="text1"/>
          <w:sz w:val="21"/>
          <w:lang w:eastAsia="zh-CN"/>
          <w14:textFill>
            <w14:solidFill>
              <w14:schemeClr w14:val="tx1"/>
            </w14:solidFill>
          </w14:textFill>
        </w:rPr>
        <w:t xml:space="preserve"> 数据管理系统应对监测数据进行判断，对于无效数据(如超量程、掉电期间的数据、急剧上升或下降等)应进行筛选和标记，由专业人员对数据进行检查，确定是否可以纳入数据库。</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.4.13</w:t>
      </w:r>
      <w:r>
        <w:rPr>
          <w:rFonts w:cs="Times New Roman" w:eastAsiaTheme="minorEastAsia"/>
          <w:color w:val="000000" w:themeColor="text1"/>
          <w:sz w:val="21"/>
          <w:lang w:eastAsia="zh-CN"/>
          <w14:textFill>
            <w14:solidFill>
              <w14:schemeClr w14:val="tx1"/>
            </w14:solidFill>
          </w14:textFill>
        </w:rPr>
        <w:t xml:space="preserve"> 管道非开挖修复属于地下工程，排水管道内空气潮湿微生物较多，腐蚀性强，在雨季，采集设备还有被雨水淹没的可能。为了增强采集设备的耐用性，其安装应满足《自动化仪表工程施工及质量验收规范》GB 50093 的规定，以对设备进行保护。</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.4.14</w:t>
      </w:r>
      <w:r>
        <w:rPr>
          <w:rFonts w:cs="Times New Roman" w:eastAsiaTheme="minorEastAsia"/>
          <w:color w:val="000000" w:themeColor="text1"/>
          <w:sz w:val="21"/>
          <w:lang w:eastAsia="zh-CN"/>
          <w14:textFill>
            <w14:solidFill>
              <w14:schemeClr w14:val="tx1"/>
            </w14:solidFill>
          </w14:textFill>
        </w:rPr>
        <w:t xml:space="preserve"> 在线采集设备并不是所有点位都适合采用市电供电，为支持不同点位的监测需求，监测设备应能够进行自供电，避免现场供电带来的不便。因管道内潮湿且部分采集设备表面为金属导体，容易被雷击，为保护设备，其防雷等级应不低于3级。</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4.15 </w:t>
      </w:r>
      <w:r>
        <w:rPr>
          <w:rFonts w:cs="Times New Roman" w:eastAsiaTheme="minorEastAsia"/>
          <w:color w:val="000000" w:themeColor="text1"/>
          <w:sz w:val="21"/>
          <w:lang w:eastAsia="zh-CN"/>
          <w14:textFill>
            <w14:solidFill>
              <w14:schemeClr w14:val="tx1"/>
            </w14:solidFill>
          </w14:textFill>
        </w:rPr>
        <w:t>在线采集设备安装完成后，为检测系统的功能，应现场对数字化信息系统的功能进行测试，并对其布点的安全性进行检测。</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.4.16 </w:t>
      </w:r>
      <w:r>
        <w:rPr>
          <w:rFonts w:cs="Times New Roman" w:eastAsiaTheme="minorEastAsia"/>
          <w:color w:val="000000" w:themeColor="text1"/>
          <w:sz w:val="21"/>
          <w:lang w:eastAsia="zh-CN"/>
          <w14:textFill>
            <w14:solidFill>
              <w14:schemeClr w14:val="tx1"/>
            </w14:solidFill>
          </w14:textFill>
        </w:rPr>
        <w:t>在线监测设备大多位于地下，环境复杂，在潮环境和微生物的腐蚀下，设备容易受损，所以应定期对设备进行维护校验，以保证采集到的数据真实可靠。</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.4.17 </w:t>
      </w:r>
      <w:r>
        <w:rPr>
          <w:rFonts w:cs="Times New Roman" w:eastAsiaTheme="minorEastAsia"/>
          <w:color w:val="000000" w:themeColor="text1"/>
          <w:sz w:val="21"/>
          <w:lang w:eastAsia="zh-CN"/>
          <w14:textFill>
            <w14:solidFill>
              <w14:schemeClr w14:val="tx1"/>
            </w14:solidFill>
          </w14:textFill>
        </w:rPr>
        <w:t>为了适应不同监测点位的需求，考虑到并非所有点位都能方便使用市电供电，监测设备应具备自供电功能，以避免依赖现场供电所带来的不便。</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.4.18 </w:t>
      </w:r>
      <w:r>
        <w:rPr>
          <w:rFonts w:cs="Times New Roman" w:eastAsiaTheme="minorEastAsia"/>
          <w:color w:val="000000" w:themeColor="text1"/>
          <w:sz w:val="21"/>
          <w:lang w:eastAsia="zh-CN"/>
          <w14:textFill>
            <w14:solidFill>
              <w14:schemeClr w14:val="tx1"/>
            </w14:solidFill>
          </w14:textFill>
        </w:rPr>
        <w:t>视频监测设备应能采集高清图像，应符合表</w:t>
      </w:r>
      <w:r>
        <w:rPr>
          <w:rFonts w:hint="eastAsia" w:cs="Times New Roman" w:eastAsiaTheme="minorEastAsia"/>
          <w:color w:val="000000" w:themeColor="text1"/>
          <w:sz w:val="21"/>
          <w:lang w:eastAsia="zh-CN"/>
          <w14:textFill>
            <w14:solidFill>
              <w14:schemeClr w14:val="tx1"/>
            </w14:solidFill>
          </w14:textFill>
        </w:rPr>
        <w:t>9</w:t>
      </w:r>
      <w:r>
        <w:rPr>
          <w:rFonts w:cs="Times New Roman" w:eastAsiaTheme="minorEastAsia"/>
          <w:color w:val="000000" w:themeColor="text1"/>
          <w:sz w:val="21"/>
          <w:lang w:eastAsia="zh-CN"/>
          <w14:textFill>
            <w14:solidFill>
              <w14:schemeClr w14:val="tx1"/>
            </w14:solidFill>
          </w14:textFill>
        </w:rPr>
        <w:t>.4.18 的要求及以上的高清摄像头。音频资料可作为排水管理决策的支撑，有条件的应同步采集声音信息。</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.4.19</w:t>
      </w:r>
      <w:r>
        <w:rPr>
          <w:rFonts w:cs="Times New Roman" w:eastAsiaTheme="minorEastAsia"/>
          <w:color w:val="000000" w:themeColor="text1"/>
          <w:sz w:val="21"/>
          <w:lang w:eastAsia="zh-CN"/>
          <w14:textFill>
            <w14:solidFill>
              <w14:schemeClr w14:val="tx1"/>
            </w14:solidFill>
          </w14:textFill>
        </w:rPr>
        <w:t xml:space="preserve"> 夜间光线较暗，会影响视频、图像信息的清晰度，因此，视频监测设备应配有自动控制的红外灯，能够在光线较差的条件下进行补光，根据摄像机焦距白动切换远近红外灯并自动调节。</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w:t>
      </w:r>
      <w:r>
        <w:rPr>
          <w:rFonts w:hint="eastAsia" w:cs="Times New Roman" w:eastAsiaTheme="minorEastAsia"/>
          <w:b/>
          <w:bCs/>
          <w:color w:val="000000" w:themeColor="text1"/>
          <w:sz w:val="21"/>
          <w:lang w:eastAsia="zh-CN"/>
          <w14:textFill>
            <w14:solidFill>
              <w14:schemeClr w14:val="tx1"/>
            </w14:solidFill>
          </w14:textFill>
        </w:rPr>
        <w:t>4.2</w:t>
      </w:r>
      <w:r>
        <w:rPr>
          <w:rFonts w:cs="Times New Roman" w:eastAsiaTheme="minorEastAsia"/>
          <w:b/>
          <w:bCs/>
          <w:color w:val="000000" w:themeColor="text1"/>
          <w:sz w:val="21"/>
          <w:lang w:eastAsia="zh-CN"/>
          <w14:textFill>
            <w14:solidFill>
              <w14:schemeClr w14:val="tx1"/>
            </w14:solidFill>
          </w14:textFill>
        </w:rPr>
        <w:t>0</w:t>
      </w:r>
      <w:r>
        <w:rPr>
          <w:rFonts w:cs="Times New Roman" w:eastAsiaTheme="minorEastAsia"/>
          <w:color w:val="000000" w:themeColor="text1"/>
          <w:sz w:val="21"/>
          <w:lang w:eastAsia="zh-CN"/>
          <w14:textFill>
            <w14:solidFill>
              <w14:schemeClr w14:val="tx1"/>
            </w14:solidFill>
          </w14:textFill>
        </w:rPr>
        <w:t xml:space="preserve"> 在进行视频设备安装时、应选择最佳安装角度、以能够直接捕捉所关注的点位图像，但在实际运行工况下，位置有可能发生改变，摄像机应具有一定的旋转范围，才能全面捕捉图像避免存在监测育区而导致信息的遗漏。</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w:t>
      </w:r>
      <w:r>
        <w:rPr>
          <w:rFonts w:hint="eastAsia" w:cs="Times New Roman" w:eastAsiaTheme="minorEastAsia"/>
          <w:b/>
          <w:bCs/>
          <w:color w:val="000000" w:themeColor="text1"/>
          <w:sz w:val="21"/>
          <w:lang w:eastAsia="zh-CN"/>
          <w14:textFill>
            <w14:solidFill>
              <w14:schemeClr w14:val="tx1"/>
            </w14:solidFill>
          </w14:textFill>
        </w:rPr>
        <w:t>4.2</w:t>
      </w:r>
      <w:r>
        <w:rPr>
          <w:rFonts w:cs="Times New Roman" w:eastAsiaTheme="minorEastAsia"/>
          <w:b/>
          <w:bCs/>
          <w:color w:val="000000" w:themeColor="text1"/>
          <w:sz w:val="21"/>
          <w:lang w:eastAsia="zh-CN"/>
          <w14:textFill>
            <w14:solidFill>
              <w14:schemeClr w14:val="tx1"/>
            </w14:solidFill>
          </w14:textFill>
        </w:rPr>
        <w:t>1</w:t>
      </w:r>
      <w:r>
        <w:rPr>
          <w:rFonts w:cs="Times New Roman" w:eastAsiaTheme="minorEastAsia"/>
          <w:color w:val="000000" w:themeColor="text1"/>
          <w:sz w:val="21"/>
          <w:lang w:eastAsia="zh-CN"/>
          <w14:textFill>
            <w14:solidFill>
              <w14:schemeClr w14:val="tx1"/>
            </w14:solidFill>
          </w14:textFill>
        </w:rPr>
        <w:t xml:space="preserve"> 本条对设备存储容量进行规定根据管理需求，监测设备需要长时间处于工作状态，并持续收集视频信息，若网络出现故障则无法及时传输，为保障历史信息不丢失，视频监测设备应具有一定容量的本地存储功能，考虑目前大多数设备的性能以及现有需求，应至少保障存储 30d视频数据的容量，随着设备技术进步，本地存储容量要求可进一步提升。</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w:t>
      </w:r>
      <w:r>
        <w:rPr>
          <w:rFonts w:hint="eastAsia" w:cs="Times New Roman" w:eastAsiaTheme="minorEastAsia"/>
          <w:b/>
          <w:bCs/>
          <w:color w:val="000000" w:themeColor="text1"/>
          <w:sz w:val="21"/>
          <w:lang w:eastAsia="zh-CN"/>
          <w14:textFill>
            <w14:solidFill>
              <w14:schemeClr w14:val="tx1"/>
            </w14:solidFill>
          </w14:textFill>
        </w:rPr>
        <w:t>4.2</w:t>
      </w:r>
      <w:r>
        <w:rPr>
          <w:rFonts w:cs="Times New Roman" w:eastAsiaTheme="minorEastAsia"/>
          <w:b/>
          <w:bCs/>
          <w:color w:val="000000" w:themeColor="text1"/>
          <w:sz w:val="21"/>
          <w:lang w:eastAsia="zh-CN"/>
          <w14:textFill>
            <w14:solidFill>
              <w14:schemeClr w14:val="tx1"/>
            </w14:solidFill>
          </w14:textFill>
        </w:rPr>
        <w:t xml:space="preserve">2 </w:t>
      </w:r>
      <w:r>
        <w:rPr>
          <w:rFonts w:cs="Times New Roman" w:eastAsiaTheme="minorEastAsia"/>
          <w:color w:val="000000" w:themeColor="text1"/>
          <w:sz w:val="21"/>
          <w:lang w:eastAsia="zh-CN"/>
          <w14:textFill>
            <w14:solidFill>
              <w14:schemeClr w14:val="tx1"/>
            </w14:solidFill>
          </w14:textFill>
        </w:rPr>
        <w:t>网络摄像机是视频技术的发展趋势网络摄像机只要利用现有的网络就可以使用，降低了对安装环境的要求网络摄像机可实时、连续地传输图像，甚至可以在那些不适宜布线的环境中，使用无线宽带网络完成远端监控及录影。采用数字视频方式传输，在监控点前端进行数字编码，数字传输的视频信号经解码设备还原为模拟信号后、由模拟显示设备(如电视墙)显示，或由数字用户终端直接显示利用网络优势，经过数字化并压缩后的图像数据可以传输至网络能到达的地方，实现远程监控。</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w:t>
      </w:r>
      <w:r>
        <w:rPr>
          <w:rFonts w:hint="eastAsia" w:cs="Times New Roman" w:eastAsiaTheme="minorEastAsia"/>
          <w:b/>
          <w:bCs/>
          <w:color w:val="000000" w:themeColor="text1"/>
          <w:sz w:val="21"/>
          <w:lang w:eastAsia="zh-CN"/>
          <w14:textFill>
            <w14:solidFill>
              <w14:schemeClr w14:val="tx1"/>
            </w14:solidFill>
          </w14:textFill>
        </w:rPr>
        <w:t>4.2</w:t>
      </w:r>
      <w:r>
        <w:rPr>
          <w:rFonts w:cs="Times New Roman" w:eastAsiaTheme="minorEastAsia"/>
          <w:b/>
          <w:bCs/>
          <w:color w:val="000000" w:themeColor="text1"/>
          <w:sz w:val="21"/>
          <w:lang w:eastAsia="zh-CN"/>
          <w14:textFill>
            <w14:solidFill>
              <w14:schemeClr w14:val="tx1"/>
            </w14:solidFill>
          </w14:textFill>
        </w:rPr>
        <w:t>3</w:t>
      </w:r>
      <w:r>
        <w:rPr>
          <w:rFonts w:cs="Times New Roman" w:eastAsiaTheme="minorEastAsia"/>
          <w:color w:val="000000" w:themeColor="text1"/>
          <w:sz w:val="21"/>
          <w:lang w:eastAsia="zh-CN"/>
          <w14:textFill>
            <w14:solidFill>
              <w14:schemeClr w14:val="tx1"/>
            </w14:solidFill>
          </w14:textFill>
        </w:rPr>
        <w:t xml:space="preserve"> 在不方便外接电源的条件下，可利用设备自供电的方式对于网络摄像机还可通过以太网进行供电，而无需单独增加电源、无论采取哪种供电方式，为保障监测设备正常稳定工作，都需要对电源稳定性和安全性进行考虑，除了应符合电乐、电流等供电要求，必须保障不断电，能够实时采集所需视频信息。</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w:t>
      </w:r>
      <w:r>
        <w:rPr>
          <w:rFonts w:hint="eastAsia" w:cs="Times New Roman" w:eastAsiaTheme="minorEastAsia"/>
          <w:b/>
          <w:bCs/>
          <w:color w:val="000000" w:themeColor="text1"/>
          <w:sz w:val="21"/>
          <w:lang w:eastAsia="zh-CN"/>
          <w14:textFill>
            <w14:solidFill>
              <w14:schemeClr w14:val="tx1"/>
            </w14:solidFill>
          </w14:textFill>
        </w:rPr>
        <w:t>4.2</w:t>
      </w:r>
      <w:r>
        <w:rPr>
          <w:rFonts w:cs="Times New Roman" w:eastAsiaTheme="minorEastAsia"/>
          <w:b/>
          <w:bCs/>
          <w:color w:val="000000" w:themeColor="text1"/>
          <w:sz w:val="21"/>
          <w:lang w:eastAsia="zh-CN"/>
          <w14:textFill>
            <w14:solidFill>
              <w14:schemeClr w14:val="tx1"/>
            </w14:solidFill>
          </w14:textFill>
        </w:rPr>
        <w:t>4</w:t>
      </w:r>
      <w:r>
        <w:rPr>
          <w:rFonts w:cs="Times New Roman" w:eastAsiaTheme="minorEastAsia"/>
          <w:color w:val="000000" w:themeColor="text1"/>
          <w:sz w:val="21"/>
          <w:lang w:eastAsia="zh-CN"/>
          <w14:textFill>
            <w14:solidFill>
              <w14:schemeClr w14:val="tx1"/>
            </w14:solidFill>
          </w14:textFill>
        </w:rPr>
        <w:t xml:space="preserve"> 由于排水管网长期处于封闭环境，尤其是污水，其中含有大量杂质并在微生物作用下进行厌氧分解，产生多种有毒有害气体，若发生泄漏，可能危害周围人员的健康;另外，有些气体如甲烷具有可燃性，当浓度达到一定的限值，可能会发生爆炸。因此应对有毒有害和易燃易爆气体进行监测。</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w:t>
      </w:r>
      <w:r>
        <w:rPr>
          <w:rFonts w:hint="eastAsia" w:cs="Times New Roman" w:eastAsiaTheme="minorEastAsia"/>
          <w:b/>
          <w:bCs/>
          <w:color w:val="000000" w:themeColor="text1"/>
          <w:sz w:val="21"/>
          <w:lang w:eastAsia="zh-CN"/>
          <w14:textFill>
            <w14:solidFill>
              <w14:schemeClr w14:val="tx1"/>
            </w14:solidFill>
          </w14:textFill>
        </w:rPr>
        <w:t>4.2</w:t>
      </w:r>
      <w:r>
        <w:rPr>
          <w:rFonts w:cs="Times New Roman" w:eastAsiaTheme="minorEastAsia"/>
          <w:b/>
          <w:bCs/>
          <w:color w:val="000000" w:themeColor="text1"/>
          <w:sz w:val="21"/>
          <w:lang w:eastAsia="zh-CN"/>
          <w14:textFill>
            <w14:solidFill>
              <w14:schemeClr w14:val="tx1"/>
            </w14:solidFill>
          </w14:textFill>
        </w:rPr>
        <w:t>5</w:t>
      </w:r>
      <w:r>
        <w:rPr>
          <w:rFonts w:cs="Times New Roman" w:eastAsiaTheme="minorEastAsia"/>
          <w:color w:val="000000" w:themeColor="text1"/>
          <w:sz w:val="21"/>
          <w:lang w:eastAsia="zh-CN"/>
          <w14:textFill>
            <w14:solidFill>
              <w14:schemeClr w14:val="tx1"/>
            </w14:solidFill>
          </w14:textFill>
        </w:rPr>
        <w:t xml:space="preserve"> 进行气体监测的主要目的在于避免事故的发生，保障人身和财产安全。为实现该监测目的，气体监测设备除了能准确监测气体浓度，还应该在气体浓度超过临界限值时进行及时有效的预警和报警，从而避免事故的发生。</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w:t>
      </w:r>
      <w:r>
        <w:rPr>
          <w:rFonts w:hint="eastAsia" w:cs="Times New Roman" w:eastAsiaTheme="minorEastAsia"/>
          <w:b/>
          <w:bCs/>
          <w:color w:val="000000" w:themeColor="text1"/>
          <w:sz w:val="21"/>
          <w:lang w:eastAsia="zh-CN"/>
          <w14:textFill>
            <w14:solidFill>
              <w14:schemeClr w14:val="tx1"/>
            </w14:solidFill>
          </w14:textFill>
        </w:rPr>
        <w:t>4.2</w:t>
      </w:r>
      <w:r>
        <w:rPr>
          <w:rFonts w:cs="Times New Roman" w:eastAsiaTheme="minorEastAsia"/>
          <w:b/>
          <w:bCs/>
          <w:color w:val="000000" w:themeColor="text1"/>
          <w:sz w:val="21"/>
          <w:lang w:eastAsia="zh-CN"/>
          <w14:textFill>
            <w14:solidFill>
              <w14:schemeClr w14:val="tx1"/>
            </w14:solidFill>
          </w14:textFill>
        </w:rPr>
        <w:t>6</w:t>
      </w:r>
      <w:r>
        <w:rPr>
          <w:rFonts w:cs="Times New Roman" w:eastAsiaTheme="minorEastAsia"/>
          <w:color w:val="000000" w:themeColor="text1"/>
          <w:sz w:val="21"/>
          <w:lang w:eastAsia="zh-CN"/>
          <w14:textFill>
            <w14:solidFill>
              <w14:schemeClr w14:val="tx1"/>
            </w14:solidFill>
          </w14:textFill>
        </w:rPr>
        <w:t xml:space="preserve"> 气体监测设备需要进行井下的安全，环境恶劣，在防爆防潮、防腐等级要求方面都应采取较高标准，以保障设备安全运行。</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w:t>
      </w:r>
      <w:r>
        <w:rPr>
          <w:rFonts w:hint="eastAsia" w:cs="Times New Roman" w:eastAsiaTheme="minorEastAsia"/>
          <w:b/>
          <w:bCs/>
          <w:color w:val="000000" w:themeColor="text1"/>
          <w:sz w:val="21"/>
          <w:lang w:eastAsia="zh-CN"/>
          <w14:textFill>
            <w14:solidFill>
              <w14:schemeClr w14:val="tx1"/>
            </w14:solidFill>
          </w14:textFill>
        </w:rPr>
        <w:t>4.2</w:t>
      </w:r>
      <w:r>
        <w:rPr>
          <w:rFonts w:cs="Times New Roman" w:eastAsiaTheme="minorEastAsia"/>
          <w:b/>
          <w:bCs/>
          <w:color w:val="000000" w:themeColor="text1"/>
          <w:sz w:val="21"/>
          <w:lang w:eastAsia="zh-CN"/>
          <w14:textFill>
            <w14:solidFill>
              <w14:schemeClr w14:val="tx1"/>
            </w14:solidFill>
          </w14:textFill>
        </w:rPr>
        <w:t>7</w:t>
      </w:r>
      <w:r>
        <w:rPr>
          <w:rFonts w:cs="Times New Roman" w:eastAsiaTheme="minorEastAsia"/>
          <w:color w:val="000000" w:themeColor="text1"/>
          <w:sz w:val="21"/>
          <w:lang w:eastAsia="zh-CN"/>
          <w14:textFill>
            <w14:solidFill>
              <w14:schemeClr w14:val="tx1"/>
            </w14:solidFill>
          </w14:textFill>
        </w:rPr>
        <w:t xml:space="preserve"> 不同监测点位的环境及运行工况有所差异，因而气体浓度的范围有一定的差异，主机量程具备可调整的性能就可有更广的适应性。测量的误差根据量程而设定，兼顾测量数据的绝对准确性和工程误差的容错性。在测量频次设定上，实现全网时钟同步，保证所有监测设备时间戳唯一，方便对不同监测数据的管理与分析。</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w:t>
      </w:r>
      <w:r>
        <w:rPr>
          <w:rFonts w:hint="eastAsia" w:cs="Times New Roman" w:eastAsiaTheme="minorEastAsia"/>
          <w:b/>
          <w:bCs/>
          <w:color w:val="000000" w:themeColor="text1"/>
          <w:sz w:val="21"/>
          <w:lang w:eastAsia="zh-CN"/>
          <w14:textFill>
            <w14:solidFill>
              <w14:schemeClr w14:val="tx1"/>
            </w14:solidFill>
          </w14:textFill>
        </w:rPr>
        <w:t>4.2</w:t>
      </w:r>
      <w:r>
        <w:rPr>
          <w:rFonts w:cs="Times New Roman" w:eastAsiaTheme="minorEastAsia"/>
          <w:b/>
          <w:bCs/>
          <w:color w:val="000000" w:themeColor="text1"/>
          <w:sz w:val="21"/>
          <w:lang w:eastAsia="zh-CN"/>
          <w14:textFill>
            <w14:solidFill>
              <w14:schemeClr w14:val="tx1"/>
            </w14:solidFill>
          </w14:textFill>
        </w:rPr>
        <w:t>9</w:t>
      </w:r>
      <w:r>
        <w:rPr>
          <w:rFonts w:cs="Times New Roman" w:eastAsiaTheme="minorEastAsia"/>
          <w:color w:val="000000" w:themeColor="text1"/>
          <w:sz w:val="21"/>
          <w:lang w:eastAsia="zh-CN"/>
          <w14:textFill>
            <w14:solidFill>
              <w14:schemeClr w14:val="tx1"/>
            </w14:solidFill>
          </w14:textFill>
        </w:rPr>
        <w:t xml:space="preserve"> 水量监测指标主要为液位和流量，对应设备为液位计和流量计。由于排水管网实际运行工况复杂，存在浅流(一般指液位低于 5</w:t>
      </w:r>
      <w:r>
        <w:rPr>
          <w:rFonts w:hint="eastAsia" w:cs="Times New Roman" w:eastAsiaTheme="minorEastAsia"/>
          <w:color w:val="000000" w:themeColor="text1"/>
          <w:sz w:val="21"/>
          <w:lang w:eastAsia="zh-CN"/>
          <w14:textFill>
            <w14:solidFill>
              <w14:schemeClr w14:val="tx1"/>
            </w14:solidFill>
          </w14:textFill>
        </w:rPr>
        <w:t>0m</w:t>
      </w:r>
      <w:r>
        <w:rPr>
          <w:rFonts w:cs="Times New Roman" w:eastAsiaTheme="minorEastAsia"/>
          <w:color w:val="000000" w:themeColor="text1"/>
          <w:sz w:val="21"/>
          <w:lang w:eastAsia="zh-CN"/>
          <w14:textFill>
            <w14:solidFill>
              <w14:schemeClr w14:val="tx1"/>
            </w14:solidFill>
          </w14:textFill>
        </w:rPr>
        <w:t>m )、非满流、满流、过载、低流速(流速小于 0.1m/s)等不同的运行状态，在不同状态下都需要收集水量指标的准确数据。受上游管网、下游受纳水体的影响，管网水流可能存在流速低、液位线及逆流、侧流等特殊工况，监测设备都应具有一定的适应性，从而可全面获取排水管网的水量信息。</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.4.30</w:t>
      </w:r>
      <w:r>
        <w:rPr>
          <w:rFonts w:cs="Times New Roman" w:eastAsiaTheme="minorEastAsia"/>
          <w:color w:val="000000" w:themeColor="text1"/>
          <w:sz w:val="21"/>
          <w:lang w:eastAsia="zh-CN"/>
          <w14:textFill>
            <w14:solidFill>
              <w14:schemeClr w14:val="tx1"/>
            </w14:solidFill>
          </w14:textFill>
        </w:rPr>
        <w:t xml:space="preserve"> 在修复工作开展之前需要对修复管段进行通风处理，保持管道内气体流通，从降低管道有毒有害气体浓度和提高氧气浓度、因此，需要风机进行通风工作，并依通风量检测仪确保修复管殷通风充分。由于管道内环境潮湿，污水具有腐蚀性，所以通风监测设备应具备防溯和防腐蚀能力。</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.4.32 </w:t>
      </w:r>
      <w:r>
        <w:rPr>
          <w:rFonts w:cs="Times New Roman" w:eastAsiaTheme="minorEastAsia"/>
          <w:color w:val="000000" w:themeColor="text1"/>
          <w:sz w:val="21"/>
          <w:lang w:eastAsia="zh-CN"/>
          <w14:textFill>
            <w14:solidFill>
              <w14:schemeClr w14:val="tx1"/>
            </w14:solidFill>
          </w14:textFill>
        </w:rPr>
        <w:t>本条规定了水量监测设备的监测误差。水量监测设备监测误差要求的设定，综合考点了排水管网运行规律、设备监测理翻监测要求等多个因素。设备测量精度设置越小，数据获取精度越高，但要考虑监测数据分析的实际需要。在设备分辨率的选择上，应保证设备能监测到大部分数据，过小流速或过低的液位对排水管网整体影响小，且监测难确度降低。</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.4.33</w:t>
      </w:r>
      <w:r>
        <w:rPr>
          <w:rFonts w:cs="Times New Roman" w:eastAsiaTheme="minorEastAsia"/>
          <w:color w:val="000000" w:themeColor="text1"/>
          <w:sz w:val="21"/>
          <w:lang w:eastAsia="zh-CN"/>
          <w14:textFill>
            <w14:solidFill>
              <w14:schemeClr w14:val="tx1"/>
            </w14:solidFill>
          </w14:textFill>
        </w:rPr>
        <w:t xml:space="preserve"> 不条规定了设备的监测阃隔时间。在管道液位监测中通过系统电路和测盘模式优化，可以将监测所需的电耗控制在很低的水平，为证数据的连续性和有效性，提高液位超限值报警的及时姓，宜每分钟监测一次、同时，为了便于数据对比，监测设备可以同步时钟，并在秒时刻到达0时进行监测，这样大量设备的时间戳一致。便于数据对比和指标分析，降低数据指标分析难度。</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4.34</w:t>
      </w:r>
      <w:r>
        <w:rPr>
          <w:rFonts w:cs="Times New Roman" w:eastAsiaTheme="minorEastAsia"/>
          <w:color w:val="000000" w:themeColor="text1"/>
          <w:sz w:val="21"/>
          <w:lang w:eastAsia="zh-CN"/>
          <w14:textFill>
            <w14:solidFill>
              <w14:schemeClr w14:val="tx1"/>
            </w14:solidFill>
          </w14:textFill>
        </w:rPr>
        <w:t xml:space="preserve"> 本条规定了对设备报警功能的要求。为了更好地满足排水设施长期运行规律分析与短时应急事件及时通知的要求管道液依监控应支持动态配置顼警值与报警值，管理者可根据预警和报警需求，动态修改和配置设备的预警值与报警值，为提高工作效率，宜通过通信网络进行数据配置。设备应采用合适的数据发送频率和颠暂报警的通知机制。同时，应具备向手机摊送报警消息的功能，尽可能为公众提供积水风险报警信息，指导公众极端天气情况下的出行，减少事故造成的生命财产损失。</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.4.35</w:t>
      </w:r>
      <w:r>
        <w:rPr>
          <w:rFonts w:cs="Times New Roman" w:eastAsiaTheme="minorEastAsia"/>
          <w:color w:val="000000" w:themeColor="text1"/>
          <w:sz w:val="21"/>
          <w:lang w:eastAsia="zh-CN"/>
          <w14:textFill>
            <w14:solidFill>
              <w14:schemeClr w14:val="tx1"/>
            </w14:solidFill>
          </w14:textFill>
        </w:rPr>
        <w:t xml:space="preserve"> 本条根据原位固化修复工程一般环境温度和相对湿度统计后进行规定。</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.4.37</w:t>
      </w:r>
      <w:r>
        <w:rPr>
          <w:rFonts w:cs="Times New Roman" w:eastAsiaTheme="minorEastAsia"/>
          <w:color w:val="000000" w:themeColor="text1"/>
          <w:sz w:val="21"/>
          <w:lang w:eastAsia="zh-CN"/>
          <w14:textFill>
            <w14:solidFill>
              <w14:schemeClr w14:val="tx1"/>
            </w14:solidFill>
          </w14:textFill>
        </w:rPr>
        <w:t xml:space="preserve"> 目前市政排水管道原位园化修复施工环境最低温度不低于-20℃，所以需要在线温度计能够在-20℃条件下工作。当采用热固化树脂软管施工时，软管温度最高不超过200℃，因此在线温度计应能够在 200℃条件下正常工作。</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.4.38</w:t>
      </w:r>
      <w:r>
        <w:rPr>
          <w:rFonts w:cs="Times New Roman" w:eastAsiaTheme="minorEastAsia"/>
          <w:color w:val="000000" w:themeColor="text1"/>
          <w:sz w:val="21"/>
          <w:lang w:eastAsia="zh-CN"/>
          <w14:textFill>
            <w14:solidFill>
              <w14:schemeClr w14:val="tx1"/>
            </w14:solidFill>
          </w14:textFill>
        </w:rPr>
        <w:t xml:space="preserve"> 在市政排水管道原位固化修复施工过程中，为了确定地下管道缺陷、支管、修复进度等位置信息，需借助位置监测设备。管理者通过数字化信息系统获取实时的时间、经度、纬度、速度、高程和方向的定位信息，并根据需求对指定位置制定修复方案。</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.4.39</w:t>
      </w:r>
      <w:r>
        <w:rPr>
          <w:rFonts w:cs="Times New Roman" w:eastAsiaTheme="minorEastAsia"/>
          <w:color w:val="000000" w:themeColor="text1"/>
          <w:sz w:val="21"/>
          <w:lang w:eastAsia="zh-CN"/>
          <w14:textFill>
            <w14:solidFill>
              <w14:schemeClr w14:val="tx1"/>
            </w14:solidFill>
          </w14:textFill>
        </w:rPr>
        <w:t xml:space="preserve"> 位置监测设备的定位功能应满足以下规定:首先，设备应能够实时提供当前位置信息，并通过无线通信方式上传至数字化信息管理系统。其次，在通信信号中断时，设备需能够以先进先出方式存储不少于 10000条定位信息，并在通信恢复时补报上传。此外，设备应支持时间间隔、距离间隔或外部事件触发的方式上传定位信息，以满足不同应用场景的需求。最后，当监控中心发送实时定位请求时，设备的响应时间不应大于10s，确保监控中心及时获取所需信息，提高系统的实时性和响应性。</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.4.40</w:t>
      </w:r>
      <w:r>
        <w:rPr>
          <w:rFonts w:cs="Times New Roman" w:eastAsiaTheme="minorEastAsia"/>
          <w:color w:val="000000" w:themeColor="text1"/>
          <w:sz w:val="21"/>
          <w:lang w:eastAsia="zh-CN"/>
          <w14:textFill>
            <w14:solidFill>
              <w14:schemeClr w14:val="tx1"/>
            </w14:solidFill>
          </w14:textFill>
        </w:rPr>
        <w:t xml:space="preserve"> 安装区域应远离碰撞、过热和涉水等有害环境，同时建议隐蔽安装，以避免意外损坏或被恶意破坏。此外，设备的安装不得影响正常的施工操作，确保周围环境的正常。这些安装方面的规定，旨在保障位置监测设备在安全、稳定的环境中运行，同时不影响周围施工工程的正常进行，提高设备的可靠性和有效性。</w:t>
      </w:r>
    </w:p>
    <w:p>
      <w:pPr>
        <w:pStyle w:val="3"/>
        <w:ind w:firstLine="560"/>
      </w:pPr>
      <w:bookmarkStart w:id="457" w:name="_Toc196377678"/>
      <w:bookmarkStart w:id="458" w:name="_Toc187611903"/>
      <w:bookmarkStart w:id="459" w:name="_Toc196295181"/>
      <w:bookmarkStart w:id="460" w:name="_Toc196915278"/>
      <w:bookmarkStart w:id="461" w:name="_Toc196750467"/>
      <w:r>
        <w:rPr>
          <w:rFonts w:hint="eastAsia"/>
        </w:rPr>
        <w:t>9</w:t>
      </w:r>
      <w:r>
        <w:t>.5 数据采集与管理</w:t>
      </w:r>
      <w:bookmarkEnd w:id="457"/>
      <w:bookmarkEnd w:id="458"/>
      <w:bookmarkEnd w:id="459"/>
      <w:bookmarkEnd w:id="460"/>
      <w:bookmarkEnd w:id="461"/>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.5.2</w:t>
      </w:r>
      <w:r>
        <w:rPr>
          <w:rFonts w:cs="Times New Roman" w:eastAsiaTheme="minorEastAsia"/>
          <w:color w:val="000000" w:themeColor="text1"/>
          <w:sz w:val="21"/>
          <w:lang w:eastAsia="zh-CN"/>
          <w14:textFill>
            <w14:solidFill>
              <w14:schemeClr w14:val="tx1"/>
            </w14:solidFill>
          </w14:textFill>
        </w:rPr>
        <w:t xml:space="preserve"> 信息系统的数据采集模块包含自动采集和人工采集。自动采集获取在线设备中实时采集的数据，加以审核传输至数字化信息系统，随后对数据进行分类处理并储存;人工采集通过收集记录手册，整理并分类数据后人工审核，再将合理、准确的数据录</w:t>
      </w:r>
      <w:r>
        <w:rPr>
          <w:rFonts w:hint="eastAsia" w:cs="Times New Roman" w:eastAsiaTheme="minorEastAsia"/>
          <w:color w:val="000000" w:themeColor="text1"/>
          <w:sz w:val="21"/>
          <w:lang w:eastAsia="zh-CN"/>
          <w14:textFill>
            <w14:solidFill>
              <w14:schemeClr w14:val="tx1"/>
            </w14:solidFill>
          </w14:textFill>
        </w:rPr>
        <w:t>入</w:t>
      </w:r>
      <w:r>
        <w:rPr>
          <w:rFonts w:cs="Times New Roman" w:eastAsiaTheme="minorEastAsia"/>
          <w:color w:val="000000" w:themeColor="text1"/>
          <w:sz w:val="21"/>
          <w:lang w:eastAsia="zh-CN"/>
          <w14:textFill>
            <w14:solidFill>
              <w14:schemeClr w14:val="tx1"/>
            </w14:solidFill>
          </w14:textFill>
        </w:rPr>
        <w:t>数字化信息系统并储存。数据采集、测量误差的判定和处理应符合《工业物联网数据采集结构化描述规范》GB/T386192020和《测量不确定度评定与表示》JJF1059.1-2012的规定:数据保留位数，应符合国家及行业有关试验规程及施工规范的规定。计算合格率时，小数点后保留一位。数值修正应符合《数值修约规则与极限数值的表示和判定》GB8170-2008的规定。</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.5.3</w:t>
      </w:r>
      <w:r>
        <w:rPr>
          <w:rFonts w:cs="Times New Roman" w:eastAsiaTheme="minorEastAsia"/>
          <w:color w:val="000000" w:themeColor="text1"/>
          <w:sz w:val="21"/>
          <w:lang w:eastAsia="zh-CN"/>
          <w14:textFill>
            <w14:solidFill>
              <w14:schemeClr w14:val="tx1"/>
            </w14:solidFill>
          </w14:textFill>
        </w:rPr>
        <w:t xml:space="preserve"> 视频信息、传感器数据、人工数据可作为管道预处理方法判断依据，也可作为施工验收依据。因此，这些数据信息应能够动态、清晰地呈现出来。</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 xml:space="preserve">.5.7 </w:t>
      </w:r>
      <w:r>
        <w:rPr>
          <w:rFonts w:cs="Times New Roman" w:eastAsiaTheme="minorEastAsia"/>
          <w:color w:val="000000" w:themeColor="text1"/>
          <w:sz w:val="21"/>
          <w:lang w:eastAsia="zh-CN"/>
          <w14:textFill>
            <w14:solidFill>
              <w14:schemeClr w14:val="tx1"/>
            </w14:solidFill>
          </w14:textFill>
        </w:rPr>
        <w:t>检测原有管道信息应符合下列规定：</w:t>
      </w:r>
    </w:p>
    <w:p>
      <w:pPr>
        <w:ind w:firstLine="420"/>
        <w:rPr>
          <w:rFonts w:cs="Times New Roman" w:eastAsiaTheme="minorEastAsia"/>
          <w:color w:val="000000" w:themeColor="text1"/>
          <w:sz w:val="21"/>
          <w:lang w:eastAsia="zh-CN"/>
          <w14:textFill>
            <w14:solidFill>
              <w14:schemeClr w14:val="tx1"/>
            </w14:solidFill>
          </w14:textFill>
        </w:rPr>
      </w:pPr>
      <w:r>
        <w:rPr>
          <w:rFonts w:cs="Times New Roman" w:eastAsiaTheme="minorEastAsia"/>
          <w:color w:val="000000" w:themeColor="text1"/>
          <w:sz w:val="21"/>
          <w:lang w:eastAsia="zh-CN"/>
          <w14:textFill>
            <w14:solidFill>
              <w14:schemeClr w14:val="tx1"/>
            </w14:solidFill>
          </w14:textFill>
        </w:rPr>
        <w:t>1 原有管道视频信息，视频格式宜包括 MP4、AVI；</w:t>
      </w:r>
    </w:p>
    <w:p>
      <w:pPr>
        <w:ind w:firstLine="420"/>
        <w:rPr>
          <w:rFonts w:cs="Times New Roman" w:eastAsiaTheme="minorEastAsia"/>
          <w:color w:val="000000" w:themeColor="text1"/>
          <w:sz w:val="21"/>
          <w:lang w:eastAsia="zh-CN"/>
          <w14:textFill>
            <w14:solidFill>
              <w14:schemeClr w14:val="tx1"/>
            </w14:solidFill>
          </w14:textFill>
        </w:rPr>
      </w:pPr>
      <w:r>
        <w:rPr>
          <w:rFonts w:cs="Times New Roman" w:eastAsiaTheme="minorEastAsia"/>
          <w:color w:val="000000" w:themeColor="text1"/>
          <w:sz w:val="21"/>
          <w:lang w:eastAsia="zh-CN"/>
          <w14:textFill>
            <w14:solidFill>
              <w14:schemeClr w14:val="tx1"/>
            </w14:solidFill>
          </w14:textFill>
        </w:rPr>
        <w:t>2 原有管道缺陷图片，图片格式宜包括 JPEG、PNG。</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.5.8</w:t>
      </w:r>
      <w:r>
        <w:rPr>
          <w:rFonts w:cs="Times New Roman" w:eastAsiaTheme="minorEastAsia"/>
          <w:color w:val="000000" w:themeColor="text1"/>
          <w:sz w:val="21"/>
          <w:lang w:eastAsia="zh-CN"/>
          <w14:textFill>
            <w14:solidFill>
              <w14:schemeClr w14:val="tx1"/>
            </w14:solidFill>
          </w14:textFill>
        </w:rPr>
        <w:t xml:space="preserve"> 应采集电子图纸信息，图纸信息格式宜包括DWG、PDF、PNG。</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.5.11</w:t>
      </w:r>
      <w:r>
        <w:rPr>
          <w:rFonts w:cs="Times New Roman" w:eastAsiaTheme="minorEastAsia"/>
          <w:color w:val="000000" w:themeColor="text1"/>
          <w:sz w:val="21"/>
          <w:lang w:eastAsia="zh-CN"/>
          <w14:textFill>
            <w14:solidFill>
              <w14:schemeClr w14:val="tx1"/>
            </w14:solidFill>
          </w14:textFill>
        </w:rPr>
        <w:t xml:space="preserve"> 确保湿软管存放场地的平整度，避免软管出现“头重脚轻”的问题。对于受温度而发生树脂固化的湿软管，应确保存放场地处于无法使树脂固化的环境温度。</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.5.12</w:t>
      </w:r>
      <w:r>
        <w:rPr>
          <w:rFonts w:cs="Times New Roman" w:eastAsiaTheme="minorEastAsia"/>
          <w:color w:val="000000" w:themeColor="text1"/>
          <w:sz w:val="21"/>
          <w:lang w:eastAsia="zh-CN"/>
          <w14:textFill>
            <w14:solidFill>
              <w14:schemeClr w14:val="tx1"/>
            </w14:solidFill>
          </w14:textFill>
        </w:rPr>
        <w:t xml:space="preserve"> 通过二维码的形式，实现材料数据的“一键式”获取，以满足用户的需求。</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.5.13</w:t>
      </w:r>
      <w:r>
        <w:rPr>
          <w:rFonts w:cs="Times New Roman" w:eastAsiaTheme="minorEastAsia"/>
          <w:color w:val="000000" w:themeColor="text1"/>
          <w:sz w:val="21"/>
          <w:lang w:eastAsia="zh-CN"/>
          <w14:textFill>
            <w14:solidFill>
              <w14:schemeClr w14:val="tx1"/>
            </w14:solidFill>
          </w14:textFill>
        </w:rPr>
        <w:t xml:space="preserve"> 原位固化修复湿软管的温度控制是非常重要的，在酷和严寒的天气下，应监测软管运输过程中的实时温度，以避免软管出现质量问题。</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.5.17</w:t>
      </w:r>
      <w:r>
        <w:rPr>
          <w:rFonts w:cs="Times New Roman" w:eastAsiaTheme="minorEastAsia"/>
          <w:color w:val="000000" w:themeColor="text1"/>
          <w:sz w:val="21"/>
          <w:lang w:eastAsia="zh-CN"/>
          <w14:textFill>
            <w14:solidFill>
              <w14:schemeClr w14:val="tx1"/>
            </w14:solidFill>
          </w14:textFill>
        </w:rPr>
        <w:t xml:space="preserve"> 为确保封堵气囊处于安全工作条件，须采集其工作压力值;有时需进行调水作业，应实时监测液位信息和调水流量，不应影响居民或商业正常用水。</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.5.18</w:t>
      </w:r>
      <w:r>
        <w:rPr>
          <w:rFonts w:cs="Times New Roman" w:eastAsiaTheme="minorEastAsia"/>
          <w:color w:val="000000" w:themeColor="text1"/>
          <w:sz w:val="21"/>
          <w:lang w:eastAsia="zh-CN"/>
          <w14:textFill>
            <w14:solidFill>
              <w14:schemeClr w14:val="tx1"/>
            </w14:solidFill>
          </w14:textFill>
        </w:rPr>
        <w:t xml:space="preserve"> 在使用高压清洗设备对管道进行预处理时，应监测清洗压力避免对原管道造成一次破坏，通过预处理后视频信息判断预处理效果。</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.5.20~</w:t>
      </w:r>
      <w:r>
        <w:rPr>
          <w:rFonts w:hint="eastAsia" w:cs="Times New Roman" w:eastAsiaTheme="minorEastAsia"/>
          <w:b/>
          <w:bCs/>
          <w:color w:val="000000" w:themeColor="text1"/>
          <w:sz w:val="21"/>
          <w:lang w:eastAsia="zh-CN"/>
          <w14:textFill>
            <w14:solidFill>
              <w14:schemeClr w14:val="tx1"/>
            </w14:solidFill>
          </w14:textFill>
        </w:rPr>
        <w:t>9</w:t>
      </w:r>
      <w:r>
        <w:rPr>
          <w:rFonts w:cs="Times New Roman" w:eastAsiaTheme="minorEastAsia"/>
          <w:b/>
          <w:bCs/>
          <w:color w:val="000000" w:themeColor="text1"/>
          <w:sz w:val="21"/>
          <w:lang w:eastAsia="zh-CN"/>
          <w14:textFill>
            <w14:solidFill>
              <w14:schemeClr w14:val="tx1"/>
            </w14:solidFill>
          </w14:textFill>
        </w:rPr>
        <w:t>.5.25</w:t>
      </w:r>
      <w:r>
        <w:rPr>
          <w:rFonts w:cs="Times New Roman" w:eastAsiaTheme="minorEastAsia"/>
          <w:color w:val="000000" w:themeColor="text1"/>
          <w:sz w:val="21"/>
          <w:lang w:eastAsia="zh-CN"/>
          <w14:textFill>
            <w14:solidFill>
              <w14:schemeClr w14:val="tx1"/>
            </w14:solidFill>
          </w14:textFill>
        </w:rPr>
        <w:t xml:space="preserve"> 主要是针对原位固化修复工程需要采集的验收材料和验收数据进行规定。</w:t>
      </w:r>
    </w:p>
    <w:p>
      <w:pPr>
        <w:kinsoku/>
        <w:autoSpaceDE/>
        <w:autoSpaceDN/>
        <w:adjustRightInd/>
        <w:snapToGrid/>
        <w:spacing w:line="240" w:lineRule="auto"/>
        <w:ind w:firstLine="420"/>
        <w:jc w:val="left"/>
        <w:textAlignment w:val="auto"/>
        <w:rPr>
          <w:rFonts w:cs="Times New Roman" w:eastAsiaTheme="minorEastAsia"/>
          <w:color w:val="000000" w:themeColor="text1"/>
          <w:sz w:val="21"/>
          <w:lang w:eastAsia="zh-CN"/>
          <w14:textFill>
            <w14:solidFill>
              <w14:schemeClr w14:val="tx1"/>
            </w14:solidFill>
          </w14:textFill>
        </w:rPr>
      </w:pPr>
      <w:r>
        <w:rPr>
          <w:rFonts w:cs="Times New Roman" w:eastAsiaTheme="minorEastAsia"/>
          <w:color w:val="000000" w:themeColor="text1"/>
          <w:sz w:val="21"/>
          <w:lang w:eastAsia="zh-CN"/>
          <w14:textFill>
            <w14:solidFill>
              <w14:schemeClr w14:val="tx1"/>
            </w14:solidFill>
          </w14:textFill>
        </w:rPr>
        <w:br w:type="page"/>
      </w:r>
    </w:p>
    <w:p>
      <w:pPr>
        <w:pStyle w:val="15"/>
        <w:ind w:firstLine="643"/>
        <w:rPr>
          <w:rFonts w:ascii="Times New Roman" w:hAnsi="Times New Roman" w:eastAsia="黑体" w:cs="Times New Roman"/>
          <w:color w:val="000000" w:themeColor="text1"/>
          <w:lang w:eastAsia="zh-CN"/>
          <w14:textFill>
            <w14:solidFill>
              <w14:schemeClr w14:val="tx1"/>
            </w14:solidFill>
          </w14:textFill>
        </w:rPr>
      </w:pPr>
      <w:bookmarkStart w:id="462" w:name="_Toc187611904"/>
      <w:r>
        <w:rPr>
          <w:rFonts w:hint="eastAsia" w:ascii="Times New Roman" w:hAnsi="Times New Roman" w:eastAsia="黑体" w:cs="Times New Roman"/>
          <w:color w:val="000000" w:themeColor="text1"/>
          <w:lang w:eastAsia="zh-CN"/>
          <w14:textFill>
            <w14:solidFill>
              <w14:schemeClr w14:val="tx1"/>
            </w14:solidFill>
          </w14:textFill>
        </w:rPr>
        <w:t>10</w:t>
      </w:r>
      <w:r>
        <w:rPr>
          <w:rFonts w:ascii="Times New Roman" w:hAnsi="Times New Roman" w:eastAsia="黑体" w:cs="Times New Roman"/>
          <w:color w:val="000000" w:themeColor="text1"/>
          <w:lang w:eastAsia="zh-CN"/>
          <w14:textFill>
            <w14:solidFill>
              <w14:schemeClr w14:val="tx1"/>
            </w14:solidFill>
          </w14:textFill>
        </w:rPr>
        <w:t xml:space="preserve"> 施工安全与环境保护</w:t>
      </w:r>
      <w:bookmarkEnd w:id="462"/>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10</w:t>
      </w:r>
      <w:r>
        <w:rPr>
          <w:rFonts w:cs="Times New Roman" w:eastAsiaTheme="minorEastAsia"/>
          <w:b/>
          <w:bCs/>
          <w:color w:val="000000" w:themeColor="text1"/>
          <w:sz w:val="21"/>
          <w:lang w:eastAsia="zh-CN"/>
          <w14:textFill>
            <w14:solidFill>
              <w14:schemeClr w14:val="tx1"/>
            </w14:solidFill>
          </w14:textFill>
        </w:rPr>
        <w:t>.0.1</w:t>
      </w:r>
      <w:r>
        <w:rPr>
          <w:rFonts w:cs="Times New Roman" w:eastAsiaTheme="minorEastAsia"/>
          <w:color w:val="000000" w:themeColor="text1"/>
          <w:sz w:val="21"/>
          <w:lang w:eastAsia="zh-CN"/>
          <w14:textFill>
            <w14:solidFill>
              <w14:schemeClr w14:val="tx1"/>
            </w14:solidFill>
          </w14:textFill>
        </w:rPr>
        <w:t xml:space="preserve"> 非开挖修复工程需在地面、检查井或需进入管道内操作,应该严格遵守现行行业标准《城镇排水管道维护安全技术规程》CJJ 6和《城镇排水管渠与泵站运行、维护及安全技术规程》CJJ68 中对地面作业、井下作业的通风、气体检测、照明通信等安全措施的详细规定，施工期间必须制定和做好安全防护措施。</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10</w:t>
      </w:r>
      <w:r>
        <w:rPr>
          <w:rFonts w:cs="Times New Roman" w:eastAsiaTheme="minorEastAsia"/>
          <w:b/>
          <w:bCs/>
          <w:color w:val="000000" w:themeColor="text1"/>
          <w:sz w:val="21"/>
          <w:lang w:eastAsia="zh-CN"/>
          <w14:textFill>
            <w14:solidFill>
              <w14:schemeClr w14:val="tx1"/>
            </w14:solidFill>
          </w14:textFill>
        </w:rPr>
        <w:t>.0.5</w:t>
      </w:r>
      <w:r>
        <w:rPr>
          <w:rFonts w:cs="Times New Roman" w:eastAsiaTheme="minorEastAsia"/>
          <w:color w:val="000000" w:themeColor="text1"/>
          <w:sz w:val="21"/>
          <w:lang w:eastAsia="zh-CN"/>
          <w14:textFill>
            <w14:solidFill>
              <w14:schemeClr w14:val="tx1"/>
            </w14:solidFill>
          </w14:textFill>
        </w:rPr>
        <w:t xml:space="preserve"> 作业人员穿戴配有反光标志的安全警示服在进行路面作业能起到明显警示作用,并能与一般人区别开来,可有效地防止交通事故的发生。</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10</w:t>
      </w:r>
      <w:r>
        <w:rPr>
          <w:rFonts w:cs="Times New Roman" w:eastAsiaTheme="minorEastAsia"/>
          <w:b/>
          <w:bCs/>
          <w:color w:val="000000" w:themeColor="text1"/>
          <w:sz w:val="21"/>
          <w:lang w:eastAsia="zh-CN"/>
          <w14:textFill>
            <w14:solidFill>
              <w14:schemeClr w14:val="tx1"/>
            </w14:solidFill>
          </w14:textFill>
        </w:rPr>
        <w:t>.0.9</w:t>
      </w:r>
      <w:r>
        <w:rPr>
          <w:rFonts w:cs="Times New Roman" w:eastAsiaTheme="minorEastAsia"/>
          <w:color w:val="000000" w:themeColor="text1"/>
          <w:sz w:val="21"/>
          <w:lang w:eastAsia="zh-CN"/>
          <w14:textFill>
            <w14:solidFill>
              <w14:schemeClr w14:val="tx1"/>
            </w14:solidFill>
          </w14:textFill>
        </w:rPr>
        <w:t xml:space="preserve"> 下井作业前,施工单位必须先检测管道内气体情况，必须坚持先检测后作业的程序,该规定是作业中预防硫化氢中毒的有效手段,通过气体检测可以使现场作业人员对管道作业环境有一个正确的辨识好认知,以便及时采取安全预防措施,杜绝盲目下井作业。并下有害气体浓度按照行业标准《城镇排水管道维护安全技术规程》CJJ6-2009中表 5.3.3 的规定。</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10</w:t>
      </w:r>
      <w:r>
        <w:rPr>
          <w:rFonts w:cs="Times New Roman" w:eastAsiaTheme="minorEastAsia"/>
          <w:b/>
          <w:bCs/>
          <w:color w:val="000000" w:themeColor="text1"/>
          <w:sz w:val="21"/>
          <w:lang w:eastAsia="zh-CN"/>
          <w14:textFill>
            <w14:solidFill>
              <w14:schemeClr w14:val="tx1"/>
            </w14:solidFill>
          </w14:textFill>
        </w:rPr>
        <w:t>.0.10</w:t>
      </w:r>
      <w:r>
        <w:rPr>
          <w:rFonts w:cs="Times New Roman" w:eastAsiaTheme="minorEastAsia"/>
          <w:color w:val="000000" w:themeColor="text1"/>
          <w:sz w:val="21"/>
          <w:lang w:eastAsia="zh-CN"/>
          <w14:textFill>
            <w14:solidFill>
              <w14:schemeClr w14:val="tx1"/>
            </w14:solidFill>
          </w14:textFill>
        </w:rPr>
        <w:t xml:space="preserve"> 通风是井下作业采取安全措施的必要手段,作业前应采取自然通风或必要的机械强制通风,有效降低作业井内的有毒气体浓度和提高氧气含量,以达到井下作业气体安全规定的标准，从而为作业人员创造一个安全、良好的作业环境。</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10</w:t>
      </w:r>
      <w:r>
        <w:rPr>
          <w:rFonts w:cs="Times New Roman" w:eastAsiaTheme="minorEastAsia"/>
          <w:b/>
          <w:bCs/>
          <w:color w:val="000000" w:themeColor="text1"/>
          <w:sz w:val="21"/>
          <w:lang w:eastAsia="zh-CN"/>
          <w14:textFill>
            <w14:solidFill>
              <w14:schemeClr w14:val="tx1"/>
            </w14:solidFill>
          </w14:textFill>
        </w:rPr>
        <w:t>.0.12</w:t>
      </w:r>
      <w:r>
        <w:rPr>
          <w:rFonts w:cs="Times New Roman" w:eastAsiaTheme="minorEastAsia"/>
          <w:color w:val="000000" w:themeColor="text1"/>
          <w:sz w:val="21"/>
          <w:lang w:eastAsia="zh-CN"/>
          <w14:textFill>
            <w14:solidFill>
              <w14:schemeClr w14:val="tx1"/>
            </w14:solidFill>
          </w14:textFill>
        </w:rPr>
        <w:t xml:space="preserve"> 夜间施工指在晚上 10 点至次晨 6 点内的施工活动。</w:t>
      </w:r>
    </w:p>
    <w:p>
      <w:pPr>
        <w:ind w:firstLine="0" w:firstLineChars="0"/>
        <w:rPr>
          <w:rFonts w:cs="Times New Roman" w:eastAsiaTheme="minorEastAsia"/>
          <w:color w:val="000000" w:themeColor="text1"/>
          <w:sz w:val="21"/>
          <w:lang w:eastAsia="zh-CN"/>
          <w14:textFill>
            <w14:solidFill>
              <w14:schemeClr w14:val="tx1"/>
            </w14:solidFill>
          </w14:textFill>
        </w:rPr>
      </w:pPr>
      <w:r>
        <w:rPr>
          <w:rFonts w:hint="eastAsia" w:cs="Times New Roman" w:eastAsiaTheme="minorEastAsia"/>
          <w:b/>
          <w:bCs/>
          <w:color w:val="000000" w:themeColor="text1"/>
          <w:sz w:val="21"/>
          <w:lang w:eastAsia="zh-CN"/>
          <w14:textFill>
            <w14:solidFill>
              <w14:schemeClr w14:val="tx1"/>
            </w14:solidFill>
          </w14:textFill>
        </w:rPr>
        <w:t>10</w:t>
      </w:r>
      <w:r>
        <w:rPr>
          <w:rFonts w:cs="Times New Roman" w:eastAsiaTheme="minorEastAsia"/>
          <w:b/>
          <w:bCs/>
          <w:color w:val="000000" w:themeColor="text1"/>
          <w:sz w:val="21"/>
          <w:lang w:eastAsia="zh-CN"/>
          <w14:textFill>
            <w14:solidFill>
              <w14:schemeClr w14:val="tx1"/>
            </w14:solidFill>
          </w14:textFill>
        </w:rPr>
        <w:t xml:space="preserve">.0.15 </w:t>
      </w:r>
      <w:r>
        <w:rPr>
          <w:rFonts w:cs="Times New Roman" w:eastAsiaTheme="minorEastAsia"/>
          <w:color w:val="000000" w:themeColor="text1"/>
          <w:sz w:val="21"/>
          <w:lang w:eastAsia="zh-CN"/>
          <w14:textFill>
            <w14:solidFill>
              <w14:schemeClr w14:val="tx1"/>
            </w14:solidFill>
          </w14:textFill>
        </w:rPr>
        <w:t>根据国家标准《建设工程施工现场供用电安全规范》GB50194-2014第 7.0.2 条的有关规定,禁止施工现场夜间照明灯光、电焊弧光直射敏感建筑物。因施工设施设备遮挡路灯照明时,应在受影响的一侧增设照明灯。</w:t>
      </w:r>
    </w:p>
    <w:p>
      <w:pPr>
        <w:kinsoku/>
        <w:autoSpaceDE/>
        <w:autoSpaceDN/>
        <w:adjustRightInd/>
        <w:snapToGrid/>
        <w:spacing w:line="240" w:lineRule="auto"/>
        <w:ind w:firstLine="0" w:firstLineChars="0"/>
        <w:jc w:val="left"/>
        <w:textAlignment w:val="auto"/>
        <w:rPr>
          <w:rFonts w:cs="Times New Roman" w:eastAsiaTheme="minorEastAsia"/>
          <w:color w:val="000000" w:themeColor="text1"/>
          <w:sz w:val="21"/>
          <w:lang w:eastAsia="zh-CN"/>
          <w14:textFill>
            <w14:solidFill>
              <w14:schemeClr w14:val="tx1"/>
            </w14:solidFill>
          </w14:textFill>
        </w:rPr>
      </w:pPr>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1251735"/>
    </w:sdtPr>
    <w:sdtContent>
      <w:p>
        <w:pPr>
          <w:pStyle w:val="10"/>
          <w:ind w:firstLine="360"/>
        </w:pPr>
        <w:r>
          <w:fldChar w:fldCharType="begin"/>
        </w:r>
        <w:r>
          <w:instrText xml:space="preserve">PAGE   \* MERGEFORMAT</w:instrText>
        </w:r>
        <w:r>
          <w:fldChar w:fldCharType="separate"/>
        </w:r>
        <w:r>
          <w:rPr>
            <w:lang w:val="zh-CN"/>
          </w:rPr>
          <w:t>2</w:t>
        </w:r>
        <w:r>
          <w:fldChar w:fldCharType="end"/>
        </w:r>
      </w:p>
    </w:sdtContent>
  </w:sdt>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59264" behindDoc="0" locked="0" layoutInCell="1" allowOverlap="1">
              <wp:simplePos x="0" y="0"/>
              <wp:positionH relativeFrom="margin">
                <wp:posOffset>2502535</wp:posOffset>
              </wp:positionH>
              <wp:positionV relativeFrom="paragraph">
                <wp:posOffset>1905</wp:posOffset>
              </wp:positionV>
              <wp:extent cx="819150" cy="1828800"/>
              <wp:effectExtent l="0" t="0" r="0" b="6350"/>
              <wp:wrapNone/>
              <wp:docPr id="91" name="文本框 91"/>
              <wp:cNvGraphicFramePr/>
              <a:graphic xmlns:a="http://schemas.openxmlformats.org/drawingml/2006/main">
                <a:graphicData uri="http://schemas.microsoft.com/office/word/2010/wordprocessingShape">
                  <wps:wsp>
                    <wps:cNvSpPr txBox="1"/>
                    <wps:spPr>
                      <a:xfrm>
                        <a:off x="0" y="0"/>
                        <a:ext cx="819243"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0" w:firstLineChars="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97.05pt;margin-top:0.15pt;height:144pt;width:64.5pt;mso-position-horizontal-relative:margin;z-index:251659264;mso-width-relative:page;mso-height-relative:page;" filled="f" stroked="f" coordsize="21600,21600" o:gfxdata="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cA11gAAAAgBAAAPAAAAAAAAAAEAIAAAACIAAABkcnMvZG93bnJldi54&#10;bWxQSwECFAAUAAAACACHTuJAOlBFcDUCAABYBAAADgAAAAAAAAABACAAAAAlAQAAZHJzL2Uyb0Rv&#10;Yy54bWxQSwUGAAAAAAYABgBZAQAAzAUAAAAA&#10;">
              <v:fill on="f" focussize="0,0"/>
              <v:stroke on="f" weight="0.5pt"/>
              <v:imagedata o:title=""/>
              <o:lock v:ext="edit" aspectratio="f"/>
              <v:textbox inset="0mm,0mm,0mm,0mm" style="mso-fit-shape-to-text:t;">
                <w:txbxContent>
                  <w:p>
                    <w:pPr>
                      <w:pStyle w:val="10"/>
                      <w:ind w:firstLine="0" w:firstLineChars="0"/>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C50F90"/>
    <w:multiLevelType w:val="multilevel"/>
    <w:tmpl w:val="44C50F90"/>
    <w:lvl w:ilvl="0" w:tentative="0">
      <w:start w:val="1"/>
      <w:numFmt w:val="lowerLetter"/>
      <w:pStyle w:val="35"/>
      <w:lvlText w:val="%1)"/>
      <w:lvlJc w:val="left"/>
      <w:pPr>
        <w:tabs>
          <w:tab w:val="left" w:pos="1277"/>
        </w:tabs>
        <w:ind w:left="1277" w:hanging="426"/>
      </w:pPr>
      <w:rPr>
        <w:rFonts w:hint="default" w:ascii="Times New Roman" w:hAnsi="Times New Roman" w:eastAsia="宋体" w:cs="Times New Roman"/>
        <w:sz w:val="21"/>
      </w:rPr>
    </w:lvl>
    <w:lvl w:ilvl="1" w:tentative="0">
      <w:start w:val="1"/>
      <w:numFmt w:val="decimal"/>
      <w:pStyle w:val="33"/>
      <w:lvlText w:val="%2)"/>
      <w:lvlJc w:val="left"/>
      <w:pPr>
        <w:tabs>
          <w:tab w:val="left" w:pos="1276"/>
        </w:tabs>
        <w:ind w:left="1276" w:hanging="425"/>
      </w:pPr>
      <w:rPr>
        <w:rFonts w:hint="eastAsia" w:ascii="宋体" w:hAnsi="Times New Roman" w:eastAsia="宋体"/>
        <w:sz w:val="21"/>
      </w:rPr>
    </w:lvl>
    <w:lvl w:ilvl="2" w:tentative="0">
      <w:start w:val="1"/>
      <w:numFmt w:val="decimal"/>
      <w:pStyle w:val="34"/>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
    <w:nsid w:val="7AEC0E61"/>
    <w:multiLevelType w:val="multilevel"/>
    <w:tmpl w:val="7AEC0E61"/>
    <w:lvl w:ilvl="0" w:tentative="0">
      <w:start w:val="1"/>
      <w:numFmt w:val="decimal"/>
      <w:pStyle w:val="23"/>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1ZjFkY2Y3OWRhM2EzM2RmMGQzYzkyYjYzNGE3NjcifQ=="/>
    <w:docVar w:name="KSO_WPS_MARK_KEY" w:val="d399e8f0-b94a-42f3-82e6-65c1aba03920"/>
  </w:docVars>
  <w:rsids>
    <w:rsidRoot w:val="0054267A"/>
    <w:rsid w:val="00000271"/>
    <w:rsid w:val="000007AC"/>
    <w:rsid w:val="00000D01"/>
    <w:rsid w:val="0000400A"/>
    <w:rsid w:val="00006BE3"/>
    <w:rsid w:val="00014256"/>
    <w:rsid w:val="000147D5"/>
    <w:rsid w:val="00014B93"/>
    <w:rsid w:val="0001763A"/>
    <w:rsid w:val="0002185F"/>
    <w:rsid w:val="0002693F"/>
    <w:rsid w:val="00026C41"/>
    <w:rsid w:val="000355DC"/>
    <w:rsid w:val="00045FF4"/>
    <w:rsid w:val="0005024C"/>
    <w:rsid w:val="00051789"/>
    <w:rsid w:val="000531DD"/>
    <w:rsid w:val="000546EE"/>
    <w:rsid w:val="00055A17"/>
    <w:rsid w:val="00057165"/>
    <w:rsid w:val="00060847"/>
    <w:rsid w:val="00063517"/>
    <w:rsid w:val="000644F1"/>
    <w:rsid w:val="00067A61"/>
    <w:rsid w:val="000722A2"/>
    <w:rsid w:val="000731C0"/>
    <w:rsid w:val="0007458A"/>
    <w:rsid w:val="00075ED9"/>
    <w:rsid w:val="00077E20"/>
    <w:rsid w:val="00080515"/>
    <w:rsid w:val="00082FDD"/>
    <w:rsid w:val="00085F91"/>
    <w:rsid w:val="00087406"/>
    <w:rsid w:val="00092CA8"/>
    <w:rsid w:val="000930B3"/>
    <w:rsid w:val="0009414C"/>
    <w:rsid w:val="000A1DE3"/>
    <w:rsid w:val="000A297F"/>
    <w:rsid w:val="000A5D0D"/>
    <w:rsid w:val="000A6A96"/>
    <w:rsid w:val="000A6ADB"/>
    <w:rsid w:val="000A717D"/>
    <w:rsid w:val="000B61E6"/>
    <w:rsid w:val="000B69A4"/>
    <w:rsid w:val="000B7C0A"/>
    <w:rsid w:val="000C0761"/>
    <w:rsid w:val="000C08F1"/>
    <w:rsid w:val="000C6823"/>
    <w:rsid w:val="000C6BB8"/>
    <w:rsid w:val="000D03E5"/>
    <w:rsid w:val="000D0D00"/>
    <w:rsid w:val="000D1299"/>
    <w:rsid w:val="000D15C0"/>
    <w:rsid w:val="000D216F"/>
    <w:rsid w:val="000D78F3"/>
    <w:rsid w:val="000D79BF"/>
    <w:rsid w:val="000E09FC"/>
    <w:rsid w:val="000E19D0"/>
    <w:rsid w:val="000E20EE"/>
    <w:rsid w:val="000E7284"/>
    <w:rsid w:val="000F6E12"/>
    <w:rsid w:val="000F7EF4"/>
    <w:rsid w:val="00100340"/>
    <w:rsid w:val="00100BE9"/>
    <w:rsid w:val="0010699C"/>
    <w:rsid w:val="00107F3A"/>
    <w:rsid w:val="001104A3"/>
    <w:rsid w:val="001112DB"/>
    <w:rsid w:val="00114CBC"/>
    <w:rsid w:val="00115ED1"/>
    <w:rsid w:val="00116243"/>
    <w:rsid w:val="00116B2F"/>
    <w:rsid w:val="00120895"/>
    <w:rsid w:val="0012097D"/>
    <w:rsid w:val="0012113B"/>
    <w:rsid w:val="001244A3"/>
    <w:rsid w:val="00126BD4"/>
    <w:rsid w:val="00127B4B"/>
    <w:rsid w:val="001307B5"/>
    <w:rsid w:val="001308E6"/>
    <w:rsid w:val="0013339F"/>
    <w:rsid w:val="00142112"/>
    <w:rsid w:val="00143B44"/>
    <w:rsid w:val="00147813"/>
    <w:rsid w:val="00147892"/>
    <w:rsid w:val="00147A6F"/>
    <w:rsid w:val="0015148D"/>
    <w:rsid w:val="00151BB4"/>
    <w:rsid w:val="00153C74"/>
    <w:rsid w:val="001608E3"/>
    <w:rsid w:val="001608F4"/>
    <w:rsid w:val="001632C5"/>
    <w:rsid w:val="00163471"/>
    <w:rsid w:val="0016403F"/>
    <w:rsid w:val="00164060"/>
    <w:rsid w:val="001721F9"/>
    <w:rsid w:val="00182804"/>
    <w:rsid w:val="001847C1"/>
    <w:rsid w:val="00185396"/>
    <w:rsid w:val="00185C1D"/>
    <w:rsid w:val="00187708"/>
    <w:rsid w:val="001930E0"/>
    <w:rsid w:val="00193B54"/>
    <w:rsid w:val="00193CF4"/>
    <w:rsid w:val="001956B2"/>
    <w:rsid w:val="00195D40"/>
    <w:rsid w:val="001A1C41"/>
    <w:rsid w:val="001A22EF"/>
    <w:rsid w:val="001A2957"/>
    <w:rsid w:val="001A4E40"/>
    <w:rsid w:val="001B2579"/>
    <w:rsid w:val="001B54C3"/>
    <w:rsid w:val="001B6390"/>
    <w:rsid w:val="001B7216"/>
    <w:rsid w:val="001B7349"/>
    <w:rsid w:val="001B7378"/>
    <w:rsid w:val="001B76CB"/>
    <w:rsid w:val="001C0A39"/>
    <w:rsid w:val="001C2C83"/>
    <w:rsid w:val="001C3E32"/>
    <w:rsid w:val="001C514A"/>
    <w:rsid w:val="001C6194"/>
    <w:rsid w:val="001C7542"/>
    <w:rsid w:val="001C7C89"/>
    <w:rsid w:val="001D2CDD"/>
    <w:rsid w:val="001D3685"/>
    <w:rsid w:val="001D3D60"/>
    <w:rsid w:val="001D7B47"/>
    <w:rsid w:val="001E06A2"/>
    <w:rsid w:val="001E3FDC"/>
    <w:rsid w:val="001E4B2B"/>
    <w:rsid w:val="001E5A28"/>
    <w:rsid w:val="001E6BE0"/>
    <w:rsid w:val="001F0442"/>
    <w:rsid w:val="001F25A0"/>
    <w:rsid w:val="001F5028"/>
    <w:rsid w:val="001F5035"/>
    <w:rsid w:val="00200C4B"/>
    <w:rsid w:val="00204EE1"/>
    <w:rsid w:val="00206D6C"/>
    <w:rsid w:val="00217A23"/>
    <w:rsid w:val="00217F45"/>
    <w:rsid w:val="00221BCD"/>
    <w:rsid w:val="00221EB5"/>
    <w:rsid w:val="002231CF"/>
    <w:rsid w:val="002270CF"/>
    <w:rsid w:val="00227174"/>
    <w:rsid w:val="00227981"/>
    <w:rsid w:val="0023062D"/>
    <w:rsid w:val="00230CB4"/>
    <w:rsid w:val="00232616"/>
    <w:rsid w:val="00232CE9"/>
    <w:rsid w:val="002344C3"/>
    <w:rsid w:val="00237DBA"/>
    <w:rsid w:val="0024524F"/>
    <w:rsid w:val="002525C3"/>
    <w:rsid w:val="002540DC"/>
    <w:rsid w:val="00254715"/>
    <w:rsid w:val="00260448"/>
    <w:rsid w:val="0026418B"/>
    <w:rsid w:val="002670F6"/>
    <w:rsid w:val="0027002E"/>
    <w:rsid w:val="0027077C"/>
    <w:rsid w:val="00273449"/>
    <w:rsid w:val="002770FD"/>
    <w:rsid w:val="00282D78"/>
    <w:rsid w:val="00283EC6"/>
    <w:rsid w:val="00285762"/>
    <w:rsid w:val="00287D0E"/>
    <w:rsid w:val="0029095F"/>
    <w:rsid w:val="00292AEE"/>
    <w:rsid w:val="00295197"/>
    <w:rsid w:val="002A01AB"/>
    <w:rsid w:val="002A01B0"/>
    <w:rsid w:val="002A115F"/>
    <w:rsid w:val="002A1656"/>
    <w:rsid w:val="002A291E"/>
    <w:rsid w:val="002A43F7"/>
    <w:rsid w:val="002A54CE"/>
    <w:rsid w:val="002A5B55"/>
    <w:rsid w:val="002A6700"/>
    <w:rsid w:val="002B75D9"/>
    <w:rsid w:val="002C0E33"/>
    <w:rsid w:val="002C2D43"/>
    <w:rsid w:val="002C3211"/>
    <w:rsid w:val="002C37EF"/>
    <w:rsid w:val="002C3C49"/>
    <w:rsid w:val="002C5512"/>
    <w:rsid w:val="002C55C1"/>
    <w:rsid w:val="002C7C7F"/>
    <w:rsid w:val="002D0501"/>
    <w:rsid w:val="002D1436"/>
    <w:rsid w:val="002D231C"/>
    <w:rsid w:val="002D6B18"/>
    <w:rsid w:val="002D707E"/>
    <w:rsid w:val="002D7B49"/>
    <w:rsid w:val="002E0DA7"/>
    <w:rsid w:val="002E256F"/>
    <w:rsid w:val="002E2795"/>
    <w:rsid w:val="002E503E"/>
    <w:rsid w:val="002F08AF"/>
    <w:rsid w:val="002F3E9F"/>
    <w:rsid w:val="002F512B"/>
    <w:rsid w:val="002F584D"/>
    <w:rsid w:val="002F6D03"/>
    <w:rsid w:val="002F6EF6"/>
    <w:rsid w:val="002F7C0B"/>
    <w:rsid w:val="00300254"/>
    <w:rsid w:val="00302541"/>
    <w:rsid w:val="0030410B"/>
    <w:rsid w:val="003101EB"/>
    <w:rsid w:val="00315B75"/>
    <w:rsid w:val="00315BEF"/>
    <w:rsid w:val="00315D24"/>
    <w:rsid w:val="003160FC"/>
    <w:rsid w:val="00316305"/>
    <w:rsid w:val="00316C61"/>
    <w:rsid w:val="00317B23"/>
    <w:rsid w:val="0032018D"/>
    <w:rsid w:val="003205E2"/>
    <w:rsid w:val="00321840"/>
    <w:rsid w:val="00322F25"/>
    <w:rsid w:val="0032449D"/>
    <w:rsid w:val="0032665B"/>
    <w:rsid w:val="00326E59"/>
    <w:rsid w:val="003279E5"/>
    <w:rsid w:val="003313F6"/>
    <w:rsid w:val="0033642E"/>
    <w:rsid w:val="003410F3"/>
    <w:rsid w:val="00342CFC"/>
    <w:rsid w:val="00343C27"/>
    <w:rsid w:val="00345DA7"/>
    <w:rsid w:val="0034650A"/>
    <w:rsid w:val="003465EE"/>
    <w:rsid w:val="003514E3"/>
    <w:rsid w:val="0035326E"/>
    <w:rsid w:val="00355D46"/>
    <w:rsid w:val="00357B3B"/>
    <w:rsid w:val="00360D55"/>
    <w:rsid w:val="003617CE"/>
    <w:rsid w:val="003626B2"/>
    <w:rsid w:val="003709BA"/>
    <w:rsid w:val="003720FA"/>
    <w:rsid w:val="00376A17"/>
    <w:rsid w:val="00383FE6"/>
    <w:rsid w:val="00385428"/>
    <w:rsid w:val="00386929"/>
    <w:rsid w:val="00387009"/>
    <w:rsid w:val="00390A28"/>
    <w:rsid w:val="003913AF"/>
    <w:rsid w:val="00392DEB"/>
    <w:rsid w:val="00394A9A"/>
    <w:rsid w:val="00395D0C"/>
    <w:rsid w:val="003A1F8F"/>
    <w:rsid w:val="003A2DA9"/>
    <w:rsid w:val="003A2F10"/>
    <w:rsid w:val="003A51E5"/>
    <w:rsid w:val="003A5907"/>
    <w:rsid w:val="003A5E00"/>
    <w:rsid w:val="003A728F"/>
    <w:rsid w:val="003B2C75"/>
    <w:rsid w:val="003B5EFC"/>
    <w:rsid w:val="003B67BE"/>
    <w:rsid w:val="003C041C"/>
    <w:rsid w:val="003C0ABC"/>
    <w:rsid w:val="003C3BAA"/>
    <w:rsid w:val="003C3F13"/>
    <w:rsid w:val="003C6A5C"/>
    <w:rsid w:val="003D197A"/>
    <w:rsid w:val="003D1C25"/>
    <w:rsid w:val="003D1C9B"/>
    <w:rsid w:val="003D281A"/>
    <w:rsid w:val="003D69ED"/>
    <w:rsid w:val="003D6FD8"/>
    <w:rsid w:val="003F052A"/>
    <w:rsid w:val="003F06E0"/>
    <w:rsid w:val="003F6145"/>
    <w:rsid w:val="003F717A"/>
    <w:rsid w:val="004029E0"/>
    <w:rsid w:val="00410F52"/>
    <w:rsid w:val="0041437F"/>
    <w:rsid w:val="00415C2F"/>
    <w:rsid w:val="00420204"/>
    <w:rsid w:val="00421BD2"/>
    <w:rsid w:val="00422824"/>
    <w:rsid w:val="00422EC0"/>
    <w:rsid w:val="004240D6"/>
    <w:rsid w:val="00425544"/>
    <w:rsid w:val="00425D12"/>
    <w:rsid w:val="00437147"/>
    <w:rsid w:val="00437EF5"/>
    <w:rsid w:val="00441EAD"/>
    <w:rsid w:val="00446296"/>
    <w:rsid w:val="00446723"/>
    <w:rsid w:val="00450368"/>
    <w:rsid w:val="004511EC"/>
    <w:rsid w:val="004519AB"/>
    <w:rsid w:val="00451DDA"/>
    <w:rsid w:val="004543AC"/>
    <w:rsid w:val="00456D56"/>
    <w:rsid w:val="00457446"/>
    <w:rsid w:val="00460599"/>
    <w:rsid w:val="0046222F"/>
    <w:rsid w:val="00466695"/>
    <w:rsid w:val="00470228"/>
    <w:rsid w:val="00470DC2"/>
    <w:rsid w:val="00474D07"/>
    <w:rsid w:val="00476D23"/>
    <w:rsid w:val="0047756C"/>
    <w:rsid w:val="00481EB2"/>
    <w:rsid w:val="00482F85"/>
    <w:rsid w:val="004844DE"/>
    <w:rsid w:val="00484F42"/>
    <w:rsid w:val="00487211"/>
    <w:rsid w:val="004924F3"/>
    <w:rsid w:val="00493828"/>
    <w:rsid w:val="004945BA"/>
    <w:rsid w:val="00494965"/>
    <w:rsid w:val="004974B3"/>
    <w:rsid w:val="004A3868"/>
    <w:rsid w:val="004A3CD5"/>
    <w:rsid w:val="004A460C"/>
    <w:rsid w:val="004A69A6"/>
    <w:rsid w:val="004A7DE3"/>
    <w:rsid w:val="004B1FF1"/>
    <w:rsid w:val="004B4342"/>
    <w:rsid w:val="004B5553"/>
    <w:rsid w:val="004B5610"/>
    <w:rsid w:val="004B794A"/>
    <w:rsid w:val="004C05E2"/>
    <w:rsid w:val="004C0A49"/>
    <w:rsid w:val="004C0F09"/>
    <w:rsid w:val="004C1018"/>
    <w:rsid w:val="004C627D"/>
    <w:rsid w:val="004D0183"/>
    <w:rsid w:val="004D0FE7"/>
    <w:rsid w:val="004D198C"/>
    <w:rsid w:val="004D2581"/>
    <w:rsid w:val="004D4F13"/>
    <w:rsid w:val="004D668D"/>
    <w:rsid w:val="004E1764"/>
    <w:rsid w:val="004E254D"/>
    <w:rsid w:val="004E26CE"/>
    <w:rsid w:val="004E29C4"/>
    <w:rsid w:val="004F0D47"/>
    <w:rsid w:val="004F27C9"/>
    <w:rsid w:val="004F3C53"/>
    <w:rsid w:val="004F4691"/>
    <w:rsid w:val="004F5EFC"/>
    <w:rsid w:val="004F75CA"/>
    <w:rsid w:val="004F7609"/>
    <w:rsid w:val="00501499"/>
    <w:rsid w:val="00501EAA"/>
    <w:rsid w:val="005064B9"/>
    <w:rsid w:val="005074AE"/>
    <w:rsid w:val="005075D2"/>
    <w:rsid w:val="00510FF2"/>
    <w:rsid w:val="005124FE"/>
    <w:rsid w:val="005152CD"/>
    <w:rsid w:val="005159F6"/>
    <w:rsid w:val="00516A0E"/>
    <w:rsid w:val="00517DE2"/>
    <w:rsid w:val="00522F15"/>
    <w:rsid w:val="005239EA"/>
    <w:rsid w:val="005248E2"/>
    <w:rsid w:val="00525E1B"/>
    <w:rsid w:val="00526001"/>
    <w:rsid w:val="00526F57"/>
    <w:rsid w:val="00530C92"/>
    <w:rsid w:val="0053132F"/>
    <w:rsid w:val="00531C8B"/>
    <w:rsid w:val="005324E9"/>
    <w:rsid w:val="0053267B"/>
    <w:rsid w:val="00535052"/>
    <w:rsid w:val="005366A7"/>
    <w:rsid w:val="00536803"/>
    <w:rsid w:val="0053726C"/>
    <w:rsid w:val="0054267A"/>
    <w:rsid w:val="00544FC5"/>
    <w:rsid w:val="00547B1E"/>
    <w:rsid w:val="00547D34"/>
    <w:rsid w:val="005540C1"/>
    <w:rsid w:val="00556C5E"/>
    <w:rsid w:val="005577DA"/>
    <w:rsid w:val="00561BAD"/>
    <w:rsid w:val="00561EE5"/>
    <w:rsid w:val="00561F5A"/>
    <w:rsid w:val="00563917"/>
    <w:rsid w:val="00565361"/>
    <w:rsid w:val="005707EB"/>
    <w:rsid w:val="00572C93"/>
    <w:rsid w:val="00572DAC"/>
    <w:rsid w:val="00574475"/>
    <w:rsid w:val="00575B6F"/>
    <w:rsid w:val="005771DA"/>
    <w:rsid w:val="00585F07"/>
    <w:rsid w:val="005879CB"/>
    <w:rsid w:val="0059075D"/>
    <w:rsid w:val="00595412"/>
    <w:rsid w:val="00596653"/>
    <w:rsid w:val="005A1FAA"/>
    <w:rsid w:val="005A3B6C"/>
    <w:rsid w:val="005A44F2"/>
    <w:rsid w:val="005A6A54"/>
    <w:rsid w:val="005A6DCD"/>
    <w:rsid w:val="005B327D"/>
    <w:rsid w:val="005B5BE8"/>
    <w:rsid w:val="005B6B75"/>
    <w:rsid w:val="005C299C"/>
    <w:rsid w:val="005C4092"/>
    <w:rsid w:val="005C4A25"/>
    <w:rsid w:val="005C547E"/>
    <w:rsid w:val="005C5997"/>
    <w:rsid w:val="005C607A"/>
    <w:rsid w:val="005C763F"/>
    <w:rsid w:val="005D1323"/>
    <w:rsid w:val="005D1461"/>
    <w:rsid w:val="005D3F3C"/>
    <w:rsid w:val="005D4393"/>
    <w:rsid w:val="005D75ED"/>
    <w:rsid w:val="005E74A2"/>
    <w:rsid w:val="005F04EE"/>
    <w:rsid w:val="005F072A"/>
    <w:rsid w:val="005F120C"/>
    <w:rsid w:val="005F35C5"/>
    <w:rsid w:val="005F503B"/>
    <w:rsid w:val="005F6F79"/>
    <w:rsid w:val="005F7836"/>
    <w:rsid w:val="005F784C"/>
    <w:rsid w:val="00601E1F"/>
    <w:rsid w:val="0060434E"/>
    <w:rsid w:val="00605480"/>
    <w:rsid w:val="00606C23"/>
    <w:rsid w:val="00607C01"/>
    <w:rsid w:val="006118D1"/>
    <w:rsid w:val="006132CA"/>
    <w:rsid w:val="00617F77"/>
    <w:rsid w:val="006209EC"/>
    <w:rsid w:val="006318AB"/>
    <w:rsid w:val="00634AAA"/>
    <w:rsid w:val="0063727D"/>
    <w:rsid w:val="0064435C"/>
    <w:rsid w:val="00650726"/>
    <w:rsid w:val="006525C0"/>
    <w:rsid w:val="00654B06"/>
    <w:rsid w:val="00654CBB"/>
    <w:rsid w:val="00662ADC"/>
    <w:rsid w:val="00663AD7"/>
    <w:rsid w:val="00670649"/>
    <w:rsid w:val="00671EA1"/>
    <w:rsid w:val="006736EF"/>
    <w:rsid w:val="00675622"/>
    <w:rsid w:val="00680E08"/>
    <w:rsid w:val="006818E8"/>
    <w:rsid w:val="00682B6C"/>
    <w:rsid w:val="006832C9"/>
    <w:rsid w:val="0068642D"/>
    <w:rsid w:val="00686EF9"/>
    <w:rsid w:val="00690985"/>
    <w:rsid w:val="006919DB"/>
    <w:rsid w:val="00692B09"/>
    <w:rsid w:val="00693255"/>
    <w:rsid w:val="006941D9"/>
    <w:rsid w:val="00694D46"/>
    <w:rsid w:val="00697FBC"/>
    <w:rsid w:val="006A0553"/>
    <w:rsid w:val="006A09CA"/>
    <w:rsid w:val="006A15C2"/>
    <w:rsid w:val="006A49BD"/>
    <w:rsid w:val="006B2696"/>
    <w:rsid w:val="006B4526"/>
    <w:rsid w:val="006B7B3D"/>
    <w:rsid w:val="006C2223"/>
    <w:rsid w:val="006C322E"/>
    <w:rsid w:val="006C70CB"/>
    <w:rsid w:val="006C7EC3"/>
    <w:rsid w:val="006D3F9E"/>
    <w:rsid w:val="006D47CF"/>
    <w:rsid w:val="006D6B87"/>
    <w:rsid w:val="006D7882"/>
    <w:rsid w:val="006E0BEC"/>
    <w:rsid w:val="006E1581"/>
    <w:rsid w:val="006E26A0"/>
    <w:rsid w:val="006E5757"/>
    <w:rsid w:val="006F7E82"/>
    <w:rsid w:val="00702B1A"/>
    <w:rsid w:val="00703873"/>
    <w:rsid w:val="00704B1C"/>
    <w:rsid w:val="007121DB"/>
    <w:rsid w:val="007147C3"/>
    <w:rsid w:val="00715BE7"/>
    <w:rsid w:val="0072790A"/>
    <w:rsid w:val="00727AA4"/>
    <w:rsid w:val="0073092B"/>
    <w:rsid w:val="00730937"/>
    <w:rsid w:val="007321E4"/>
    <w:rsid w:val="0073243B"/>
    <w:rsid w:val="007334F9"/>
    <w:rsid w:val="00733BA6"/>
    <w:rsid w:val="00734227"/>
    <w:rsid w:val="00735402"/>
    <w:rsid w:val="00737934"/>
    <w:rsid w:val="00743D8C"/>
    <w:rsid w:val="00745119"/>
    <w:rsid w:val="00745641"/>
    <w:rsid w:val="00745F2E"/>
    <w:rsid w:val="00746119"/>
    <w:rsid w:val="0074769A"/>
    <w:rsid w:val="00752BA1"/>
    <w:rsid w:val="00752C6F"/>
    <w:rsid w:val="0075405C"/>
    <w:rsid w:val="007553C6"/>
    <w:rsid w:val="0075728A"/>
    <w:rsid w:val="00757D16"/>
    <w:rsid w:val="007622A3"/>
    <w:rsid w:val="00764530"/>
    <w:rsid w:val="00765BFD"/>
    <w:rsid w:val="007675BC"/>
    <w:rsid w:val="007712A6"/>
    <w:rsid w:val="00771357"/>
    <w:rsid w:val="0078146D"/>
    <w:rsid w:val="00781D2F"/>
    <w:rsid w:val="0078260F"/>
    <w:rsid w:val="00782EC2"/>
    <w:rsid w:val="0078343A"/>
    <w:rsid w:val="0078365E"/>
    <w:rsid w:val="0079007A"/>
    <w:rsid w:val="00793A8B"/>
    <w:rsid w:val="00793C7D"/>
    <w:rsid w:val="00796430"/>
    <w:rsid w:val="007A051A"/>
    <w:rsid w:val="007A1E1C"/>
    <w:rsid w:val="007A47A0"/>
    <w:rsid w:val="007B219D"/>
    <w:rsid w:val="007B2464"/>
    <w:rsid w:val="007B52CE"/>
    <w:rsid w:val="007B5387"/>
    <w:rsid w:val="007B5E03"/>
    <w:rsid w:val="007C2644"/>
    <w:rsid w:val="007C5B1A"/>
    <w:rsid w:val="007D064E"/>
    <w:rsid w:val="007D0713"/>
    <w:rsid w:val="007D1822"/>
    <w:rsid w:val="007D2B18"/>
    <w:rsid w:val="007D6B68"/>
    <w:rsid w:val="007E06E3"/>
    <w:rsid w:val="007E3337"/>
    <w:rsid w:val="007E6365"/>
    <w:rsid w:val="007F4F24"/>
    <w:rsid w:val="007F5140"/>
    <w:rsid w:val="007F518F"/>
    <w:rsid w:val="00800204"/>
    <w:rsid w:val="00800838"/>
    <w:rsid w:val="00801D22"/>
    <w:rsid w:val="008022BB"/>
    <w:rsid w:val="00806EDB"/>
    <w:rsid w:val="00806F8E"/>
    <w:rsid w:val="00807502"/>
    <w:rsid w:val="00811333"/>
    <w:rsid w:val="0081155B"/>
    <w:rsid w:val="0081271C"/>
    <w:rsid w:val="00813AAC"/>
    <w:rsid w:val="008150E2"/>
    <w:rsid w:val="00822772"/>
    <w:rsid w:val="008231EF"/>
    <w:rsid w:val="00823BF1"/>
    <w:rsid w:val="008242B7"/>
    <w:rsid w:val="0082768D"/>
    <w:rsid w:val="00834A35"/>
    <w:rsid w:val="00836060"/>
    <w:rsid w:val="0083753A"/>
    <w:rsid w:val="0084209D"/>
    <w:rsid w:val="008442B8"/>
    <w:rsid w:val="008453F1"/>
    <w:rsid w:val="00845FCE"/>
    <w:rsid w:val="0085017F"/>
    <w:rsid w:val="00851395"/>
    <w:rsid w:val="0085144E"/>
    <w:rsid w:val="00854BE3"/>
    <w:rsid w:val="00854FBA"/>
    <w:rsid w:val="008574F6"/>
    <w:rsid w:val="00861570"/>
    <w:rsid w:val="0086229B"/>
    <w:rsid w:val="00863F7C"/>
    <w:rsid w:val="00865269"/>
    <w:rsid w:val="00872309"/>
    <w:rsid w:val="00872B74"/>
    <w:rsid w:val="00872ED3"/>
    <w:rsid w:val="008764D7"/>
    <w:rsid w:val="0087721D"/>
    <w:rsid w:val="00877362"/>
    <w:rsid w:val="00877FE5"/>
    <w:rsid w:val="008815C9"/>
    <w:rsid w:val="00882091"/>
    <w:rsid w:val="008824F0"/>
    <w:rsid w:val="008834DA"/>
    <w:rsid w:val="008834E9"/>
    <w:rsid w:val="00884320"/>
    <w:rsid w:val="008932C2"/>
    <w:rsid w:val="00895977"/>
    <w:rsid w:val="008A058B"/>
    <w:rsid w:val="008A1EE1"/>
    <w:rsid w:val="008A53BF"/>
    <w:rsid w:val="008A6121"/>
    <w:rsid w:val="008B23AD"/>
    <w:rsid w:val="008B3E7C"/>
    <w:rsid w:val="008B4394"/>
    <w:rsid w:val="008B5445"/>
    <w:rsid w:val="008C0C3B"/>
    <w:rsid w:val="008C0E7C"/>
    <w:rsid w:val="008C123F"/>
    <w:rsid w:val="008C150C"/>
    <w:rsid w:val="008C78D2"/>
    <w:rsid w:val="008C7FAC"/>
    <w:rsid w:val="008D11A3"/>
    <w:rsid w:val="008D1F90"/>
    <w:rsid w:val="008D20E4"/>
    <w:rsid w:val="008D5B6D"/>
    <w:rsid w:val="008E0A6D"/>
    <w:rsid w:val="008E11CD"/>
    <w:rsid w:val="008E3309"/>
    <w:rsid w:val="008E3BE9"/>
    <w:rsid w:val="008E44A5"/>
    <w:rsid w:val="008E6968"/>
    <w:rsid w:val="008E7F6F"/>
    <w:rsid w:val="008F0891"/>
    <w:rsid w:val="008F0AA4"/>
    <w:rsid w:val="008F6966"/>
    <w:rsid w:val="009069B7"/>
    <w:rsid w:val="0091192A"/>
    <w:rsid w:val="009123C7"/>
    <w:rsid w:val="00914414"/>
    <w:rsid w:val="009151F6"/>
    <w:rsid w:val="00915389"/>
    <w:rsid w:val="00915396"/>
    <w:rsid w:val="009166AB"/>
    <w:rsid w:val="00921722"/>
    <w:rsid w:val="009217B3"/>
    <w:rsid w:val="00923E5A"/>
    <w:rsid w:val="00930557"/>
    <w:rsid w:val="0093064E"/>
    <w:rsid w:val="00931003"/>
    <w:rsid w:val="00931A03"/>
    <w:rsid w:val="00933B55"/>
    <w:rsid w:val="009355FC"/>
    <w:rsid w:val="00936513"/>
    <w:rsid w:val="00940075"/>
    <w:rsid w:val="009404BE"/>
    <w:rsid w:val="00944B9A"/>
    <w:rsid w:val="00944DE1"/>
    <w:rsid w:val="00947D5E"/>
    <w:rsid w:val="00952BFF"/>
    <w:rsid w:val="009539D5"/>
    <w:rsid w:val="009556D7"/>
    <w:rsid w:val="00956353"/>
    <w:rsid w:val="00956EA8"/>
    <w:rsid w:val="0095756A"/>
    <w:rsid w:val="009628D7"/>
    <w:rsid w:val="009630E8"/>
    <w:rsid w:val="00963F13"/>
    <w:rsid w:val="00964112"/>
    <w:rsid w:val="0096709B"/>
    <w:rsid w:val="0097175F"/>
    <w:rsid w:val="00972EAC"/>
    <w:rsid w:val="0097362A"/>
    <w:rsid w:val="009740EC"/>
    <w:rsid w:val="00976242"/>
    <w:rsid w:val="00976DBD"/>
    <w:rsid w:val="0098014F"/>
    <w:rsid w:val="00981628"/>
    <w:rsid w:val="00982030"/>
    <w:rsid w:val="00982614"/>
    <w:rsid w:val="00983644"/>
    <w:rsid w:val="00984075"/>
    <w:rsid w:val="00985F3B"/>
    <w:rsid w:val="0098615C"/>
    <w:rsid w:val="009903D1"/>
    <w:rsid w:val="00992ADE"/>
    <w:rsid w:val="0099498C"/>
    <w:rsid w:val="00994A9D"/>
    <w:rsid w:val="00995121"/>
    <w:rsid w:val="00996CE9"/>
    <w:rsid w:val="009A0034"/>
    <w:rsid w:val="009A35FC"/>
    <w:rsid w:val="009A3667"/>
    <w:rsid w:val="009A39D0"/>
    <w:rsid w:val="009A4049"/>
    <w:rsid w:val="009A5E7E"/>
    <w:rsid w:val="009A6FEE"/>
    <w:rsid w:val="009A790B"/>
    <w:rsid w:val="009A7F91"/>
    <w:rsid w:val="009B08C1"/>
    <w:rsid w:val="009B251E"/>
    <w:rsid w:val="009B39EF"/>
    <w:rsid w:val="009B3CAE"/>
    <w:rsid w:val="009B3FED"/>
    <w:rsid w:val="009B4495"/>
    <w:rsid w:val="009B53A1"/>
    <w:rsid w:val="009B729A"/>
    <w:rsid w:val="009B75F1"/>
    <w:rsid w:val="009C1908"/>
    <w:rsid w:val="009C2699"/>
    <w:rsid w:val="009C3EF2"/>
    <w:rsid w:val="009C5219"/>
    <w:rsid w:val="009C6BD0"/>
    <w:rsid w:val="009C7B6D"/>
    <w:rsid w:val="009D2F13"/>
    <w:rsid w:val="009D454E"/>
    <w:rsid w:val="009D57D5"/>
    <w:rsid w:val="009D63A9"/>
    <w:rsid w:val="009D6D35"/>
    <w:rsid w:val="009E0A11"/>
    <w:rsid w:val="009E1CB3"/>
    <w:rsid w:val="009E2F5D"/>
    <w:rsid w:val="009E4D45"/>
    <w:rsid w:val="009F0ED5"/>
    <w:rsid w:val="009F1333"/>
    <w:rsid w:val="009F4472"/>
    <w:rsid w:val="009F6040"/>
    <w:rsid w:val="009F71D6"/>
    <w:rsid w:val="009F7631"/>
    <w:rsid w:val="00A0046C"/>
    <w:rsid w:val="00A01554"/>
    <w:rsid w:val="00A02084"/>
    <w:rsid w:val="00A054AB"/>
    <w:rsid w:val="00A05A30"/>
    <w:rsid w:val="00A10353"/>
    <w:rsid w:val="00A1285B"/>
    <w:rsid w:val="00A15051"/>
    <w:rsid w:val="00A17AD4"/>
    <w:rsid w:val="00A17B4C"/>
    <w:rsid w:val="00A21221"/>
    <w:rsid w:val="00A2143A"/>
    <w:rsid w:val="00A214D1"/>
    <w:rsid w:val="00A23B91"/>
    <w:rsid w:val="00A32CAA"/>
    <w:rsid w:val="00A3478A"/>
    <w:rsid w:val="00A35BBD"/>
    <w:rsid w:val="00A426B3"/>
    <w:rsid w:val="00A474D9"/>
    <w:rsid w:val="00A4787D"/>
    <w:rsid w:val="00A52C4D"/>
    <w:rsid w:val="00A54CC0"/>
    <w:rsid w:val="00A634BB"/>
    <w:rsid w:val="00A6435A"/>
    <w:rsid w:val="00A6701F"/>
    <w:rsid w:val="00A67FE6"/>
    <w:rsid w:val="00A713AF"/>
    <w:rsid w:val="00A725C6"/>
    <w:rsid w:val="00A7384D"/>
    <w:rsid w:val="00A74662"/>
    <w:rsid w:val="00A74C5E"/>
    <w:rsid w:val="00A8311C"/>
    <w:rsid w:val="00A83ED8"/>
    <w:rsid w:val="00A864ED"/>
    <w:rsid w:val="00A91425"/>
    <w:rsid w:val="00A94D3A"/>
    <w:rsid w:val="00A95C14"/>
    <w:rsid w:val="00A97725"/>
    <w:rsid w:val="00AA1472"/>
    <w:rsid w:val="00AA2FA9"/>
    <w:rsid w:val="00AA573F"/>
    <w:rsid w:val="00AA5DDF"/>
    <w:rsid w:val="00AA6560"/>
    <w:rsid w:val="00AB0C91"/>
    <w:rsid w:val="00AB0F4E"/>
    <w:rsid w:val="00AB391F"/>
    <w:rsid w:val="00AC30B7"/>
    <w:rsid w:val="00AC3BF8"/>
    <w:rsid w:val="00AC5584"/>
    <w:rsid w:val="00AC60A8"/>
    <w:rsid w:val="00AD0CC9"/>
    <w:rsid w:val="00AD1007"/>
    <w:rsid w:val="00AD2D66"/>
    <w:rsid w:val="00AD3EEA"/>
    <w:rsid w:val="00AD3FE7"/>
    <w:rsid w:val="00AD41B7"/>
    <w:rsid w:val="00AD683E"/>
    <w:rsid w:val="00AE0F16"/>
    <w:rsid w:val="00AE4627"/>
    <w:rsid w:val="00AE657A"/>
    <w:rsid w:val="00AE65CB"/>
    <w:rsid w:val="00AE76A7"/>
    <w:rsid w:val="00AE76A9"/>
    <w:rsid w:val="00AF01A7"/>
    <w:rsid w:val="00AF3307"/>
    <w:rsid w:val="00AF33B3"/>
    <w:rsid w:val="00AF4610"/>
    <w:rsid w:val="00AF524E"/>
    <w:rsid w:val="00AF66F6"/>
    <w:rsid w:val="00B018D6"/>
    <w:rsid w:val="00B01BF6"/>
    <w:rsid w:val="00B01C0E"/>
    <w:rsid w:val="00B075DA"/>
    <w:rsid w:val="00B10BAD"/>
    <w:rsid w:val="00B122A4"/>
    <w:rsid w:val="00B16078"/>
    <w:rsid w:val="00B16669"/>
    <w:rsid w:val="00B170D9"/>
    <w:rsid w:val="00B20AC6"/>
    <w:rsid w:val="00B216C2"/>
    <w:rsid w:val="00B21A77"/>
    <w:rsid w:val="00B21F09"/>
    <w:rsid w:val="00B225BA"/>
    <w:rsid w:val="00B33E37"/>
    <w:rsid w:val="00B357AD"/>
    <w:rsid w:val="00B40681"/>
    <w:rsid w:val="00B410EE"/>
    <w:rsid w:val="00B46FFC"/>
    <w:rsid w:val="00B50A69"/>
    <w:rsid w:val="00B51D4D"/>
    <w:rsid w:val="00B569C4"/>
    <w:rsid w:val="00B57281"/>
    <w:rsid w:val="00B65470"/>
    <w:rsid w:val="00B66AB4"/>
    <w:rsid w:val="00B7012A"/>
    <w:rsid w:val="00B71E4D"/>
    <w:rsid w:val="00B73FF0"/>
    <w:rsid w:val="00B80E65"/>
    <w:rsid w:val="00B812FD"/>
    <w:rsid w:val="00B85026"/>
    <w:rsid w:val="00B90790"/>
    <w:rsid w:val="00B919EB"/>
    <w:rsid w:val="00B9387A"/>
    <w:rsid w:val="00B93B0B"/>
    <w:rsid w:val="00B95D72"/>
    <w:rsid w:val="00BA3B0B"/>
    <w:rsid w:val="00BA44E8"/>
    <w:rsid w:val="00BA55C6"/>
    <w:rsid w:val="00BA5907"/>
    <w:rsid w:val="00BA5CC3"/>
    <w:rsid w:val="00BA6B2A"/>
    <w:rsid w:val="00BB4F18"/>
    <w:rsid w:val="00BB56CD"/>
    <w:rsid w:val="00BB6341"/>
    <w:rsid w:val="00BB730F"/>
    <w:rsid w:val="00BB7FC4"/>
    <w:rsid w:val="00BC11A1"/>
    <w:rsid w:val="00BC20AC"/>
    <w:rsid w:val="00BC49EC"/>
    <w:rsid w:val="00BC5FAF"/>
    <w:rsid w:val="00BC638A"/>
    <w:rsid w:val="00BD0F1C"/>
    <w:rsid w:val="00BD5D19"/>
    <w:rsid w:val="00BD6E09"/>
    <w:rsid w:val="00BE0CE1"/>
    <w:rsid w:val="00BE1F6D"/>
    <w:rsid w:val="00BE25DB"/>
    <w:rsid w:val="00BE2DC4"/>
    <w:rsid w:val="00BE44A6"/>
    <w:rsid w:val="00BE58FE"/>
    <w:rsid w:val="00BE6D20"/>
    <w:rsid w:val="00BE7297"/>
    <w:rsid w:val="00BF79B4"/>
    <w:rsid w:val="00C00614"/>
    <w:rsid w:val="00C00DB6"/>
    <w:rsid w:val="00C052A4"/>
    <w:rsid w:val="00C07BD6"/>
    <w:rsid w:val="00C1094C"/>
    <w:rsid w:val="00C12509"/>
    <w:rsid w:val="00C12917"/>
    <w:rsid w:val="00C15EF5"/>
    <w:rsid w:val="00C163BD"/>
    <w:rsid w:val="00C20AA9"/>
    <w:rsid w:val="00C24F7B"/>
    <w:rsid w:val="00C2594E"/>
    <w:rsid w:val="00C26163"/>
    <w:rsid w:val="00C31073"/>
    <w:rsid w:val="00C32906"/>
    <w:rsid w:val="00C32F54"/>
    <w:rsid w:val="00C37807"/>
    <w:rsid w:val="00C37B5F"/>
    <w:rsid w:val="00C40862"/>
    <w:rsid w:val="00C422EE"/>
    <w:rsid w:val="00C4282B"/>
    <w:rsid w:val="00C43F9C"/>
    <w:rsid w:val="00C45BFF"/>
    <w:rsid w:val="00C4749C"/>
    <w:rsid w:val="00C47F72"/>
    <w:rsid w:val="00C509E0"/>
    <w:rsid w:val="00C51B7E"/>
    <w:rsid w:val="00C5212C"/>
    <w:rsid w:val="00C52F06"/>
    <w:rsid w:val="00C57259"/>
    <w:rsid w:val="00C61499"/>
    <w:rsid w:val="00C63928"/>
    <w:rsid w:val="00C67832"/>
    <w:rsid w:val="00C80F73"/>
    <w:rsid w:val="00C81C86"/>
    <w:rsid w:val="00C8234F"/>
    <w:rsid w:val="00C916F4"/>
    <w:rsid w:val="00C92A5E"/>
    <w:rsid w:val="00C94066"/>
    <w:rsid w:val="00C95CBA"/>
    <w:rsid w:val="00CA3FD7"/>
    <w:rsid w:val="00CA5432"/>
    <w:rsid w:val="00CA5FE0"/>
    <w:rsid w:val="00CA6F34"/>
    <w:rsid w:val="00CB2DAC"/>
    <w:rsid w:val="00CB3599"/>
    <w:rsid w:val="00CB6CD5"/>
    <w:rsid w:val="00CB77A6"/>
    <w:rsid w:val="00CC0C07"/>
    <w:rsid w:val="00CC32F6"/>
    <w:rsid w:val="00CC32FE"/>
    <w:rsid w:val="00CC6FAD"/>
    <w:rsid w:val="00CC75FB"/>
    <w:rsid w:val="00CD034F"/>
    <w:rsid w:val="00CE11D9"/>
    <w:rsid w:val="00CE5077"/>
    <w:rsid w:val="00CE6A0E"/>
    <w:rsid w:val="00CE73EE"/>
    <w:rsid w:val="00CE7C50"/>
    <w:rsid w:val="00CF1A87"/>
    <w:rsid w:val="00CF55EE"/>
    <w:rsid w:val="00D0062B"/>
    <w:rsid w:val="00D024AE"/>
    <w:rsid w:val="00D04E2A"/>
    <w:rsid w:val="00D051AE"/>
    <w:rsid w:val="00D1075F"/>
    <w:rsid w:val="00D1138E"/>
    <w:rsid w:val="00D15100"/>
    <w:rsid w:val="00D16505"/>
    <w:rsid w:val="00D1715C"/>
    <w:rsid w:val="00D172A0"/>
    <w:rsid w:val="00D2700D"/>
    <w:rsid w:val="00D279F5"/>
    <w:rsid w:val="00D27F99"/>
    <w:rsid w:val="00D37FE7"/>
    <w:rsid w:val="00D40F88"/>
    <w:rsid w:val="00D41451"/>
    <w:rsid w:val="00D447A0"/>
    <w:rsid w:val="00D4524E"/>
    <w:rsid w:val="00D47D74"/>
    <w:rsid w:val="00D47DBE"/>
    <w:rsid w:val="00D53391"/>
    <w:rsid w:val="00D5715A"/>
    <w:rsid w:val="00D61938"/>
    <w:rsid w:val="00D634E8"/>
    <w:rsid w:val="00D64983"/>
    <w:rsid w:val="00D64C01"/>
    <w:rsid w:val="00D66ADD"/>
    <w:rsid w:val="00D67015"/>
    <w:rsid w:val="00D670EC"/>
    <w:rsid w:val="00D6716F"/>
    <w:rsid w:val="00D67864"/>
    <w:rsid w:val="00D706BB"/>
    <w:rsid w:val="00D73407"/>
    <w:rsid w:val="00D7368F"/>
    <w:rsid w:val="00D73B99"/>
    <w:rsid w:val="00D76392"/>
    <w:rsid w:val="00D819AD"/>
    <w:rsid w:val="00D86DC3"/>
    <w:rsid w:val="00D9178C"/>
    <w:rsid w:val="00D93D76"/>
    <w:rsid w:val="00D94DCC"/>
    <w:rsid w:val="00D96C40"/>
    <w:rsid w:val="00D9758E"/>
    <w:rsid w:val="00DA0EE4"/>
    <w:rsid w:val="00DA5CAC"/>
    <w:rsid w:val="00DA631B"/>
    <w:rsid w:val="00DB08FD"/>
    <w:rsid w:val="00DB40DF"/>
    <w:rsid w:val="00DB4226"/>
    <w:rsid w:val="00DB7961"/>
    <w:rsid w:val="00DC32C6"/>
    <w:rsid w:val="00DC4D8B"/>
    <w:rsid w:val="00DC712E"/>
    <w:rsid w:val="00DD2B91"/>
    <w:rsid w:val="00DD3DC2"/>
    <w:rsid w:val="00DD4902"/>
    <w:rsid w:val="00DD5235"/>
    <w:rsid w:val="00DD7D4F"/>
    <w:rsid w:val="00DE1044"/>
    <w:rsid w:val="00DE1414"/>
    <w:rsid w:val="00DE3479"/>
    <w:rsid w:val="00DE36BC"/>
    <w:rsid w:val="00DE462C"/>
    <w:rsid w:val="00DE46F9"/>
    <w:rsid w:val="00DE6253"/>
    <w:rsid w:val="00DE69A6"/>
    <w:rsid w:val="00DE6CCE"/>
    <w:rsid w:val="00DF29E7"/>
    <w:rsid w:val="00DF2E7F"/>
    <w:rsid w:val="00DF6386"/>
    <w:rsid w:val="00DF7028"/>
    <w:rsid w:val="00DF722F"/>
    <w:rsid w:val="00DF73AE"/>
    <w:rsid w:val="00E0010F"/>
    <w:rsid w:val="00E04B9C"/>
    <w:rsid w:val="00E04EE8"/>
    <w:rsid w:val="00E06B9F"/>
    <w:rsid w:val="00E135E2"/>
    <w:rsid w:val="00E15F03"/>
    <w:rsid w:val="00E16BA9"/>
    <w:rsid w:val="00E16E5A"/>
    <w:rsid w:val="00E20699"/>
    <w:rsid w:val="00E22224"/>
    <w:rsid w:val="00E22235"/>
    <w:rsid w:val="00E228CD"/>
    <w:rsid w:val="00E25BA3"/>
    <w:rsid w:val="00E261C5"/>
    <w:rsid w:val="00E320EF"/>
    <w:rsid w:val="00E3244A"/>
    <w:rsid w:val="00E339E2"/>
    <w:rsid w:val="00E33F2E"/>
    <w:rsid w:val="00E350D9"/>
    <w:rsid w:val="00E42A68"/>
    <w:rsid w:val="00E43177"/>
    <w:rsid w:val="00E43A6B"/>
    <w:rsid w:val="00E52918"/>
    <w:rsid w:val="00E53BB1"/>
    <w:rsid w:val="00E5434A"/>
    <w:rsid w:val="00E54E2E"/>
    <w:rsid w:val="00E61B15"/>
    <w:rsid w:val="00E61EB6"/>
    <w:rsid w:val="00E6207F"/>
    <w:rsid w:val="00E62526"/>
    <w:rsid w:val="00E626B5"/>
    <w:rsid w:val="00E626FC"/>
    <w:rsid w:val="00E62DD0"/>
    <w:rsid w:val="00E66ED3"/>
    <w:rsid w:val="00E72DBC"/>
    <w:rsid w:val="00E75CD9"/>
    <w:rsid w:val="00E762F8"/>
    <w:rsid w:val="00E776C3"/>
    <w:rsid w:val="00E77E46"/>
    <w:rsid w:val="00E8164B"/>
    <w:rsid w:val="00E87ADF"/>
    <w:rsid w:val="00E9013C"/>
    <w:rsid w:val="00E91148"/>
    <w:rsid w:val="00E91B85"/>
    <w:rsid w:val="00E921DE"/>
    <w:rsid w:val="00E9353C"/>
    <w:rsid w:val="00E955D2"/>
    <w:rsid w:val="00E961C5"/>
    <w:rsid w:val="00E970C1"/>
    <w:rsid w:val="00EA2AEB"/>
    <w:rsid w:val="00EA2FA6"/>
    <w:rsid w:val="00EA3D8D"/>
    <w:rsid w:val="00EA4F32"/>
    <w:rsid w:val="00EA5239"/>
    <w:rsid w:val="00EA733D"/>
    <w:rsid w:val="00EA7C39"/>
    <w:rsid w:val="00EA7DB2"/>
    <w:rsid w:val="00EB0071"/>
    <w:rsid w:val="00EB08FE"/>
    <w:rsid w:val="00EB0CDD"/>
    <w:rsid w:val="00EC10C6"/>
    <w:rsid w:val="00EC1A98"/>
    <w:rsid w:val="00EC2188"/>
    <w:rsid w:val="00EC4FEC"/>
    <w:rsid w:val="00EC76B4"/>
    <w:rsid w:val="00ED17B7"/>
    <w:rsid w:val="00ED217C"/>
    <w:rsid w:val="00ED6422"/>
    <w:rsid w:val="00EE071A"/>
    <w:rsid w:val="00EE07C3"/>
    <w:rsid w:val="00EE158F"/>
    <w:rsid w:val="00EE2872"/>
    <w:rsid w:val="00EE2BC9"/>
    <w:rsid w:val="00EE686E"/>
    <w:rsid w:val="00EF0027"/>
    <w:rsid w:val="00EF1199"/>
    <w:rsid w:val="00EF1299"/>
    <w:rsid w:val="00EF2C45"/>
    <w:rsid w:val="00EF45DE"/>
    <w:rsid w:val="00EF4B88"/>
    <w:rsid w:val="00F01B74"/>
    <w:rsid w:val="00F01FFE"/>
    <w:rsid w:val="00F02954"/>
    <w:rsid w:val="00F02B7A"/>
    <w:rsid w:val="00F05DAE"/>
    <w:rsid w:val="00F06429"/>
    <w:rsid w:val="00F06499"/>
    <w:rsid w:val="00F074F2"/>
    <w:rsid w:val="00F126E2"/>
    <w:rsid w:val="00F14D60"/>
    <w:rsid w:val="00F16AAE"/>
    <w:rsid w:val="00F16BE1"/>
    <w:rsid w:val="00F17AE2"/>
    <w:rsid w:val="00F23387"/>
    <w:rsid w:val="00F25013"/>
    <w:rsid w:val="00F269C2"/>
    <w:rsid w:val="00F26B64"/>
    <w:rsid w:val="00F27442"/>
    <w:rsid w:val="00F27EEC"/>
    <w:rsid w:val="00F305DF"/>
    <w:rsid w:val="00F336CC"/>
    <w:rsid w:val="00F33985"/>
    <w:rsid w:val="00F3429B"/>
    <w:rsid w:val="00F353EE"/>
    <w:rsid w:val="00F375B8"/>
    <w:rsid w:val="00F3795D"/>
    <w:rsid w:val="00F42383"/>
    <w:rsid w:val="00F425B6"/>
    <w:rsid w:val="00F456BC"/>
    <w:rsid w:val="00F45EE7"/>
    <w:rsid w:val="00F46734"/>
    <w:rsid w:val="00F46D15"/>
    <w:rsid w:val="00F502BC"/>
    <w:rsid w:val="00F50CA7"/>
    <w:rsid w:val="00F512D7"/>
    <w:rsid w:val="00F5561B"/>
    <w:rsid w:val="00F56B96"/>
    <w:rsid w:val="00F60823"/>
    <w:rsid w:val="00F62026"/>
    <w:rsid w:val="00F620AF"/>
    <w:rsid w:val="00F62EC0"/>
    <w:rsid w:val="00F670C4"/>
    <w:rsid w:val="00F70DDC"/>
    <w:rsid w:val="00F72BC5"/>
    <w:rsid w:val="00F746C7"/>
    <w:rsid w:val="00F7491A"/>
    <w:rsid w:val="00F7675F"/>
    <w:rsid w:val="00F767A9"/>
    <w:rsid w:val="00F81572"/>
    <w:rsid w:val="00F82D6E"/>
    <w:rsid w:val="00F8432E"/>
    <w:rsid w:val="00F854A6"/>
    <w:rsid w:val="00F87C35"/>
    <w:rsid w:val="00F90D71"/>
    <w:rsid w:val="00F911D0"/>
    <w:rsid w:val="00F915F0"/>
    <w:rsid w:val="00F91C16"/>
    <w:rsid w:val="00F94C6F"/>
    <w:rsid w:val="00F94E4C"/>
    <w:rsid w:val="00F95582"/>
    <w:rsid w:val="00FA04C0"/>
    <w:rsid w:val="00FA1A3F"/>
    <w:rsid w:val="00FA4F1A"/>
    <w:rsid w:val="00FA6269"/>
    <w:rsid w:val="00FB2478"/>
    <w:rsid w:val="00FB2E10"/>
    <w:rsid w:val="00FB3404"/>
    <w:rsid w:val="00FB7460"/>
    <w:rsid w:val="00FC2E87"/>
    <w:rsid w:val="00FC415B"/>
    <w:rsid w:val="00FC6A1D"/>
    <w:rsid w:val="00FD2A6A"/>
    <w:rsid w:val="00FD3E13"/>
    <w:rsid w:val="00FD6291"/>
    <w:rsid w:val="00FD6797"/>
    <w:rsid w:val="00FE003C"/>
    <w:rsid w:val="00FE1085"/>
    <w:rsid w:val="00FE4A63"/>
    <w:rsid w:val="00FE5670"/>
    <w:rsid w:val="00FF002B"/>
    <w:rsid w:val="00FF02EF"/>
    <w:rsid w:val="00FF1D19"/>
    <w:rsid w:val="00FF1E8E"/>
    <w:rsid w:val="00FF6138"/>
    <w:rsid w:val="00FF656E"/>
    <w:rsid w:val="00FF687F"/>
    <w:rsid w:val="00FF6915"/>
    <w:rsid w:val="01B20AB9"/>
    <w:rsid w:val="03006AED"/>
    <w:rsid w:val="04682E3C"/>
    <w:rsid w:val="057C552B"/>
    <w:rsid w:val="05AE605F"/>
    <w:rsid w:val="05B75E3F"/>
    <w:rsid w:val="081B102B"/>
    <w:rsid w:val="082A5712"/>
    <w:rsid w:val="0AA74DF8"/>
    <w:rsid w:val="0C2549FA"/>
    <w:rsid w:val="0E833DCE"/>
    <w:rsid w:val="10014FAA"/>
    <w:rsid w:val="10CD30DE"/>
    <w:rsid w:val="14803FD0"/>
    <w:rsid w:val="15AC61F6"/>
    <w:rsid w:val="15F20047"/>
    <w:rsid w:val="170A48C2"/>
    <w:rsid w:val="19061883"/>
    <w:rsid w:val="193D4B87"/>
    <w:rsid w:val="1A3453B7"/>
    <w:rsid w:val="1D2D73DF"/>
    <w:rsid w:val="1E6625E0"/>
    <w:rsid w:val="1F536EA5"/>
    <w:rsid w:val="1FBA72A7"/>
    <w:rsid w:val="244B1D3E"/>
    <w:rsid w:val="24A24B56"/>
    <w:rsid w:val="24CE594B"/>
    <w:rsid w:val="281178FD"/>
    <w:rsid w:val="28526585"/>
    <w:rsid w:val="2A331DAD"/>
    <w:rsid w:val="2AB90504"/>
    <w:rsid w:val="2BC058C2"/>
    <w:rsid w:val="2D7B4196"/>
    <w:rsid w:val="2F854E58"/>
    <w:rsid w:val="2FF40230"/>
    <w:rsid w:val="3108735E"/>
    <w:rsid w:val="312A1CE8"/>
    <w:rsid w:val="36415851"/>
    <w:rsid w:val="36DB7A54"/>
    <w:rsid w:val="36FD542E"/>
    <w:rsid w:val="3DF425D1"/>
    <w:rsid w:val="3E4800C5"/>
    <w:rsid w:val="402176FA"/>
    <w:rsid w:val="40B8452A"/>
    <w:rsid w:val="415723CD"/>
    <w:rsid w:val="44670B79"/>
    <w:rsid w:val="458C4D3B"/>
    <w:rsid w:val="469B3C6D"/>
    <w:rsid w:val="481E5484"/>
    <w:rsid w:val="4C263D07"/>
    <w:rsid w:val="4C742085"/>
    <w:rsid w:val="52DF127E"/>
    <w:rsid w:val="57E52089"/>
    <w:rsid w:val="5B9E2C7A"/>
    <w:rsid w:val="5CA208D0"/>
    <w:rsid w:val="62670500"/>
    <w:rsid w:val="63EA65C0"/>
    <w:rsid w:val="642116F0"/>
    <w:rsid w:val="65CE23AE"/>
    <w:rsid w:val="6B20545A"/>
    <w:rsid w:val="6CFB55EC"/>
    <w:rsid w:val="6EAC5256"/>
    <w:rsid w:val="70E150EF"/>
    <w:rsid w:val="76A11FB1"/>
    <w:rsid w:val="77CD4BBB"/>
    <w:rsid w:val="77DF044B"/>
    <w:rsid w:val="79D73ACF"/>
    <w:rsid w:val="7E064983"/>
    <w:rsid w:val="7EE47946"/>
    <w:rsid w:val="7F5F2B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360" w:lineRule="auto"/>
      <w:ind w:firstLine="480" w:firstLineChars="200"/>
      <w:jc w:val="both"/>
      <w:textAlignment w:val="baseline"/>
    </w:pPr>
    <w:rPr>
      <w:rFonts w:ascii="Times New Roman" w:hAnsi="Times New Roman" w:eastAsia="宋体" w:cs="Arial"/>
      <w:snapToGrid w:val="0"/>
      <w:color w:val="000000"/>
      <w:sz w:val="24"/>
      <w:szCs w:val="21"/>
      <w:lang w:val="en-US" w:eastAsia="en-US" w:bidi="ar-SA"/>
    </w:rPr>
  </w:style>
  <w:style w:type="paragraph" w:styleId="2">
    <w:name w:val="heading 1"/>
    <w:basedOn w:val="1"/>
    <w:next w:val="1"/>
    <w:qFormat/>
    <w:uiPriority w:val="0"/>
    <w:pPr>
      <w:keepNext/>
      <w:keepLines/>
      <w:autoSpaceDE/>
      <w:autoSpaceDN/>
      <w:spacing w:before="312" w:beforeLines="100" w:after="312" w:afterLines="100"/>
      <w:ind w:firstLine="643"/>
      <w:jc w:val="center"/>
      <w:outlineLvl w:val="0"/>
    </w:pPr>
    <w:rPr>
      <w:rFonts w:eastAsia="黑体" w:cs="Times New Roman"/>
      <w:b/>
      <w:bCs/>
      <w:kern w:val="44"/>
      <w:sz w:val="32"/>
      <w:szCs w:val="32"/>
      <w:lang w:eastAsia="zh-CN"/>
    </w:rPr>
  </w:style>
  <w:style w:type="paragraph" w:styleId="3">
    <w:name w:val="heading 2"/>
    <w:basedOn w:val="1"/>
    <w:next w:val="1"/>
    <w:unhideWhenUsed/>
    <w:qFormat/>
    <w:uiPriority w:val="0"/>
    <w:pPr>
      <w:keepNext/>
      <w:keepLines/>
      <w:spacing w:before="260" w:after="260"/>
      <w:ind w:firstLine="0" w:firstLineChars="0"/>
      <w:jc w:val="center"/>
      <w:outlineLvl w:val="1"/>
    </w:pPr>
    <w:rPr>
      <w:rFonts w:eastAsia="黑体" w:cs="Times New Roman"/>
      <w:sz w:val="28"/>
      <w:szCs w:val="28"/>
      <w:lang w:eastAsia="zh-CN"/>
    </w:rPr>
  </w:style>
  <w:style w:type="paragraph" w:styleId="4">
    <w:name w:val="heading 3"/>
    <w:basedOn w:val="1"/>
    <w:next w:val="1"/>
    <w:link w:val="42"/>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0"/>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pPr>
      <w:widowControl w:val="0"/>
      <w:kinsoku/>
      <w:autoSpaceDE/>
      <w:autoSpaceDN/>
      <w:adjustRightInd/>
      <w:snapToGrid/>
      <w:spacing w:line="240" w:lineRule="auto"/>
      <w:ind w:firstLine="0" w:firstLineChars="0"/>
      <w:textAlignment w:val="auto"/>
    </w:pPr>
    <w:rPr>
      <w:rFonts w:eastAsia="黑体" w:asciiTheme="majorHAnsi" w:hAnsiTheme="majorHAnsi" w:cstheme="majorBidi"/>
      <w:snapToGrid/>
      <w:color w:val="auto"/>
      <w:kern w:val="2"/>
      <w:sz w:val="20"/>
      <w:szCs w:val="20"/>
      <w:lang w:eastAsia="zh-CN"/>
    </w:rPr>
  </w:style>
  <w:style w:type="paragraph" w:styleId="7">
    <w:name w:val="annotation text"/>
    <w:basedOn w:val="1"/>
    <w:link w:val="48"/>
    <w:qFormat/>
    <w:uiPriority w:val="0"/>
    <w:pPr>
      <w:ind w:firstLine="0" w:firstLineChars="0"/>
      <w:jc w:val="left"/>
    </w:pPr>
    <w:rPr>
      <w:sz w:val="21"/>
    </w:rPr>
  </w:style>
  <w:style w:type="paragraph" w:styleId="8">
    <w:name w:val="Body Text"/>
    <w:basedOn w:val="1"/>
    <w:semiHidden/>
    <w:qFormat/>
    <w:uiPriority w:val="0"/>
    <w:rPr>
      <w:rFonts w:ascii="Arial" w:hAnsi="Arial" w:eastAsia="Arial"/>
      <w:sz w:val="6"/>
      <w:szCs w:val="6"/>
    </w:rPr>
  </w:style>
  <w:style w:type="paragraph" w:styleId="9">
    <w:name w:val="Date"/>
    <w:basedOn w:val="1"/>
    <w:next w:val="1"/>
    <w:link w:val="30"/>
    <w:qFormat/>
    <w:uiPriority w:val="0"/>
    <w:pPr>
      <w:ind w:left="100" w:leftChars="2500"/>
    </w:pPr>
  </w:style>
  <w:style w:type="paragraph" w:styleId="10">
    <w:name w:val="footer"/>
    <w:basedOn w:val="1"/>
    <w:qFormat/>
    <w:uiPriority w:val="99"/>
    <w:pPr>
      <w:tabs>
        <w:tab w:val="center" w:pos="4153"/>
        <w:tab w:val="right" w:pos="8306"/>
      </w:tabs>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qFormat/>
    <w:uiPriority w:val="0"/>
    <w:pPr>
      <w:spacing w:before="100" w:beforeAutospacing="1" w:after="100" w:afterAutospacing="1" w:line="240" w:lineRule="auto"/>
      <w:ind w:firstLine="0" w:firstLineChars="0"/>
      <w:jc w:val="center"/>
    </w:pPr>
    <w:rPr>
      <w:rFonts w:cs="Times New Roman"/>
      <w:b/>
      <w:bCs/>
      <w:iCs/>
      <w:color w:val="000000" w:themeColor="text1"/>
      <w:sz w:val="21"/>
      <w:lang w:eastAsia="zh-CN"/>
      <w14:textFill>
        <w14:solidFill>
          <w14:schemeClr w14:val="tx1"/>
        </w14:solidFill>
      </w14:textFill>
    </w:rPr>
  </w:style>
  <w:style w:type="paragraph" w:styleId="15">
    <w:name w:val="Title"/>
    <w:basedOn w:val="1"/>
    <w:next w:val="1"/>
    <w:link w:val="36"/>
    <w:qFormat/>
    <w:uiPriority w:val="0"/>
    <w:pPr>
      <w:spacing w:before="240" w:after="60"/>
      <w:jc w:val="center"/>
      <w:outlineLvl w:val="0"/>
    </w:pPr>
    <w:rPr>
      <w:rFonts w:asciiTheme="majorHAnsi" w:hAnsiTheme="majorHAnsi" w:eastAsiaTheme="majorEastAsia" w:cstheme="majorBidi"/>
      <w:b/>
      <w:bCs/>
      <w:sz w:val="32"/>
      <w:szCs w:val="32"/>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26E5" w:themeColor="hyperlink"/>
      <w:u w:val="single"/>
      <w14:textFill>
        <w14:solidFill>
          <w14:schemeClr w14:val="hlink"/>
        </w14:solidFill>
      </w14:textFill>
    </w:rPr>
  </w:style>
  <w:style w:type="character" w:styleId="20">
    <w:name w:val="annotation reference"/>
    <w:basedOn w:val="18"/>
    <w:qFormat/>
    <w:uiPriority w:val="0"/>
    <w:rPr>
      <w:sz w:val="21"/>
      <w:szCs w:val="21"/>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微软雅黑" w:hAnsi="微软雅黑" w:eastAsia="微软雅黑" w:cs="微软雅黑"/>
      <w:sz w:val="6"/>
      <w:szCs w:val="6"/>
    </w:rPr>
  </w:style>
  <w:style w:type="paragraph" w:customStyle="1" w:styleId="23">
    <w:name w:val="章标题"/>
    <w:next w:val="24"/>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4">
    <w:name w:val="段"/>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character" w:styleId="27">
    <w:name w:val="Placeholder Text"/>
    <w:basedOn w:val="18"/>
    <w:unhideWhenUsed/>
    <w:qFormat/>
    <w:uiPriority w:val="99"/>
    <w:rPr>
      <w:color w:val="666666"/>
    </w:rPr>
  </w:style>
  <w:style w:type="table" w:customStyle="1" w:styleId="28">
    <w:name w:val="TableGrid"/>
    <w:qFormat/>
    <w:uiPriority w:val="0"/>
    <w:rPr>
      <w:rFonts w:asciiTheme="minorHAnsi" w:hAnsiTheme="minorHAnsi" w:eastAsiaTheme="minorEastAsia" w:cstheme="minorBidi"/>
      <w:kern w:val="2"/>
      <w:sz w:val="22"/>
      <w:szCs w:val="24"/>
      <w14:ligatures w14:val="standardContextual"/>
    </w:rPr>
    <w:tblPr>
      <w:tblCellMar>
        <w:top w:w="0" w:type="dxa"/>
        <w:left w:w="0" w:type="dxa"/>
        <w:bottom w:w="0" w:type="dxa"/>
        <w:right w:w="0" w:type="dxa"/>
      </w:tblCellMar>
    </w:tblPr>
  </w:style>
  <w:style w:type="paragraph" w:customStyle="1" w:styleId="29">
    <w:name w:val="修订1"/>
    <w:hidden/>
    <w:unhideWhenUsed/>
    <w:qFormat/>
    <w:uiPriority w:val="99"/>
    <w:rPr>
      <w:rFonts w:ascii="Times New Roman" w:hAnsi="Times New Roman" w:eastAsia="宋体" w:cs="Arial"/>
      <w:snapToGrid w:val="0"/>
      <w:color w:val="000000"/>
      <w:sz w:val="24"/>
      <w:szCs w:val="21"/>
      <w:lang w:val="en-US" w:eastAsia="en-US" w:bidi="ar-SA"/>
    </w:rPr>
  </w:style>
  <w:style w:type="character" w:customStyle="1" w:styleId="30">
    <w:name w:val="日期 字符"/>
    <w:basedOn w:val="18"/>
    <w:link w:val="9"/>
    <w:qFormat/>
    <w:uiPriority w:val="0"/>
    <w:rPr>
      <w:rFonts w:cs="Arial"/>
      <w:snapToGrid w:val="0"/>
      <w:color w:val="000000"/>
      <w:sz w:val="24"/>
      <w:szCs w:val="21"/>
      <w:lang w:eastAsia="en-US"/>
    </w:rPr>
  </w:style>
  <w:style w:type="paragraph" w:styleId="31">
    <w:name w:val="List Paragraph"/>
    <w:basedOn w:val="1"/>
    <w:unhideWhenUsed/>
    <w:qFormat/>
    <w:uiPriority w:val="99"/>
    <w:pPr>
      <w:ind w:firstLine="420"/>
    </w:pPr>
  </w:style>
  <w:style w:type="paragraph" w:customStyle="1" w:styleId="32">
    <w:name w:val="正文条款-首行缩进"/>
    <w:basedOn w:val="1"/>
    <w:next w:val="1"/>
    <w:unhideWhenUsed/>
    <w:qFormat/>
    <w:uiPriority w:val="39"/>
    <w:pPr>
      <w:kinsoku/>
      <w:autoSpaceDE/>
      <w:autoSpaceDN/>
      <w:ind w:firstLine="200"/>
      <w:jc w:val="left"/>
      <w:textAlignment w:val="auto"/>
    </w:pPr>
    <w:rPr>
      <w:rFonts w:cs="Times New Roman"/>
      <w:snapToGrid/>
      <w:color w:val="auto"/>
      <w:sz w:val="21"/>
      <w:szCs w:val="28"/>
      <w:lang w:eastAsia="zh-CN"/>
    </w:rPr>
  </w:style>
  <w:style w:type="paragraph" w:customStyle="1" w:styleId="33">
    <w:name w:val="标准文件_数字编号列项（二级）"/>
    <w:qFormat/>
    <w:uiPriority w:val="0"/>
    <w:pPr>
      <w:numPr>
        <w:ilvl w:val="1"/>
        <w:numId w:val="2"/>
      </w:numPr>
      <w:jc w:val="both"/>
    </w:pPr>
    <w:rPr>
      <w:rFonts w:ascii="宋体" w:hAnsi="Times New Roman" w:eastAsia="宋体" w:cs="Times New Roman"/>
      <w:sz w:val="21"/>
      <w:lang w:val="en-US" w:eastAsia="zh-CN" w:bidi="ar-SA"/>
    </w:rPr>
  </w:style>
  <w:style w:type="paragraph" w:customStyle="1" w:styleId="34">
    <w:name w:val="标准文件_编号列项（三级）"/>
    <w:qFormat/>
    <w:uiPriority w:val="0"/>
    <w:pPr>
      <w:numPr>
        <w:ilvl w:val="2"/>
        <w:numId w:val="2"/>
      </w:numPr>
      <w:tabs>
        <w:tab w:val="left" w:pos="1277"/>
      </w:tabs>
    </w:pPr>
    <w:rPr>
      <w:rFonts w:ascii="宋体" w:hAnsi="Times New Roman" w:eastAsia="宋体" w:cs="Times New Roman"/>
      <w:sz w:val="21"/>
      <w:lang w:val="en-US" w:eastAsia="zh-CN" w:bidi="ar-SA"/>
    </w:rPr>
  </w:style>
  <w:style w:type="paragraph" w:customStyle="1" w:styleId="35">
    <w:name w:val="标准文件_字母编号列项（一级）"/>
    <w:qFormat/>
    <w:uiPriority w:val="0"/>
    <w:pPr>
      <w:numPr>
        <w:ilvl w:val="0"/>
        <w:numId w:val="2"/>
      </w:numPr>
      <w:tabs>
        <w:tab w:val="left" w:pos="851"/>
      </w:tabs>
      <w:jc w:val="both"/>
    </w:pPr>
    <w:rPr>
      <w:rFonts w:ascii="宋体" w:hAnsi="Times New Roman" w:eastAsia="宋体" w:cs="Times New Roman"/>
      <w:sz w:val="21"/>
      <w:lang w:val="en-US" w:eastAsia="zh-CN" w:bidi="ar-SA"/>
    </w:rPr>
  </w:style>
  <w:style w:type="character" w:customStyle="1" w:styleId="36">
    <w:name w:val="标题 字符"/>
    <w:basedOn w:val="18"/>
    <w:link w:val="15"/>
    <w:qFormat/>
    <w:uiPriority w:val="0"/>
    <w:rPr>
      <w:rFonts w:asciiTheme="majorHAnsi" w:hAnsiTheme="majorHAnsi" w:eastAsiaTheme="majorEastAsia" w:cstheme="majorBidi"/>
      <w:b/>
      <w:bCs/>
      <w:snapToGrid w:val="0"/>
      <w:color w:val="000000"/>
      <w:sz w:val="32"/>
      <w:szCs w:val="32"/>
      <w:lang w:eastAsia="en-US"/>
    </w:rPr>
  </w:style>
  <w:style w:type="table" w:customStyle="1" w:styleId="37">
    <w:name w:val="网格型1"/>
    <w:basedOn w:val="16"/>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
    <w:name w:val="修订11"/>
    <w:hidden/>
    <w:unhideWhenUsed/>
    <w:qFormat/>
    <w:uiPriority w:val="99"/>
    <w:rPr>
      <w:rFonts w:ascii="Times New Roman" w:hAnsi="Times New Roman" w:eastAsia="宋体" w:cs="Arial"/>
      <w:snapToGrid w:val="0"/>
      <w:color w:val="000000"/>
      <w:sz w:val="24"/>
      <w:szCs w:val="21"/>
      <w:lang w:val="en-US" w:eastAsia="en-US" w:bidi="ar-SA"/>
    </w:rPr>
  </w:style>
  <w:style w:type="character" w:customStyle="1" w:styleId="39">
    <w:name w:val="未处理的提及1"/>
    <w:basedOn w:val="18"/>
    <w:semiHidden/>
    <w:unhideWhenUsed/>
    <w:qFormat/>
    <w:uiPriority w:val="99"/>
    <w:rPr>
      <w:color w:val="605E5C"/>
      <w:shd w:val="clear" w:color="auto" w:fill="E1DFDD"/>
    </w:rPr>
  </w:style>
  <w:style w:type="paragraph" w:customStyle="1" w:styleId="40">
    <w:name w:val="图表名-居中"/>
    <w:basedOn w:val="1"/>
    <w:next w:val="1"/>
    <w:qFormat/>
    <w:uiPriority w:val="0"/>
    <w:pPr>
      <w:contextualSpacing/>
      <w:jc w:val="center"/>
    </w:pPr>
    <w:rPr>
      <w:b/>
      <w:sz w:val="21"/>
    </w:rPr>
  </w:style>
  <w:style w:type="paragraph" w:customStyle="1" w:styleId="41">
    <w:name w:val="修订2"/>
    <w:hidden/>
    <w:unhideWhenUsed/>
    <w:qFormat/>
    <w:uiPriority w:val="99"/>
    <w:rPr>
      <w:rFonts w:ascii="Times New Roman" w:hAnsi="Times New Roman" w:eastAsia="宋体" w:cs="Arial"/>
      <w:snapToGrid w:val="0"/>
      <w:color w:val="000000"/>
      <w:sz w:val="21"/>
      <w:szCs w:val="21"/>
      <w:lang w:val="en-US" w:eastAsia="en-US" w:bidi="ar-SA"/>
    </w:rPr>
  </w:style>
  <w:style w:type="character" w:customStyle="1" w:styleId="42">
    <w:name w:val="标题 3 字符"/>
    <w:basedOn w:val="18"/>
    <w:link w:val="4"/>
    <w:qFormat/>
    <w:uiPriority w:val="0"/>
    <w:rPr>
      <w:rFonts w:cs="Arial"/>
      <w:b/>
      <w:bCs/>
      <w:snapToGrid w:val="0"/>
      <w:color w:val="000000"/>
      <w:sz w:val="32"/>
      <w:szCs w:val="32"/>
      <w:lang w:eastAsia="en-US"/>
    </w:rPr>
  </w:style>
  <w:style w:type="paragraph" w:customStyle="1" w:styleId="43">
    <w:name w:val="表格标题"/>
    <w:basedOn w:val="1"/>
    <w:link w:val="44"/>
    <w:qFormat/>
    <w:uiPriority w:val="0"/>
    <w:pPr>
      <w:ind w:firstLine="0" w:firstLineChars="0"/>
      <w:jc w:val="center"/>
    </w:pPr>
    <w:rPr>
      <w:rFonts w:eastAsia="黑体" w:cs="Times New Roman"/>
      <w:sz w:val="21"/>
      <w:lang w:eastAsia="zh-CN"/>
    </w:rPr>
  </w:style>
  <w:style w:type="character" w:customStyle="1" w:styleId="44">
    <w:name w:val="表格标题 字符"/>
    <w:basedOn w:val="18"/>
    <w:link w:val="43"/>
    <w:qFormat/>
    <w:uiPriority w:val="0"/>
    <w:rPr>
      <w:rFonts w:eastAsia="黑体"/>
      <w:snapToGrid w:val="0"/>
      <w:color w:val="000000"/>
      <w:sz w:val="21"/>
      <w:szCs w:val="21"/>
    </w:rPr>
  </w:style>
  <w:style w:type="paragraph" w:customStyle="1" w:styleId="45">
    <w:name w:val="公式"/>
    <w:basedOn w:val="1"/>
    <w:link w:val="46"/>
    <w:qFormat/>
    <w:uiPriority w:val="0"/>
    <w:pPr>
      <w:tabs>
        <w:tab w:val="center" w:pos="4200"/>
      </w:tabs>
      <w:ind w:firstLine="420" w:firstLineChars="0"/>
    </w:pPr>
    <w:rPr>
      <w:sz w:val="21"/>
      <w:lang w:eastAsia="zh-CN"/>
    </w:rPr>
  </w:style>
  <w:style w:type="character" w:customStyle="1" w:styleId="46">
    <w:name w:val="公式 字符"/>
    <w:basedOn w:val="18"/>
    <w:link w:val="45"/>
    <w:qFormat/>
    <w:uiPriority w:val="0"/>
    <w:rPr>
      <w:rFonts w:cs="Arial"/>
      <w:snapToGrid w:val="0"/>
      <w:color w:val="000000"/>
      <w:sz w:val="21"/>
      <w:szCs w:val="21"/>
    </w:rPr>
  </w:style>
  <w:style w:type="character" w:customStyle="1" w:styleId="47">
    <w:name w:val="translated-span"/>
    <w:basedOn w:val="18"/>
    <w:qFormat/>
    <w:uiPriority w:val="0"/>
  </w:style>
  <w:style w:type="character" w:customStyle="1" w:styleId="48">
    <w:name w:val="批注文字 字符"/>
    <w:basedOn w:val="18"/>
    <w:link w:val="7"/>
    <w:qFormat/>
    <w:uiPriority w:val="0"/>
    <w:rPr>
      <w:rFonts w:cs="Arial"/>
      <w:snapToGrid w:val="0"/>
      <w:color w:val="000000"/>
      <w:sz w:val="21"/>
      <w:szCs w:val="21"/>
      <w:lang w:eastAsia="en-US"/>
    </w:rPr>
  </w:style>
  <w:style w:type="paragraph" w:customStyle="1" w:styleId="49">
    <w:name w:val="修订3"/>
    <w:hidden/>
    <w:unhideWhenUsed/>
    <w:qFormat/>
    <w:uiPriority w:val="99"/>
    <w:rPr>
      <w:rFonts w:ascii="Times New Roman" w:hAnsi="Times New Roman" w:eastAsia="宋体" w:cs="Arial"/>
      <w:snapToGrid w:val="0"/>
      <w:color w:val="000000"/>
      <w:sz w:val="24"/>
      <w:szCs w:val="21"/>
      <w:lang w:val="en-US" w:eastAsia="en-US" w:bidi="ar-SA"/>
    </w:rPr>
  </w:style>
  <w:style w:type="character" w:customStyle="1" w:styleId="50">
    <w:name w:val="标题 4 字符"/>
    <w:basedOn w:val="18"/>
    <w:link w:val="5"/>
    <w:semiHidden/>
    <w:qFormat/>
    <w:uiPriority w:val="0"/>
    <w:rPr>
      <w:rFonts w:asciiTheme="majorHAnsi" w:hAnsiTheme="majorHAnsi" w:eastAsiaTheme="majorEastAsia" w:cstheme="majorBidi"/>
      <w:b/>
      <w:bCs/>
      <w:snapToGrid w:val="0"/>
      <w:color w:val="000000"/>
      <w:sz w:val="28"/>
      <w:szCs w:val="28"/>
      <w:lang w:eastAsia="en-US"/>
    </w:rPr>
  </w:style>
  <w:style w:type="character" w:customStyle="1" w:styleId="51">
    <w:name w:val="未处理的提及2"/>
    <w:basedOn w:val="18"/>
    <w:semiHidden/>
    <w:unhideWhenUsed/>
    <w:qFormat/>
    <w:uiPriority w:val="99"/>
    <w:rPr>
      <w:color w:val="605E5C"/>
      <w:shd w:val="clear" w:color="auto" w:fill="E1DFDD"/>
    </w:rPr>
  </w:style>
  <w:style w:type="table" w:customStyle="1" w:styleId="52">
    <w:name w:val="网格型2"/>
    <w:basedOn w:val="16"/>
    <w:qFormat/>
    <w:uiPriority w:val="39"/>
    <w:rPr>
      <w:rFonts w:asciiTheme="minorHAnsi" w:hAnsiTheme="minorHAnsi" w:eastAsiaTheme="minorEastAsia" w:cstheme="minorBidi"/>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
    <w:name w:val="二级条标题"/>
    <w:basedOn w:val="1"/>
    <w:next w:val="24"/>
    <w:qFormat/>
    <w:uiPriority w:val="0"/>
    <w:pPr>
      <w:kinsoku/>
      <w:autoSpaceDE/>
      <w:autoSpaceDN/>
      <w:adjustRightInd/>
      <w:snapToGrid/>
      <w:spacing w:before="50" w:beforeLines="50" w:after="50" w:afterLines="50" w:line="240" w:lineRule="auto"/>
      <w:ind w:left="4395" w:firstLine="0" w:firstLineChars="0"/>
      <w:jc w:val="left"/>
      <w:textAlignment w:val="auto"/>
      <w:outlineLvl w:val="3"/>
    </w:pPr>
    <w:rPr>
      <w:rFonts w:ascii="黑体" w:eastAsia="黑体" w:cs="Times New Roman"/>
      <w:snapToGrid/>
      <w:color w:val="auto"/>
      <w:sz w:val="21"/>
      <w:lang w:eastAsia="zh-CN"/>
    </w:rPr>
  </w:style>
  <w:style w:type="paragraph" w:customStyle="1" w:styleId="54">
    <w:name w:val="一级无"/>
    <w:basedOn w:val="1"/>
    <w:qFormat/>
    <w:uiPriority w:val="0"/>
    <w:pPr>
      <w:kinsoku/>
      <w:autoSpaceDE/>
      <w:autoSpaceDN/>
      <w:adjustRightInd/>
      <w:snapToGrid/>
      <w:spacing w:line="240" w:lineRule="auto"/>
      <w:ind w:left="851" w:firstLine="0" w:firstLineChars="0"/>
      <w:jc w:val="left"/>
      <w:textAlignment w:val="auto"/>
      <w:outlineLvl w:val="2"/>
    </w:pPr>
    <w:rPr>
      <w:rFonts w:ascii="宋体" w:cs="Times New Roman"/>
      <w:snapToGrid/>
      <w:color w:val="auto"/>
      <w:sz w:val="21"/>
      <w:lang w:eastAsia="zh-CN"/>
    </w:rPr>
  </w:style>
  <w:style w:type="paragraph" w:customStyle="1" w:styleId="55">
    <w:name w:val="Revision"/>
    <w:hidden/>
    <w:unhideWhenUsed/>
    <w:uiPriority w:val="99"/>
    <w:rPr>
      <w:rFonts w:ascii="Times New Roman" w:hAnsi="Times New Roman" w:eastAsia="宋体" w:cs="Arial"/>
      <w:snapToGrid w:val="0"/>
      <w:color w:val="000000"/>
      <w:sz w:val="24"/>
      <w:szCs w:val="21"/>
      <w:lang w:val="en-US" w:eastAsia="en-US" w:bidi="ar-SA"/>
    </w:rPr>
  </w:style>
  <w:style w:type="table" w:customStyle="1" w:styleId="56">
    <w:name w:val="网格型3"/>
    <w:basedOn w:val="16"/>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2BFA2F-0E97-440E-83C0-2B803B4BE0B5}">
  <ds:schemaRefs/>
</ds:datastoreItem>
</file>

<file path=docProps/app.xml><?xml version="1.0" encoding="utf-8"?>
<Properties xmlns="http://schemas.openxmlformats.org/officeDocument/2006/extended-properties" xmlns:vt="http://schemas.openxmlformats.org/officeDocument/2006/docPropsVTypes">
  <Template>Normal</Template>
  <Pages>130</Pages>
  <Words>76236</Words>
  <Characters>88173</Characters>
  <Lines>717</Lines>
  <Paragraphs>202</Paragraphs>
  <TotalTime>1566</TotalTime>
  <ScaleCrop>false</ScaleCrop>
  <LinksUpToDate>false</LinksUpToDate>
  <CharactersWithSpaces>91194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2025-04-27T01:32:00Z</dcterms:created>
  <dc:creator>T</dc:creator>
  <cp:lastModifiedBy>SJ</cp:lastModifiedBy>
  <dcterms:modified xsi:type="dcterms:W3CDTF">2025-05-12T06:04:19Z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F0CFC928C24E44BAB43C3E46593C9F12_13</vt:lpwstr>
  </property>
  <property fmtid="{D5CDD505-2E9C-101B-9397-08002B2CF9AE}" pid="4" name="KSOTemplateDocerSaveRecord">
    <vt:lpwstr>eyJoZGlkIjoiMWUwNzE1MWQ4NTljNGU1YmM5MzlkOGE0YjdkMDNjYTAiLCJ1c2VySWQiOiI1Nzg3OTIyNjQifQ==</vt:lpwstr>
  </property>
</Properties>
</file>